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ED7D0A" w14:textId="08320702" w:rsidR="00D431A5" w:rsidRDefault="00D431A5" w:rsidP="00380BA4">
      <w:pPr>
        <w:spacing w:line="360" w:lineRule="auto"/>
        <w:jc w:val="right"/>
        <w:rPr>
          <w:rFonts w:ascii="Arial" w:hAnsi="Arial" w:cs="Arial"/>
          <w:b/>
          <w:bCs/>
          <w:sz w:val="26"/>
          <w:szCs w:val="26"/>
          <w:lang w:val="en-US"/>
        </w:rPr>
      </w:pPr>
      <w:r w:rsidRPr="00D431A5">
        <w:rPr>
          <w:rFonts w:ascii="Arial" w:hAnsi="Arial" w:cs="Arial"/>
          <w:b/>
          <w:bCs/>
          <w:sz w:val="26"/>
          <w:szCs w:val="26"/>
          <w:lang w:val="en-US"/>
        </w:rPr>
        <w:t>Original Research Article</w:t>
      </w:r>
    </w:p>
    <w:p w14:paraId="024C8061" w14:textId="77777777" w:rsidR="00D431A5" w:rsidRDefault="00D431A5" w:rsidP="00380BA4">
      <w:pPr>
        <w:spacing w:line="360" w:lineRule="auto"/>
        <w:jc w:val="right"/>
        <w:rPr>
          <w:rFonts w:ascii="Arial" w:hAnsi="Arial" w:cs="Arial"/>
          <w:b/>
          <w:bCs/>
          <w:sz w:val="26"/>
          <w:szCs w:val="26"/>
          <w:lang w:val="en-US"/>
        </w:rPr>
      </w:pPr>
    </w:p>
    <w:p w14:paraId="68110621" w14:textId="19D4584F" w:rsidR="0074275E" w:rsidRPr="00067C2A" w:rsidRDefault="00595C48" w:rsidP="00380BA4">
      <w:pPr>
        <w:spacing w:line="360" w:lineRule="auto"/>
        <w:jc w:val="right"/>
        <w:rPr>
          <w:rFonts w:ascii="Arial" w:hAnsi="Arial" w:cs="Arial"/>
          <w:b/>
          <w:bCs/>
          <w:sz w:val="26"/>
          <w:szCs w:val="26"/>
          <w:lang w:val="en-US"/>
        </w:rPr>
      </w:pPr>
      <w:r w:rsidRPr="00067C2A">
        <w:rPr>
          <w:rFonts w:ascii="Arial" w:hAnsi="Arial" w:cs="Arial"/>
          <w:b/>
          <w:bCs/>
          <w:sz w:val="26"/>
          <w:szCs w:val="26"/>
          <w:lang w:val="en-US"/>
        </w:rPr>
        <w:t xml:space="preserve">Nutritional and bioactive </w:t>
      </w:r>
      <w:r w:rsidR="002B184A" w:rsidRPr="00067C2A">
        <w:rPr>
          <w:rFonts w:ascii="Arial" w:hAnsi="Arial" w:cs="Arial"/>
          <w:b/>
          <w:bCs/>
          <w:sz w:val="26"/>
          <w:szCs w:val="26"/>
          <w:lang w:val="en-US"/>
        </w:rPr>
        <w:t>potentials</w:t>
      </w:r>
      <w:r w:rsidR="00C82E9C" w:rsidRPr="00067C2A">
        <w:rPr>
          <w:rFonts w:ascii="Arial" w:hAnsi="Arial" w:cs="Arial"/>
          <w:b/>
          <w:bCs/>
          <w:sz w:val="26"/>
          <w:szCs w:val="26"/>
          <w:lang w:val="en-US"/>
        </w:rPr>
        <w:t xml:space="preserve"> </w:t>
      </w:r>
      <w:r w:rsidR="002809BB" w:rsidRPr="00067C2A">
        <w:rPr>
          <w:rFonts w:ascii="Arial" w:hAnsi="Arial" w:cs="Arial"/>
          <w:b/>
          <w:bCs/>
          <w:sz w:val="26"/>
          <w:szCs w:val="26"/>
          <w:lang w:val="en-US"/>
        </w:rPr>
        <w:t>of</w:t>
      </w:r>
      <w:r w:rsidR="00A5319D" w:rsidRPr="00067C2A">
        <w:rPr>
          <w:rFonts w:ascii="Arial" w:hAnsi="Arial" w:cs="Arial"/>
          <w:b/>
          <w:bCs/>
          <w:sz w:val="26"/>
          <w:szCs w:val="26"/>
          <w:lang w:val="en-US"/>
        </w:rPr>
        <w:t xml:space="preserve"> powdered leaves </w:t>
      </w:r>
      <w:r w:rsidR="00245B33" w:rsidRPr="00067C2A">
        <w:rPr>
          <w:rFonts w:ascii="Arial" w:hAnsi="Arial" w:cs="Arial"/>
          <w:b/>
          <w:bCs/>
          <w:sz w:val="26"/>
          <w:szCs w:val="26"/>
          <w:lang w:val="en-US"/>
        </w:rPr>
        <w:t xml:space="preserve">of </w:t>
      </w:r>
      <w:r w:rsidR="00245B33" w:rsidRPr="00067C2A">
        <w:rPr>
          <w:rFonts w:ascii="Arial" w:hAnsi="Arial" w:cs="Arial"/>
          <w:b/>
          <w:bCs/>
          <w:i/>
          <w:iCs/>
          <w:sz w:val="26"/>
          <w:szCs w:val="26"/>
          <w:lang w:val="en-US"/>
        </w:rPr>
        <w:t>Adansonia digitata</w:t>
      </w:r>
      <w:r w:rsidR="007545F3" w:rsidRPr="00067C2A">
        <w:rPr>
          <w:rFonts w:ascii="Arial" w:hAnsi="Arial" w:cs="Arial"/>
          <w:b/>
          <w:bCs/>
          <w:sz w:val="26"/>
          <w:szCs w:val="26"/>
          <w:lang w:val="en-US"/>
        </w:rPr>
        <w:t xml:space="preserve"> L</w:t>
      </w:r>
      <w:r w:rsidR="00575265" w:rsidRPr="00067C2A">
        <w:rPr>
          <w:rFonts w:ascii="Arial" w:hAnsi="Arial" w:cs="Arial"/>
          <w:b/>
          <w:bCs/>
          <w:sz w:val="26"/>
          <w:szCs w:val="26"/>
          <w:lang w:val="en-US"/>
        </w:rPr>
        <w:t>.</w:t>
      </w:r>
      <w:r w:rsidR="007545F3" w:rsidRPr="00067C2A">
        <w:rPr>
          <w:rFonts w:ascii="Arial" w:hAnsi="Arial" w:cs="Arial"/>
          <w:b/>
          <w:bCs/>
          <w:sz w:val="26"/>
          <w:szCs w:val="26"/>
          <w:lang w:val="en-US"/>
        </w:rPr>
        <w:t>,</w:t>
      </w:r>
      <w:r w:rsidR="00A5319D" w:rsidRPr="00067C2A">
        <w:rPr>
          <w:rFonts w:ascii="Arial" w:hAnsi="Arial" w:cs="Arial"/>
          <w:b/>
          <w:bCs/>
          <w:sz w:val="26"/>
          <w:szCs w:val="26"/>
          <w:lang w:val="en-US"/>
        </w:rPr>
        <w:t xml:space="preserve"> </w:t>
      </w:r>
      <w:r w:rsidR="00A5319D" w:rsidRPr="00067C2A">
        <w:rPr>
          <w:rFonts w:ascii="Arial" w:hAnsi="Arial" w:cs="Arial"/>
          <w:b/>
          <w:bCs/>
          <w:i/>
          <w:iCs/>
          <w:sz w:val="26"/>
          <w:szCs w:val="26"/>
          <w:lang w:val="en-US"/>
        </w:rPr>
        <w:t xml:space="preserve">Corchorus </w:t>
      </w:r>
      <w:proofErr w:type="spellStart"/>
      <w:r w:rsidR="00A5319D" w:rsidRPr="00067C2A">
        <w:rPr>
          <w:rFonts w:ascii="Arial" w:hAnsi="Arial" w:cs="Arial"/>
          <w:b/>
          <w:bCs/>
          <w:i/>
          <w:iCs/>
          <w:sz w:val="26"/>
          <w:szCs w:val="26"/>
          <w:lang w:val="en-US"/>
        </w:rPr>
        <w:t>olitorius</w:t>
      </w:r>
      <w:proofErr w:type="spellEnd"/>
      <w:r w:rsidR="00A5319D" w:rsidRPr="00067C2A">
        <w:rPr>
          <w:rFonts w:ascii="Arial" w:hAnsi="Arial" w:cs="Arial"/>
          <w:b/>
          <w:bCs/>
          <w:sz w:val="26"/>
          <w:szCs w:val="26"/>
          <w:lang w:val="en-US"/>
        </w:rPr>
        <w:t xml:space="preserve"> </w:t>
      </w:r>
      <w:r w:rsidR="009249E6" w:rsidRPr="00067C2A">
        <w:rPr>
          <w:rFonts w:ascii="Arial" w:hAnsi="Arial" w:cs="Arial"/>
          <w:b/>
          <w:bCs/>
          <w:sz w:val="26"/>
          <w:szCs w:val="26"/>
          <w:lang w:val="en-US"/>
        </w:rPr>
        <w:t xml:space="preserve">L., </w:t>
      </w:r>
      <w:r w:rsidR="00245B33" w:rsidRPr="00067C2A">
        <w:rPr>
          <w:rFonts w:ascii="Arial" w:hAnsi="Arial" w:cs="Arial"/>
          <w:b/>
          <w:bCs/>
          <w:sz w:val="26"/>
          <w:szCs w:val="26"/>
          <w:lang w:val="en-US"/>
        </w:rPr>
        <w:t xml:space="preserve">and </w:t>
      </w:r>
      <w:r w:rsidR="00A5319D" w:rsidRPr="00067C2A">
        <w:rPr>
          <w:rFonts w:ascii="Arial" w:hAnsi="Arial" w:cs="Arial"/>
          <w:b/>
          <w:bCs/>
          <w:sz w:val="26"/>
          <w:szCs w:val="26"/>
          <w:lang w:val="en-US"/>
        </w:rPr>
        <w:t>bark of</w:t>
      </w:r>
      <w:r w:rsidR="00481778" w:rsidRPr="00067C2A">
        <w:rPr>
          <w:rFonts w:ascii="Arial" w:hAnsi="Arial" w:cs="Arial"/>
          <w:b/>
          <w:bCs/>
          <w:sz w:val="26"/>
          <w:szCs w:val="26"/>
          <w:lang w:val="en-US"/>
        </w:rPr>
        <w:t xml:space="preserve"> </w:t>
      </w:r>
      <w:proofErr w:type="spellStart"/>
      <w:r w:rsidR="00481778" w:rsidRPr="00067C2A">
        <w:rPr>
          <w:rFonts w:ascii="Arial" w:hAnsi="Arial" w:cs="Arial"/>
          <w:b/>
          <w:bCs/>
          <w:i/>
          <w:iCs/>
          <w:sz w:val="26"/>
          <w:szCs w:val="26"/>
          <w:lang w:val="en-US"/>
        </w:rPr>
        <w:t>Triumfetta</w:t>
      </w:r>
      <w:proofErr w:type="spellEnd"/>
      <w:r w:rsidR="00481778" w:rsidRPr="00067C2A">
        <w:rPr>
          <w:rFonts w:ascii="Arial" w:hAnsi="Arial" w:cs="Arial"/>
          <w:b/>
          <w:bCs/>
          <w:i/>
          <w:iCs/>
          <w:sz w:val="26"/>
          <w:szCs w:val="26"/>
          <w:lang w:val="en-US"/>
        </w:rPr>
        <w:t xml:space="preserve"> </w:t>
      </w:r>
      <w:proofErr w:type="spellStart"/>
      <w:r w:rsidR="00481778" w:rsidRPr="00067C2A">
        <w:rPr>
          <w:rFonts w:ascii="Arial" w:hAnsi="Arial" w:cs="Arial"/>
          <w:b/>
          <w:bCs/>
          <w:i/>
          <w:iCs/>
          <w:sz w:val="26"/>
          <w:szCs w:val="26"/>
          <w:lang w:val="en-US"/>
        </w:rPr>
        <w:t>cordifolia</w:t>
      </w:r>
      <w:proofErr w:type="spellEnd"/>
      <w:r w:rsidR="003435E6" w:rsidRPr="00067C2A">
        <w:rPr>
          <w:rFonts w:ascii="Arial" w:hAnsi="Arial" w:cs="Arial"/>
          <w:b/>
          <w:bCs/>
          <w:i/>
          <w:iCs/>
          <w:sz w:val="26"/>
          <w:szCs w:val="26"/>
          <w:lang w:val="en-US"/>
        </w:rPr>
        <w:t xml:space="preserve"> </w:t>
      </w:r>
      <w:r w:rsidR="003435E6" w:rsidRPr="00067C2A">
        <w:rPr>
          <w:rFonts w:ascii="Arial" w:hAnsi="Arial" w:cs="Arial"/>
          <w:b/>
          <w:bCs/>
          <w:sz w:val="26"/>
          <w:szCs w:val="26"/>
          <w:lang w:val="en-US"/>
        </w:rPr>
        <w:t>A</w:t>
      </w:r>
      <w:r w:rsidR="00575265" w:rsidRPr="00067C2A">
        <w:rPr>
          <w:rFonts w:ascii="Arial" w:hAnsi="Arial" w:cs="Arial"/>
          <w:b/>
          <w:bCs/>
          <w:sz w:val="26"/>
          <w:szCs w:val="26"/>
          <w:lang w:val="en-US"/>
        </w:rPr>
        <w:t>.</w:t>
      </w:r>
      <w:r w:rsidR="003435E6" w:rsidRPr="00067C2A">
        <w:rPr>
          <w:rFonts w:ascii="Arial" w:hAnsi="Arial" w:cs="Arial"/>
          <w:b/>
          <w:bCs/>
          <w:sz w:val="26"/>
          <w:szCs w:val="26"/>
          <w:lang w:val="en-US"/>
        </w:rPr>
        <w:t xml:space="preserve"> </w:t>
      </w:r>
      <w:r w:rsidR="00A62595" w:rsidRPr="00067C2A">
        <w:rPr>
          <w:rFonts w:ascii="Arial" w:hAnsi="Arial" w:cs="Arial"/>
          <w:b/>
          <w:bCs/>
          <w:sz w:val="26"/>
          <w:szCs w:val="26"/>
          <w:lang w:val="en-US"/>
        </w:rPr>
        <w:t>r</w:t>
      </w:r>
      <w:r w:rsidR="00575265" w:rsidRPr="00067C2A">
        <w:rPr>
          <w:rFonts w:ascii="Arial" w:hAnsi="Arial" w:cs="Arial"/>
          <w:b/>
          <w:bCs/>
          <w:sz w:val="26"/>
          <w:szCs w:val="26"/>
          <w:lang w:val="en-US"/>
        </w:rPr>
        <w:t>ich</w:t>
      </w:r>
      <w:r w:rsidR="00A62595" w:rsidRPr="00067C2A">
        <w:rPr>
          <w:rFonts w:ascii="Arial" w:hAnsi="Arial" w:cs="Arial"/>
          <w:b/>
          <w:bCs/>
          <w:sz w:val="26"/>
          <w:szCs w:val="26"/>
          <w:lang w:val="en-US"/>
        </w:rPr>
        <w:t>.</w:t>
      </w:r>
      <w:r w:rsidR="00C82E9C" w:rsidRPr="00067C2A">
        <w:rPr>
          <w:rFonts w:ascii="Arial" w:hAnsi="Arial" w:cs="Arial"/>
          <w:b/>
          <w:bCs/>
          <w:sz w:val="26"/>
          <w:szCs w:val="26"/>
          <w:lang w:val="en-US"/>
        </w:rPr>
        <w:t xml:space="preserve">: Effect on GLUT4 translocation activity </w:t>
      </w:r>
    </w:p>
    <w:p w14:paraId="386DBD1E" w14:textId="77777777" w:rsidR="002809BB" w:rsidRPr="00067C2A" w:rsidRDefault="002809BB" w:rsidP="00245B33">
      <w:pPr>
        <w:spacing w:line="360" w:lineRule="auto"/>
        <w:jc w:val="center"/>
        <w:rPr>
          <w:rFonts w:ascii="Arial" w:hAnsi="Arial" w:cs="Arial"/>
          <w:b/>
          <w:bCs/>
          <w:sz w:val="28"/>
          <w:szCs w:val="28"/>
          <w:lang w:val="en-US"/>
        </w:rPr>
      </w:pPr>
    </w:p>
    <w:p w14:paraId="2E918448" w14:textId="77777777" w:rsidR="000E201B" w:rsidRPr="00380BA4" w:rsidRDefault="000E201B" w:rsidP="00245B33">
      <w:pPr>
        <w:spacing w:line="360" w:lineRule="auto"/>
        <w:jc w:val="both"/>
        <w:rPr>
          <w:rFonts w:ascii="Times New Roman" w:hAnsi="Times New Roman" w:cs="Times New Roman"/>
          <w:b/>
          <w:bCs/>
          <w:sz w:val="28"/>
          <w:szCs w:val="28"/>
          <w:lang w:val="en-US"/>
        </w:rPr>
      </w:pPr>
    </w:p>
    <w:p w14:paraId="476C2B6C" w14:textId="7FDEF7B6" w:rsidR="00245B33" w:rsidRPr="00380BA4" w:rsidRDefault="003730C8" w:rsidP="00245B33">
      <w:pPr>
        <w:spacing w:line="360" w:lineRule="auto"/>
        <w:jc w:val="both"/>
        <w:rPr>
          <w:rFonts w:ascii="Arial" w:hAnsi="Arial" w:cs="Arial"/>
          <w:b/>
          <w:bCs/>
          <w:lang w:val="en-US"/>
        </w:rPr>
      </w:pPr>
      <w:r w:rsidRPr="00380BA4">
        <w:rPr>
          <w:rFonts w:ascii="Arial" w:hAnsi="Arial" w:cs="Arial"/>
          <w:b/>
          <w:bCs/>
          <w:lang w:val="en-US"/>
        </w:rPr>
        <w:t>ABSTRACT</w:t>
      </w:r>
    </w:p>
    <w:p w14:paraId="7B29EA2D" w14:textId="196E41C9" w:rsidR="00BC5F1D" w:rsidRDefault="00BC5F1D" w:rsidP="00752DD6">
      <w:pPr>
        <w:spacing w:line="360" w:lineRule="auto"/>
        <w:jc w:val="both"/>
        <w:rPr>
          <w:rFonts w:ascii="Arial" w:hAnsi="Arial" w:cs="Arial"/>
          <w:sz w:val="20"/>
          <w:szCs w:val="20"/>
          <w:lang w:val="en-US"/>
        </w:rPr>
      </w:pPr>
      <w:r w:rsidRPr="00432551">
        <w:rPr>
          <w:rFonts w:ascii="Arial" w:hAnsi="Arial" w:cs="Arial"/>
          <w:b/>
          <w:bCs/>
          <w:sz w:val="20"/>
          <w:szCs w:val="20"/>
          <w:lang w:val="en-US"/>
        </w:rPr>
        <w:t>INTRODUCTION:</w:t>
      </w:r>
      <w:r>
        <w:rPr>
          <w:rFonts w:ascii="Arial" w:hAnsi="Arial" w:cs="Arial"/>
          <w:sz w:val="20"/>
          <w:szCs w:val="20"/>
          <w:lang w:val="en-US"/>
        </w:rPr>
        <w:t xml:space="preserve"> </w:t>
      </w:r>
      <w:r w:rsidR="00C75334" w:rsidRPr="00BC5F1D">
        <w:rPr>
          <w:rFonts w:ascii="Arial" w:hAnsi="Arial" w:cs="Arial"/>
          <w:sz w:val="20"/>
          <w:szCs w:val="20"/>
          <w:lang w:val="en-US"/>
        </w:rPr>
        <w:t xml:space="preserve">The consumption of medicinal plants in the management of type 2 diabetes (T2D) is increasingly recommended by therapists. The leaves of </w:t>
      </w:r>
      <w:r w:rsidR="00C75334" w:rsidRPr="00BC5F1D">
        <w:rPr>
          <w:rFonts w:ascii="Arial" w:hAnsi="Arial" w:cs="Arial"/>
          <w:i/>
          <w:iCs/>
          <w:sz w:val="20"/>
          <w:szCs w:val="20"/>
          <w:lang w:val="en-US"/>
        </w:rPr>
        <w:t xml:space="preserve">Adansonia </w:t>
      </w:r>
      <w:proofErr w:type="spellStart"/>
      <w:r w:rsidR="00C75334" w:rsidRPr="00BC5F1D">
        <w:rPr>
          <w:rFonts w:ascii="Arial" w:hAnsi="Arial" w:cs="Arial"/>
          <w:i/>
          <w:iCs/>
          <w:sz w:val="20"/>
          <w:szCs w:val="20"/>
          <w:lang w:val="en-US"/>
        </w:rPr>
        <w:t>digitata</w:t>
      </w:r>
      <w:proofErr w:type="spellEnd"/>
      <w:r w:rsidR="00C75334" w:rsidRPr="00BC5F1D">
        <w:rPr>
          <w:rFonts w:ascii="Arial" w:hAnsi="Arial" w:cs="Arial"/>
          <w:i/>
          <w:iCs/>
          <w:sz w:val="20"/>
          <w:szCs w:val="20"/>
          <w:lang w:val="en-US"/>
        </w:rPr>
        <w:t xml:space="preserve"> (LAD)</w:t>
      </w:r>
      <w:r w:rsidR="00C75334" w:rsidRPr="00BC5F1D">
        <w:rPr>
          <w:rFonts w:ascii="Arial" w:hAnsi="Arial" w:cs="Arial"/>
          <w:sz w:val="20"/>
          <w:szCs w:val="20"/>
          <w:lang w:val="en-US"/>
        </w:rPr>
        <w:t xml:space="preserve">, </w:t>
      </w:r>
      <w:r w:rsidR="00C75334" w:rsidRPr="00BC5F1D">
        <w:rPr>
          <w:rFonts w:ascii="Arial" w:hAnsi="Arial" w:cs="Arial"/>
          <w:i/>
          <w:iCs/>
          <w:sz w:val="20"/>
          <w:szCs w:val="20"/>
          <w:lang w:val="en-US"/>
        </w:rPr>
        <w:t xml:space="preserve">Corchorus </w:t>
      </w:r>
      <w:proofErr w:type="spellStart"/>
      <w:r w:rsidR="00C75334" w:rsidRPr="00BC5F1D">
        <w:rPr>
          <w:rFonts w:ascii="Arial" w:hAnsi="Arial" w:cs="Arial"/>
          <w:i/>
          <w:iCs/>
          <w:sz w:val="20"/>
          <w:szCs w:val="20"/>
          <w:lang w:val="en-US"/>
        </w:rPr>
        <w:t>olitorius</w:t>
      </w:r>
      <w:proofErr w:type="spellEnd"/>
      <w:r w:rsidR="00C75334" w:rsidRPr="00BC5F1D">
        <w:rPr>
          <w:rFonts w:ascii="Arial" w:hAnsi="Arial" w:cs="Arial"/>
          <w:i/>
          <w:iCs/>
          <w:sz w:val="20"/>
          <w:szCs w:val="20"/>
          <w:lang w:val="en-US"/>
        </w:rPr>
        <w:t xml:space="preserve"> (LCO)</w:t>
      </w:r>
      <w:r w:rsidR="00C75334" w:rsidRPr="00BC5F1D">
        <w:rPr>
          <w:rFonts w:ascii="Arial" w:hAnsi="Arial" w:cs="Arial"/>
          <w:sz w:val="20"/>
          <w:szCs w:val="20"/>
          <w:lang w:val="en-US"/>
        </w:rPr>
        <w:t xml:space="preserve">, and the bark of </w:t>
      </w:r>
      <w:proofErr w:type="spellStart"/>
      <w:r w:rsidR="00C75334" w:rsidRPr="00BC5F1D">
        <w:rPr>
          <w:rFonts w:ascii="Arial" w:hAnsi="Arial" w:cs="Arial"/>
          <w:i/>
          <w:iCs/>
          <w:sz w:val="20"/>
          <w:szCs w:val="20"/>
          <w:lang w:val="en-US"/>
        </w:rPr>
        <w:t>Triumfetta</w:t>
      </w:r>
      <w:proofErr w:type="spellEnd"/>
      <w:r w:rsidR="00C75334" w:rsidRPr="00BC5F1D">
        <w:rPr>
          <w:rFonts w:ascii="Arial" w:hAnsi="Arial" w:cs="Arial"/>
          <w:i/>
          <w:iCs/>
          <w:sz w:val="20"/>
          <w:szCs w:val="20"/>
          <w:lang w:val="en-US"/>
        </w:rPr>
        <w:t xml:space="preserve"> </w:t>
      </w:r>
      <w:proofErr w:type="spellStart"/>
      <w:r w:rsidR="00C75334" w:rsidRPr="00BC5F1D">
        <w:rPr>
          <w:rFonts w:ascii="Arial" w:hAnsi="Arial" w:cs="Arial"/>
          <w:i/>
          <w:iCs/>
          <w:sz w:val="20"/>
          <w:szCs w:val="20"/>
          <w:lang w:val="en-US"/>
        </w:rPr>
        <w:t>cordifolia</w:t>
      </w:r>
      <w:proofErr w:type="spellEnd"/>
      <w:r w:rsidR="00C75334" w:rsidRPr="00BC5F1D">
        <w:rPr>
          <w:rFonts w:ascii="Arial" w:hAnsi="Arial" w:cs="Arial"/>
          <w:sz w:val="20"/>
          <w:szCs w:val="20"/>
          <w:lang w:val="en-US"/>
        </w:rPr>
        <w:t xml:space="preserve"> </w:t>
      </w:r>
      <w:r w:rsidR="00C75334" w:rsidRPr="00BC5F1D">
        <w:rPr>
          <w:rFonts w:ascii="Arial" w:hAnsi="Arial" w:cs="Arial"/>
          <w:i/>
          <w:iCs/>
          <w:sz w:val="20"/>
          <w:szCs w:val="20"/>
          <w:lang w:val="en-US"/>
        </w:rPr>
        <w:t>(BTC)</w:t>
      </w:r>
      <w:r w:rsidR="00C75334" w:rsidRPr="00BC5F1D">
        <w:rPr>
          <w:rFonts w:ascii="Arial" w:hAnsi="Arial" w:cs="Arial"/>
          <w:sz w:val="20"/>
          <w:szCs w:val="20"/>
          <w:lang w:val="en-US"/>
        </w:rPr>
        <w:t xml:space="preserve"> are parts of the plants commonly consumed as traditional dishes for their nutritional and bioactive potential. However, very few studies have evaluated the effects of the constituents of these plants on GLUT4 translocation. The objective of this study was to determine the nutritional and bioactive composition of the powders from the </w:t>
      </w:r>
      <w:r w:rsidR="00C75334" w:rsidRPr="00BC5F1D">
        <w:rPr>
          <w:rFonts w:ascii="Arial" w:hAnsi="Arial" w:cs="Arial"/>
          <w:i/>
          <w:iCs/>
          <w:sz w:val="20"/>
          <w:szCs w:val="20"/>
          <w:lang w:val="en-US"/>
        </w:rPr>
        <w:t>LAD, LCO</w:t>
      </w:r>
      <w:r w:rsidR="00C75334" w:rsidRPr="00BC5F1D">
        <w:rPr>
          <w:rFonts w:ascii="Arial" w:hAnsi="Arial" w:cs="Arial"/>
          <w:sz w:val="20"/>
          <w:szCs w:val="20"/>
          <w:lang w:val="en-US"/>
        </w:rPr>
        <w:t xml:space="preserve">, and the </w:t>
      </w:r>
      <w:r w:rsidR="00C75334" w:rsidRPr="00BC5F1D">
        <w:rPr>
          <w:rFonts w:ascii="Arial" w:hAnsi="Arial" w:cs="Arial"/>
          <w:i/>
          <w:iCs/>
          <w:sz w:val="20"/>
          <w:szCs w:val="20"/>
          <w:lang w:val="en-US"/>
        </w:rPr>
        <w:t>BTC,</w:t>
      </w:r>
      <w:r w:rsidR="00C75334" w:rsidRPr="00BC5F1D">
        <w:rPr>
          <w:rFonts w:ascii="Arial" w:hAnsi="Arial" w:cs="Arial"/>
          <w:sz w:val="20"/>
          <w:szCs w:val="20"/>
          <w:lang w:val="en-US"/>
        </w:rPr>
        <w:t xml:space="preserve"> as well as their effects on GLUT4 translocation activity. </w:t>
      </w:r>
    </w:p>
    <w:p w14:paraId="26051114" w14:textId="35DE7DF6" w:rsidR="00432551" w:rsidRDefault="00BC5F1D" w:rsidP="00752DD6">
      <w:pPr>
        <w:spacing w:line="360" w:lineRule="auto"/>
        <w:jc w:val="both"/>
        <w:rPr>
          <w:rFonts w:ascii="Arial" w:hAnsi="Arial" w:cs="Arial"/>
          <w:sz w:val="20"/>
          <w:szCs w:val="20"/>
          <w:lang w:val="en-US"/>
        </w:rPr>
      </w:pPr>
      <w:r w:rsidRPr="00432551">
        <w:rPr>
          <w:rFonts w:ascii="Arial" w:hAnsi="Arial" w:cs="Arial"/>
          <w:b/>
          <w:bCs/>
          <w:sz w:val="20"/>
          <w:szCs w:val="20"/>
          <w:lang w:val="en-US"/>
        </w:rPr>
        <w:t>METHODS:</w:t>
      </w:r>
      <w:r>
        <w:rPr>
          <w:rFonts w:ascii="Arial" w:hAnsi="Arial" w:cs="Arial"/>
          <w:sz w:val="20"/>
          <w:szCs w:val="20"/>
          <w:lang w:val="en-US"/>
        </w:rPr>
        <w:t xml:space="preserve"> </w:t>
      </w:r>
      <w:r w:rsidR="00432551" w:rsidRPr="00BC5F1D">
        <w:rPr>
          <w:rFonts w:ascii="Arial" w:hAnsi="Arial" w:cs="Arial"/>
          <w:sz w:val="20"/>
          <w:szCs w:val="20"/>
          <w:lang w:val="en-US"/>
        </w:rPr>
        <w:t xml:space="preserve">The </w:t>
      </w:r>
      <w:r w:rsidR="00432551" w:rsidRPr="00BC5F1D">
        <w:rPr>
          <w:rFonts w:ascii="Arial" w:hAnsi="Arial" w:cs="Arial"/>
          <w:i/>
          <w:iCs/>
          <w:sz w:val="20"/>
          <w:szCs w:val="20"/>
          <w:lang w:val="en-US"/>
        </w:rPr>
        <w:t>LAD, LCO</w:t>
      </w:r>
      <w:r w:rsidR="00432551" w:rsidRPr="00BC5F1D">
        <w:rPr>
          <w:rFonts w:ascii="Arial" w:hAnsi="Arial" w:cs="Arial"/>
          <w:sz w:val="20"/>
          <w:szCs w:val="20"/>
          <w:lang w:val="en-US"/>
        </w:rPr>
        <w:t xml:space="preserve">, and the </w:t>
      </w:r>
      <w:r w:rsidR="00432551" w:rsidRPr="00BC5F1D">
        <w:rPr>
          <w:rFonts w:ascii="Arial" w:hAnsi="Arial" w:cs="Arial"/>
          <w:i/>
          <w:iCs/>
          <w:sz w:val="20"/>
          <w:szCs w:val="20"/>
          <w:lang w:val="en-US"/>
        </w:rPr>
        <w:t>BTC</w:t>
      </w:r>
      <w:r w:rsidR="00432551" w:rsidRPr="00BC5F1D">
        <w:rPr>
          <w:rFonts w:ascii="Arial" w:hAnsi="Arial" w:cs="Arial"/>
          <w:sz w:val="20"/>
          <w:szCs w:val="20"/>
          <w:lang w:val="en-US"/>
        </w:rPr>
        <w:t xml:space="preserve"> were processed into powders after harvest. </w:t>
      </w:r>
      <w:r w:rsidR="00C75334" w:rsidRPr="00BC5F1D">
        <w:rPr>
          <w:rFonts w:ascii="Arial" w:hAnsi="Arial" w:cs="Arial"/>
          <w:sz w:val="20"/>
          <w:szCs w:val="20"/>
          <w:lang w:val="en-US"/>
        </w:rPr>
        <w:t>Proxima</w:t>
      </w:r>
      <w:r w:rsidR="00ED0421" w:rsidRPr="00BC5F1D">
        <w:rPr>
          <w:rFonts w:ascii="Arial" w:hAnsi="Arial" w:cs="Arial"/>
          <w:sz w:val="20"/>
          <w:szCs w:val="20"/>
          <w:lang w:val="en-US"/>
        </w:rPr>
        <w:t>te</w:t>
      </w:r>
      <w:r w:rsidR="00C75334" w:rsidRPr="00BC5F1D">
        <w:rPr>
          <w:rFonts w:ascii="Arial" w:hAnsi="Arial" w:cs="Arial"/>
          <w:sz w:val="20"/>
          <w:szCs w:val="20"/>
          <w:lang w:val="en-US"/>
        </w:rPr>
        <w:t xml:space="preserve"> composition, energy value, and mineral content were determined from the obtained powders. Bioactive compounds and their profiles, along with GLUT4 translocation activities, were evaluated from the extracts of the powders. </w:t>
      </w:r>
    </w:p>
    <w:p w14:paraId="09C97DB6" w14:textId="12093452" w:rsidR="00432551" w:rsidRDefault="00432551" w:rsidP="00752DD6">
      <w:pPr>
        <w:spacing w:line="360" w:lineRule="auto"/>
        <w:jc w:val="both"/>
        <w:rPr>
          <w:rFonts w:ascii="Arial" w:hAnsi="Arial" w:cs="Arial"/>
          <w:sz w:val="20"/>
          <w:szCs w:val="20"/>
          <w:lang w:val="en-US"/>
        </w:rPr>
      </w:pPr>
      <w:r w:rsidRPr="00432551">
        <w:rPr>
          <w:rFonts w:ascii="Arial" w:hAnsi="Arial" w:cs="Arial"/>
          <w:b/>
          <w:bCs/>
          <w:sz w:val="20"/>
          <w:szCs w:val="20"/>
          <w:lang w:val="en-US"/>
        </w:rPr>
        <w:t>RESULTS:</w:t>
      </w:r>
      <w:r>
        <w:rPr>
          <w:rFonts w:ascii="Arial" w:hAnsi="Arial" w:cs="Arial"/>
          <w:sz w:val="20"/>
          <w:szCs w:val="20"/>
          <w:lang w:val="en-US"/>
        </w:rPr>
        <w:t xml:space="preserve"> </w:t>
      </w:r>
      <w:r w:rsidR="00C75334" w:rsidRPr="00BC5F1D">
        <w:rPr>
          <w:rFonts w:ascii="Arial" w:hAnsi="Arial" w:cs="Arial"/>
          <w:sz w:val="20"/>
          <w:szCs w:val="20"/>
          <w:lang w:val="en-US"/>
        </w:rPr>
        <w:t xml:space="preserve">It was found that the powders of </w:t>
      </w:r>
      <w:r w:rsidR="00C75334" w:rsidRPr="00BC5F1D">
        <w:rPr>
          <w:rFonts w:ascii="Arial" w:hAnsi="Arial" w:cs="Arial"/>
          <w:i/>
          <w:iCs/>
          <w:sz w:val="20"/>
          <w:szCs w:val="20"/>
          <w:lang w:val="en-US"/>
        </w:rPr>
        <w:t>A. digitata</w:t>
      </w:r>
      <w:r w:rsidR="00C75334" w:rsidRPr="00BC5F1D">
        <w:rPr>
          <w:rFonts w:ascii="Arial" w:hAnsi="Arial" w:cs="Arial"/>
          <w:sz w:val="20"/>
          <w:szCs w:val="20"/>
          <w:lang w:val="en-US"/>
        </w:rPr>
        <w:t xml:space="preserve"> and </w:t>
      </w:r>
      <w:r w:rsidR="00C75334" w:rsidRPr="00BC5F1D">
        <w:rPr>
          <w:rFonts w:ascii="Arial" w:hAnsi="Arial" w:cs="Arial"/>
          <w:i/>
          <w:iCs/>
          <w:sz w:val="20"/>
          <w:szCs w:val="20"/>
          <w:lang w:val="en-US"/>
        </w:rPr>
        <w:t xml:space="preserve">C. </w:t>
      </w:r>
      <w:proofErr w:type="spellStart"/>
      <w:r w:rsidR="00C75334" w:rsidRPr="00BC5F1D">
        <w:rPr>
          <w:rFonts w:ascii="Arial" w:hAnsi="Arial" w:cs="Arial"/>
          <w:i/>
          <w:iCs/>
          <w:sz w:val="20"/>
          <w:szCs w:val="20"/>
          <w:lang w:val="en-US"/>
        </w:rPr>
        <w:t>olitorius</w:t>
      </w:r>
      <w:proofErr w:type="spellEnd"/>
      <w:r w:rsidR="00C75334" w:rsidRPr="00BC5F1D">
        <w:rPr>
          <w:rFonts w:ascii="Arial" w:hAnsi="Arial" w:cs="Arial"/>
          <w:sz w:val="20"/>
          <w:szCs w:val="20"/>
          <w:lang w:val="en-US"/>
        </w:rPr>
        <w:t xml:space="preserve"> had the lowest energy values of 257.75 ± 3.98 and 270.68 ± 1.65 Kcal/100g, respectively, and available sugar contents of 37.72 ± 0.45 and 38.24 ± 0.20 g/100g DM. However, only </w:t>
      </w:r>
      <w:r w:rsidR="00C75334" w:rsidRPr="00BC5F1D">
        <w:rPr>
          <w:rFonts w:ascii="Arial" w:hAnsi="Arial" w:cs="Arial"/>
          <w:i/>
          <w:iCs/>
          <w:sz w:val="20"/>
          <w:szCs w:val="20"/>
          <w:lang w:val="en-US"/>
        </w:rPr>
        <w:t xml:space="preserve">C. </w:t>
      </w:r>
      <w:proofErr w:type="spellStart"/>
      <w:r w:rsidR="00C75334" w:rsidRPr="00BC5F1D">
        <w:rPr>
          <w:rFonts w:ascii="Arial" w:hAnsi="Arial" w:cs="Arial"/>
          <w:i/>
          <w:iCs/>
          <w:sz w:val="20"/>
          <w:szCs w:val="20"/>
          <w:lang w:val="en-US"/>
        </w:rPr>
        <w:t>olitorius</w:t>
      </w:r>
      <w:proofErr w:type="spellEnd"/>
      <w:r w:rsidR="00C75334" w:rsidRPr="00BC5F1D">
        <w:rPr>
          <w:rFonts w:ascii="Arial" w:hAnsi="Arial" w:cs="Arial"/>
          <w:sz w:val="20"/>
          <w:szCs w:val="20"/>
          <w:lang w:val="en-US"/>
        </w:rPr>
        <w:t xml:space="preserve"> exhibited the highest total protein content of 21.60 ± 0.10 g/100g DM, with </w:t>
      </w:r>
      <w:proofErr w:type="spellStart"/>
      <w:r w:rsidR="00C75334" w:rsidRPr="00BC5F1D">
        <w:rPr>
          <w:rFonts w:ascii="Arial" w:hAnsi="Arial" w:cs="Arial"/>
          <w:sz w:val="20"/>
          <w:szCs w:val="20"/>
          <w:lang w:val="en-US"/>
        </w:rPr>
        <w:t>macroelement</w:t>
      </w:r>
      <w:proofErr w:type="spellEnd"/>
      <w:r w:rsidR="00C75334" w:rsidRPr="00BC5F1D">
        <w:rPr>
          <w:rFonts w:ascii="Arial" w:hAnsi="Arial" w:cs="Arial"/>
          <w:sz w:val="20"/>
          <w:szCs w:val="20"/>
          <w:lang w:val="en-US"/>
        </w:rPr>
        <w:t xml:space="preserve"> contents being the highest at 2200.00 ± 4.00; 1957.41 ± 3.89; and 580.00 ± 1.45 mg/100g DM for calcium, potassium, and magnesium, respectively. The powder of </w:t>
      </w:r>
      <w:r w:rsidR="00C75334" w:rsidRPr="00BC5F1D">
        <w:rPr>
          <w:rFonts w:ascii="Arial" w:hAnsi="Arial" w:cs="Arial"/>
          <w:i/>
          <w:iCs/>
          <w:sz w:val="20"/>
          <w:szCs w:val="20"/>
          <w:lang w:val="en-US"/>
        </w:rPr>
        <w:t>T. cordifolia</w:t>
      </w:r>
      <w:r w:rsidR="00C75334" w:rsidRPr="00BC5F1D">
        <w:rPr>
          <w:rFonts w:ascii="Arial" w:hAnsi="Arial" w:cs="Arial"/>
          <w:sz w:val="20"/>
          <w:szCs w:val="20"/>
          <w:lang w:val="en-US"/>
        </w:rPr>
        <w:t xml:space="preserve"> had the highest total flavonoids of 4.90 ± 0.05 µg QE/g DM. Flavonoids such as </w:t>
      </w:r>
      <w:proofErr w:type="spellStart"/>
      <w:r w:rsidR="00C75334" w:rsidRPr="00BC5F1D">
        <w:rPr>
          <w:rFonts w:ascii="Arial" w:hAnsi="Arial" w:cs="Arial"/>
          <w:sz w:val="20"/>
          <w:szCs w:val="20"/>
          <w:lang w:val="en-US"/>
        </w:rPr>
        <w:t>isoquercetin</w:t>
      </w:r>
      <w:proofErr w:type="spellEnd"/>
      <w:r w:rsidR="00ED0421" w:rsidRPr="00BC5F1D">
        <w:rPr>
          <w:rFonts w:ascii="Arial" w:hAnsi="Arial" w:cs="Arial"/>
          <w:sz w:val="20"/>
          <w:szCs w:val="20"/>
          <w:lang w:val="en-US"/>
        </w:rPr>
        <w:t xml:space="preserve"> and </w:t>
      </w:r>
      <w:r w:rsidR="00C75334" w:rsidRPr="00BC5F1D">
        <w:rPr>
          <w:rFonts w:ascii="Arial" w:hAnsi="Arial" w:cs="Arial"/>
          <w:sz w:val="20"/>
          <w:szCs w:val="20"/>
          <w:lang w:val="en-US"/>
        </w:rPr>
        <w:t xml:space="preserve">quercetin have effects on GLUT4 translocation from the extracts of the powders of </w:t>
      </w:r>
      <w:r w:rsidR="00C75334" w:rsidRPr="00BC5F1D">
        <w:rPr>
          <w:rFonts w:ascii="Arial" w:hAnsi="Arial" w:cs="Arial"/>
          <w:i/>
          <w:iCs/>
          <w:sz w:val="20"/>
          <w:szCs w:val="20"/>
          <w:lang w:val="en-US"/>
        </w:rPr>
        <w:t>A. digitata</w:t>
      </w:r>
      <w:r w:rsidR="00C75334" w:rsidRPr="00BC5F1D">
        <w:rPr>
          <w:rFonts w:ascii="Arial" w:hAnsi="Arial" w:cs="Arial"/>
          <w:sz w:val="20"/>
          <w:szCs w:val="20"/>
          <w:lang w:val="en-US"/>
        </w:rPr>
        <w:t xml:space="preserve"> and </w:t>
      </w:r>
      <w:r w:rsidR="00C75334" w:rsidRPr="00BC5F1D">
        <w:rPr>
          <w:rFonts w:ascii="Arial" w:hAnsi="Arial" w:cs="Arial"/>
          <w:i/>
          <w:iCs/>
          <w:sz w:val="20"/>
          <w:szCs w:val="20"/>
          <w:lang w:val="en-US"/>
        </w:rPr>
        <w:t xml:space="preserve">C. </w:t>
      </w:r>
      <w:proofErr w:type="spellStart"/>
      <w:r w:rsidR="00C75334" w:rsidRPr="00BC5F1D">
        <w:rPr>
          <w:rFonts w:ascii="Arial" w:hAnsi="Arial" w:cs="Arial"/>
          <w:i/>
          <w:iCs/>
          <w:sz w:val="20"/>
          <w:szCs w:val="20"/>
          <w:lang w:val="en-US"/>
        </w:rPr>
        <w:t>olitorius</w:t>
      </w:r>
      <w:proofErr w:type="spellEnd"/>
      <w:r w:rsidR="00C75334" w:rsidRPr="00BC5F1D">
        <w:rPr>
          <w:rFonts w:ascii="Arial" w:hAnsi="Arial" w:cs="Arial"/>
          <w:sz w:val="20"/>
          <w:szCs w:val="20"/>
          <w:lang w:val="en-US"/>
        </w:rPr>
        <w:t xml:space="preserve"> of 90.61 and 92.52%</w:t>
      </w:r>
      <w:r w:rsidR="00ED0421" w:rsidRPr="00BC5F1D">
        <w:rPr>
          <w:rFonts w:ascii="Arial" w:hAnsi="Arial" w:cs="Arial"/>
          <w:sz w:val="20"/>
          <w:szCs w:val="20"/>
          <w:lang w:val="en-US"/>
        </w:rPr>
        <w:t>I</w:t>
      </w:r>
      <w:r w:rsidR="00C75334" w:rsidRPr="00BC5F1D">
        <w:rPr>
          <w:rFonts w:ascii="Arial" w:hAnsi="Arial" w:cs="Arial"/>
          <w:sz w:val="20"/>
          <w:szCs w:val="20"/>
          <w:lang w:val="en-US"/>
        </w:rPr>
        <w:t xml:space="preserve">nsulin, respectively. These activities are closely dependent on calcium content. </w:t>
      </w:r>
    </w:p>
    <w:p w14:paraId="309007E9" w14:textId="49537F69" w:rsidR="00C75334" w:rsidRDefault="00432551" w:rsidP="00752DD6">
      <w:pPr>
        <w:spacing w:line="360" w:lineRule="auto"/>
        <w:jc w:val="both"/>
        <w:rPr>
          <w:rFonts w:ascii="Arial" w:hAnsi="Arial" w:cs="Arial"/>
          <w:sz w:val="20"/>
          <w:szCs w:val="20"/>
          <w:lang w:val="en-US"/>
        </w:rPr>
      </w:pPr>
      <w:r w:rsidRPr="00432551">
        <w:rPr>
          <w:rFonts w:ascii="Arial" w:hAnsi="Arial" w:cs="Arial"/>
          <w:b/>
          <w:bCs/>
          <w:sz w:val="20"/>
          <w:szCs w:val="20"/>
          <w:lang w:val="en-US"/>
        </w:rPr>
        <w:t>CONCLUSION:</w:t>
      </w:r>
      <w:r>
        <w:rPr>
          <w:rFonts w:ascii="Arial" w:hAnsi="Arial" w:cs="Arial"/>
          <w:sz w:val="20"/>
          <w:szCs w:val="20"/>
          <w:lang w:val="en-US"/>
        </w:rPr>
        <w:t xml:space="preserve"> </w:t>
      </w:r>
      <w:r w:rsidR="00C75334" w:rsidRPr="00BC5F1D">
        <w:rPr>
          <w:rFonts w:ascii="Arial" w:hAnsi="Arial" w:cs="Arial"/>
          <w:sz w:val="20"/>
          <w:szCs w:val="20"/>
          <w:lang w:val="en-US"/>
        </w:rPr>
        <w:t xml:space="preserve">The powder of </w:t>
      </w:r>
      <w:r w:rsidR="00C75334" w:rsidRPr="00BC5F1D">
        <w:rPr>
          <w:rFonts w:ascii="Arial" w:hAnsi="Arial" w:cs="Arial"/>
          <w:i/>
          <w:iCs/>
          <w:sz w:val="20"/>
          <w:szCs w:val="20"/>
          <w:lang w:val="en-US"/>
        </w:rPr>
        <w:t>C</w:t>
      </w:r>
      <w:r w:rsidR="00ED0421" w:rsidRPr="00BC5F1D">
        <w:rPr>
          <w:rFonts w:ascii="Arial" w:hAnsi="Arial" w:cs="Arial"/>
          <w:i/>
          <w:iCs/>
          <w:sz w:val="20"/>
          <w:szCs w:val="20"/>
          <w:lang w:val="en-US"/>
        </w:rPr>
        <w:t>.</w:t>
      </w:r>
      <w:r w:rsidR="00C75334" w:rsidRPr="00BC5F1D">
        <w:rPr>
          <w:rFonts w:ascii="Arial" w:hAnsi="Arial" w:cs="Arial"/>
          <w:i/>
          <w:iCs/>
          <w:sz w:val="20"/>
          <w:szCs w:val="20"/>
          <w:lang w:val="en-US"/>
        </w:rPr>
        <w:t xml:space="preserve"> </w:t>
      </w:r>
      <w:proofErr w:type="spellStart"/>
      <w:r w:rsidR="00C75334" w:rsidRPr="00BC5F1D">
        <w:rPr>
          <w:rFonts w:ascii="Arial" w:hAnsi="Arial" w:cs="Arial"/>
          <w:i/>
          <w:iCs/>
          <w:sz w:val="20"/>
          <w:szCs w:val="20"/>
          <w:lang w:val="en-US"/>
        </w:rPr>
        <w:t>olitorius</w:t>
      </w:r>
      <w:proofErr w:type="spellEnd"/>
      <w:r w:rsidR="00C75334" w:rsidRPr="00BC5F1D">
        <w:rPr>
          <w:rFonts w:ascii="Arial" w:hAnsi="Arial" w:cs="Arial"/>
          <w:sz w:val="20"/>
          <w:szCs w:val="20"/>
          <w:lang w:val="en-US"/>
        </w:rPr>
        <w:t xml:space="preserve"> demonstrates the best nutritional and bioactive potential and may be recommended for the management of T2D patients.</w:t>
      </w:r>
    </w:p>
    <w:p w14:paraId="1DB81747" w14:textId="77777777" w:rsidR="00432551" w:rsidRPr="00BC5F1D" w:rsidRDefault="00432551" w:rsidP="00752DD6">
      <w:pPr>
        <w:spacing w:line="360" w:lineRule="auto"/>
        <w:jc w:val="both"/>
        <w:rPr>
          <w:rFonts w:ascii="Arial" w:hAnsi="Arial" w:cs="Arial"/>
          <w:sz w:val="20"/>
          <w:szCs w:val="20"/>
          <w:lang w:val="en-US"/>
        </w:rPr>
      </w:pPr>
    </w:p>
    <w:p w14:paraId="208C3017" w14:textId="74990833" w:rsidR="00C75334" w:rsidRPr="00380BA4" w:rsidRDefault="00C75334" w:rsidP="00380BA4">
      <w:pPr>
        <w:spacing w:line="360" w:lineRule="auto"/>
        <w:jc w:val="both"/>
        <w:rPr>
          <w:rFonts w:ascii="Arial" w:hAnsi="Arial" w:cs="Arial"/>
          <w:i/>
          <w:iCs/>
          <w:sz w:val="20"/>
          <w:szCs w:val="20"/>
          <w:lang w:val="en-US"/>
        </w:rPr>
      </w:pPr>
      <w:r w:rsidRPr="00380BA4">
        <w:rPr>
          <w:rFonts w:ascii="Arial" w:hAnsi="Arial" w:cs="Arial"/>
          <w:b/>
          <w:bCs/>
          <w:i/>
          <w:iCs/>
          <w:sz w:val="20"/>
          <w:szCs w:val="20"/>
          <w:lang w:val="en-US"/>
        </w:rPr>
        <w:t>Keywords:</w:t>
      </w:r>
      <w:r w:rsidRPr="00380BA4">
        <w:rPr>
          <w:rFonts w:ascii="Arial" w:hAnsi="Arial" w:cs="Arial"/>
          <w:i/>
          <w:iCs/>
          <w:sz w:val="20"/>
          <w:szCs w:val="20"/>
          <w:lang w:val="en-US"/>
        </w:rPr>
        <w:t xml:space="preserve"> Type 2 </w:t>
      </w:r>
      <w:r w:rsidR="00FD17F0" w:rsidRPr="00380BA4">
        <w:rPr>
          <w:rFonts w:ascii="Arial" w:hAnsi="Arial" w:cs="Arial"/>
          <w:i/>
          <w:iCs/>
          <w:sz w:val="20"/>
          <w:szCs w:val="20"/>
          <w:lang w:val="en-US"/>
        </w:rPr>
        <w:t>diabetes</w:t>
      </w:r>
      <w:r w:rsidRPr="00380BA4">
        <w:rPr>
          <w:rFonts w:ascii="Arial" w:hAnsi="Arial" w:cs="Arial"/>
          <w:i/>
          <w:iCs/>
          <w:sz w:val="20"/>
          <w:szCs w:val="20"/>
          <w:lang w:val="en-US"/>
        </w:rPr>
        <w:t>; Plant powders; Nutritional composition; Bioactive compounds; GLUT4 translocation</w:t>
      </w:r>
    </w:p>
    <w:p w14:paraId="10F99560" w14:textId="066F2C4B" w:rsidR="00245B33" w:rsidRPr="00380BA4" w:rsidRDefault="003730C8" w:rsidP="000C6D82">
      <w:pPr>
        <w:pStyle w:val="ListParagraph"/>
        <w:numPr>
          <w:ilvl w:val="0"/>
          <w:numId w:val="1"/>
        </w:numPr>
        <w:spacing w:line="360" w:lineRule="auto"/>
        <w:jc w:val="both"/>
        <w:rPr>
          <w:rFonts w:ascii="Arial" w:hAnsi="Arial" w:cs="Arial"/>
          <w:b/>
          <w:bCs/>
        </w:rPr>
      </w:pPr>
      <w:r w:rsidRPr="00380BA4">
        <w:rPr>
          <w:rFonts w:ascii="Arial" w:hAnsi="Arial" w:cs="Arial"/>
          <w:b/>
          <w:bCs/>
        </w:rPr>
        <w:lastRenderedPageBreak/>
        <w:t xml:space="preserve">INTRODUCTION </w:t>
      </w:r>
    </w:p>
    <w:p w14:paraId="7C8DB19A" w14:textId="13A8603E" w:rsidR="00FD680F" w:rsidRPr="00380BA4" w:rsidRDefault="00FD680F" w:rsidP="00FD680F">
      <w:pPr>
        <w:spacing w:line="360" w:lineRule="auto"/>
        <w:jc w:val="both"/>
        <w:rPr>
          <w:rFonts w:ascii="Arial" w:hAnsi="Arial" w:cs="Arial"/>
          <w:sz w:val="20"/>
          <w:szCs w:val="20"/>
          <w:lang w:val="en-US"/>
        </w:rPr>
      </w:pPr>
      <w:r w:rsidRPr="00380BA4">
        <w:rPr>
          <w:rFonts w:ascii="Arial" w:hAnsi="Arial" w:cs="Arial"/>
          <w:sz w:val="20"/>
          <w:szCs w:val="20"/>
          <w:lang w:val="en-US"/>
        </w:rPr>
        <w:t xml:space="preserve">The high consumption of medicinal plants by populations is increasingly observed and encouraged by many therapists in Africa in general and in Cameroon in particular. This situation has worsened with the various health crises that have affected Africa, notably COVID-19, the measles epidemic, monkeypox (mpox), malnutrition, food insecurity, and the rising prevalence of chronic diseases </w:t>
      </w:r>
      <w:r w:rsidRPr="00380BA4">
        <w:rPr>
          <w:rFonts w:ascii="Arial" w:hAnsi="Arial" w:cs="Arial"/>
          <w:sz w:val="20"/>
          <w:szCs w:val="20"/>
        </w:rPr>
        <w:fldChar w:fldCharType="begin" w:fldLock="1"/>
      </w:r>
      <w:r w:rsidR="00A075F3">
        <w:rPr>
          <w:rFonts w:ascii="Arial" w:hAnsi="Arial" w:cs="Arial"/>
          <w:sz w:val="20"/>
          <w:szCs w:val="20"/>
          <w:lang w:val="en-US"/>
        </w:rPr>
        <w:instrText>ADDIN CSL_CITATION {"citationItems":[{"id":"ITEM-1","itemData":{"DOI":"10.1039/d2ra07406k","ISSN":"20462069","abstract":"Corchorus olitorius L. is a nutritious green leafy vegetable that is eaten as a viscous soup in African and Middle Eastern cultures. The purpose of this review is to highlight the nutritional and nutraceutical potential of this plant. The leaves of C. olitorius are rich providers of minerals as calcium and iron in addition to vitamins B1, B2, folic acid C and E. The leaves contain numerous compounds having several biological effects including antidiabetic and antioxidant properties. Besides, the leaves comprise other phytochemicals such as cardiac glycosides, terpenes, flavonoids, fatty acids, hydrocarbons and phenolics. Various extracts of C. olitorius were shown to exhibit antioxidant, anti-inflammatory, hepatoprotective, antihyperlipidemic, immunostimulant, antitumor, antimicrobial, antidiabetic, analgesic, wound-healing properties and cardioprotective activities.","author":[{"dropping-particle":"","family":"Abdel-Razek","given":"Marwa A.M.","non-dropping-particle":"","parse-names":false,"suffix":""},{"dropping-particle":"","family":"Abdelwahab","given":"Miada F.","non-dropping-particle":"","parse-names":false,"suffix":""},{"dropping-particle":"","family":"Abdelmohsen","given":"Usama Ramadan","non-dropping-particle":"","parse-names":false,"suffix":""},{"dropping-particle":"","family":"Hamed","given":"Ashraf N.E.","non-dropping-particle":"","parse-names":false,"suffix":""}],"container-title":"RSC Advances","id":"ITEM-1","issue":"54","issued":{"date-parts":[["2022"]]},"page":"35103-35114","publisher":"Royal Society of Chemistry","title":"Pharmacological and phytochemical biodiversity of Corchorus olitorius","type":"article-journal","volume":"12"},"uris":["http://www.mendeley.com/documents/?uuid=969b0581-6feb-4d3b-81e1-acc2d9097206"]}],"mendeley":{"formattedCitation":"(Abdel-Razek et al., 2022)","manualFormatting":"(Abdel-Razek et al., 2022;","plainTextFormattedCitation":"(Abdel-Razek et al., 2022)","previouslyFormattedCitation":"(Abdel-Razek et al., 2022)"},"properties":{"noteIndex":0},"schema":"https://github.com/citation-style-language/schema/raw/master/csl-citation.json"}</w:instrText>
      </w:r>
      <w:r w:rsidRPr="00380BA4">
        <w:rPr>
          <w:rFonts w:ascii="Arial" w:hAnsi="Arial" w:cs="Arial"/>
          <w:sz w:val="20"/>
          <w:szCs w:val="20"/>
        </w:rPr>
        <w:fldChar w:fldCharType="separate"/>
      </w:r>
      <w:r w:rsidRPr="003400A2">
        <w:rPr>
          <w:rFonts w:ascii="Arial" w:hAnsi="Arial" w:cs="Arial"/>
          <w:noProof/>
          <w:sz w:val="20"/>
          <w:szCs w:val="20"/>
          <w:lang w:val="en-US"/>
        </w:rPr>
        <w:t>(Abdel-Razek et al., 2022</w:t>
      </w:r>
      <w:r w:rsidR="00A075F3">
        <w:rPr>
          <w:rFonts w:ascii="Arial" w:hAnsi="Arial" w:cs="Arial"/>
          <w:noProof/>
          <w:sz w:val="20"/>
          <w:szCs w:val="20"/>
          <w:lang w:val="en-US"/>
        </w:rPr>
        <w:t>;</w:t>
      </w:r>
      <w:r w:rsidRPr="00380BA4">
        <w:rPr>
          <w:rFonts w:ascii="Arial" w:hAnsi="Arial" w:cs="Arial"/>
          <w:sz w:val="20"/>
          <w:szCs w:val="20"/>
        </w:rPr>
        <w:fldChar w:fldCharType="end"/>
      </w:r>
      <w:r w:rsidRPr="003400A2">
        <w:rPr>
          <w:rFonts w:ascii="Arial" w:hAnsi="Arial" w:cs="Arial"/>
          <w:sz w:val="20"/>
          <w:szCs w:val="20"/>
          <w:lang w:val="en-US"/>
        </w:rPr>
        <w:t xml:space="preserve"> </w:t>
      </w:r>
      <w:r w:rsidRPr="00380BA4">
        <w:rPr>
          <w:rFonts w:ascii="Arial" w:hAnsi="Arial" w:cs="Arial"/>
          <w:sz w:val="20"/>
          <w:szCs w:val="20"/>
        </w:rPr>
        <w:fldChar w:fldCharType="begin" w:fldLock="1"/>
      </w:r>
      <w:r w:rsidR="00A075F3">
        <w:rPr>
          <w:rFonts w:ascii="Arial" w:hAnsi="Arial" w:cs="Arial"/>
          <w:sz w:val="20"/>
          <w:szCs w:val="20"/>
          <w:lang w:val="en-US"/>
        </w:rPr>
        <w:instrText>ADDIN CSL_CITATION {"citationItems":[{"id":"ITEM-1","itemData":{"ISBN":"2126762319","author":[{"dropping-particle":"","family":"Saddari","given":"Abderrazak","non-dropping-particle":"","parse-names":false,"suffix":""},{"dropping-particle":"","family":"Yahyaoui","given":"Abir","non-dropping-particle":"","parse-names":false,"suffix":""},{"dropping-particle":"","family":"Sbibih","given":"Yousra","non-dropping-particle":"","parse-names":false,"suffix":""},{"dropping-particle":"","family":"Zrouri","given":"Hajar","non-dropping-particle":"","parse-names":false,"suffix":""},{"dropping-particle":"","family":"Azizi","given":"Wissame","non-dropping-particle":"","parse-names":false,"suffix":""},{"dropping-particle":"","family":"Hamdani","given":"Oumayma","non-dropping-particle":"","parse-names":false,"suffix":""},{"dropping-particle":"","family":"Abderrahmani","given":"Jalal","non-dropping-particle":"","parse-names":false,"suffix":""},{"dropping-particle":"","family":"Harrandou","given":"Mouad","non-dropping-particle":"","parse-names":false,"suffix":""},{"dropping-particle":"","family":"Sebbar","given":"El Houcine","non-dropping-particle":"","parse-names":false,"suffix":""},{"dropping-particle":"","family":"Choukri","given":"Mohammed","non-dropping-particle":"","parse-names":false,"suffix":""}],"container-title":"New Journal for Science Vulgarization","id":"ITEM-1","issue":"1","issued":{"date-parts":[["2022"]]},"page":"47-51","title":"Micronutriments &amp; Covid-19","type":"article-journal","volume":"2"},"uris":["http://www.mendeley.com/documents/?uuid=0f6ad724-b186-4c64-b496-3d4765f7cac7"]}],"mendeley":{"formattedCitation":"(Saddari et al., 2022)","manualFormatting":"Saddari et al., 2022)","plainTextFormattedCitation":"(Saddari et al., 2022)","previouslyFormattedCitation":"(Saddari et al., 2022)"},"properties":{"noteIndex":0},"schema":"https://github.com/citation-style-language/schema/raw/master/csl-citation.json"}</w:instrText>
      </w:r>
      <w:r w:rsidRPr="00380BA4">
        <w:rPr>
          <w:rFonts w:ascii="Arial" w:hAnsi="Arial" w:cs="Arial"/>
          <w:sz w:val="20"/>
          <w:szCs w:val="20"/>
        </w:rPr>
        <w:fldChar w:fldCharType="separate"/>
      </w:r>
      <w:r w:rsidRPr="00B148EB">
        <w:rPr>
          <w:rFonts w:ascii="Arial" w:hAnsi="Arial" w:cs="Arial"/>
          <w:noProof/>
          <w:sz w:val="20"/>
          <w:szCs w:val="20"/>
          <w:lang w:val="en-US"/>
        </w:rPr>
        <w:t>Saddari et al., 2022)</w:t>
      </w:r>
      <w:r w:rsidRPr="00380BA4">
        <w:rPr>
          <w:rFonts w:ascii="Arial" w:hAnsi="Arial" w:cs="Arial"/>
          <w:sz w:val="20"/>
          <w:szCs w:val="20"/>
        </w:rPr>
        <w:fldChar w:fldCharType="end"/>
      </w:r>
      <w:r w:rsidRPr="00B148EB">
        <w:rPr>
          <w:rFonts w:ascii="Arial" w:hAnsi="Arial" w:cs="Arial"/>
          <w:sz w:val="20"/>
          <w:szCs w:val="20"/>
          <w:lang w:val="en-US"/>
        </w:rPr>
        <w:t xml:space="preserve">. Many plant matrices commonly consumed as traditional dishes and used in various therapies have seen their prices double or even triple in markets. </w:t>
      </w:r>
      <w:r w:rsidRPr="00380BA4">
        <w:rPr>
          <w:rFonts w:ascii="Arial" w:hAnsi="Arial" w:cs="Arial"/>
          <w:sz w:val="20"/>
          <w:szCs w:val="20"/>
          <w:lang w:val="en-US"/>
        </w:rPr>
        <w:t xml:space="preserve">This situation has raised numerous concerns among researchers and health agents regarding the necessity to master the multiple potentials, whether nutritional, medicinal, or even therapeutic, of our plants </w:t>
      </w:r>
      <w:r w:rsidRPr="00380BA4">
        <w:rPr>
          <w:rFonts w:ascii="Arial" w:hAnsi="Arial" w:cs="Arial"/>
          <w:sz w:val="20"/>
          <w:szCs w:val="20"/>
        </w:rPr>
        <w:fldChar w:fldCharType="begin" w:fldLock="1"/>
      </w:r>
      <w:r w:rsidR="00A075F3">
        <w:rPr>
          <w:rFonts w:ascii="Arial" w:hAnsi="Arial" w:cs="Arial"/>
          <w:sz w:val="20"/>
          <w:szCs w:val="20"/>
          <w:lang w:val="en-US"/>
        </w:rPr>
        <w:instrText>ADDIN CSL_CITATION {"citationItems":[{"id":"ITEM-1","itemData":{"DOI":"10.18006/2024.12(2).203.217","ISSN":"23208694","abstract":"This study investigates the bioactive compound content and biological activities of raw powder extracts and particle size fractions from Solanum torvum leaves. The leaves, harvested from Douala, were processed into powders and subsequently divided into different fractions. Methanolic extracts of these powders were analyzed for their content of bioactive compounds (total polyphenols, total flavonoids, and condensed tannins), antioxidant (DPPH, ABTS, FRAP assays), and antimicrobial (bacterial and fungal) activities. The particle size fraction of 250-400 µm constitutes the largest proportion (33.41%) of the raw powder. The highest contents of bioactive compounds are found in the 200-250, 400-500, and &lt; 125 µm fractions for total polyphenols (44.62 ± 0.19 mg GEA/100 ml extract), total flavonoids (14.47 ± 0.37 mg QE/100 ml extract), and condensed tannins (22.79 ± 0.12 mg CE/100 ml extract), respectively. The antioxidant activity of extracts from 500-800µm fraction improved their DPPH and ABTS assays by 31.50% and 40.44% compared to the raw powder. The same fraction (500-800 µm) and the raw powder extracts demonstrated bactericidal activities, while the 125-200, 200-250, and ≥ 800 µm fraction extracts exhibited moderate and significant antifungal activities against several bacterial and fungal strains, respectively. These biological activities are primarily attributed to the average flavonoid contents, which become more accessible in extracts after fractionation. This method of processing powder suggests that no plant powder should be disregarded or rejected due to its low content of bioactive compounds.","author":[{"dropping-particle":"","family":"Assiéné","given":"Agamou Julien Armel","non-dropping-particle":"","parse-names":false,"suffix":""},{"dropping-particle":"","family":"Djeukeu","given":"Asongni William","non-dropping-particle":"","parse-names":false,"suffix":""},{"dropping-particle":"","family":"Assiéné","given":"Oyong Damase Serge","non-dropping-particle":"","parse-names":false,"suffix":""},{"dropping-particle":"","family":"Tize","given":"Zra","non-dropping-particle":"","parse-names":false,"suffix":""},{"dropping-part</w:instrText>
      </w:r>
      <w:r w:rsidR="00A075F3" w:rsidRPr="00A075F3">
        <w:rPr>
          <w:rFonts w:ascii="Arial" w:hAnsi="Arial" w:cs="Arial"/>
          <w:sz w:val="20"/>
          <w:szCs w:val="20"/>
        </w:rPr>
        <w:instrText>icle":"","family":"Obono","given":"NdongTatiana Léa","non-dropping-particle":"","parse-names":false,"suffix":""},{"dropping-particle":"","family":"Mbango","given":"Eke Pauline","non-dropping-particle":"","parse-names":false,"suffix":""},{"dropping-particle":"","family":"Mboube","given":"Ngongang Oriane","non-dropping-particle":"","parse-names":false,"suffix":""},{"dropping-particle":"","family":"Keubing","given":"Feudjio Suzanne Rose","non-dropping-particle":"","parse-names":false,"suffix":""},{"dropping-particle":"","family":"Fongnzossie","given":"Fedoung Evariste","non-dropping-particle":"","parse-names":false,"suffix":""}],"container-title":"Journal of Experimental Biology and Agricultural Sciences","id":"ITEM-1","issue":"2","issued":{"date-parts":[["2024"]]},"page":"203-217","title":"Influence of particle size fraction and bioactive compound contents on the biological activities of Solanum torvum L. leaf powder extracts","type":"article-journal","volume":"12"},"uris":["http://www.mendeley.com/documents/?uuid=525e65e2-dadf-41e6-a150-3a587026cce5"]}],"mendeley":{"formattedCitation":"(Assiéné, Djeukeu, Assiéné, Tize, et al., 2024)","manualFormatting":"(Assiéné, Djeukeu, Assiéné, Tize, et al., 2024;","plainTextFormattedCitation":"(Assiéné, Djeukeu, Assiéné, Tize, et al., 2024)","previouslyFormattedCitation":"(Assiéné, Djeukeu, Assiéné, Tize, et al., 2024)"},"properties":{"noteIndex":0},"schema":"https://github.com/citation-style-language/schema/raw/master/csl-citation.json"}</w:instrText>
      </w:r>
      <w:r w:rsidRPr="00380BA4">
        <w:rPr>
          <w:rFonts w:ascii="Arial" w:hAnsi="Arial" w:cs="Arial"/>
          <w:sz w:val="20"/>
          <w:szCs w:val="20"/>
        </w:rPr>
        <w:fldChar w:fldCharType="separate"/>
      </w:r>
      <w:r w:rsidRPr="00380BA4">
        <w:rPr>
          <w:rFonts w:ascii="Arial" w:hAnsi="Arial" w:cs="Arial"/>
          <w:noProof/>
          <w:sz w:val="20"/>
          <w:szCs w:val="20"/>
        </w:rPr>
        <w:t>(Assiéné, Djeukeu, Assiéné, Tize, et al., 2024</w:t>
      </w:r>
      <w:r w:rsidR="00A075F3">
        <w:rPr>
          <w:rFonts w:ascii="Arial" w:hAnsi="Arial" w:cs="Arial"/>
          <w:noProof/>
          <w:sz w:val="20"/>
          <w:szCs w:val="20"/>
        </w:rPr>
        <w:t>;</w:t>
      </w:r>
      <w:r w:rsidRPr="00380BA4">
        <w:rPr>
          <w:rFonts w:ascii="Arial" w:hAnsi="Arial" w:cs="Arial"/>
          <w:sz w:val="20"/>
          <w:szCs w:val="20"/>
        </w:rPr>
        <w:fldChar w:fldCharType="end"/>
      </w:r>
      <w:r w:rsidRPr="00380BA4">
        <w:rPr>
          <w:rFonts w:ascii="Arial" w:hAnsi="Arial" w:cs="Arial"/>
          <w:sz w:val="20"/>
          <w:szCs w:val="20"/>
        </w:rPr>
        <w:fldChar w:fldCharType="begin" w:fldLock="1"/>
      </w:r>
      <w:r w:rsidR="00A075F3">
        <w:rPr>
          <w:rFonts w:ascii="Arial" w:hAnsi="Arial" w:cs="Arial"/>
          <w:sz w:val="20"/>
          <w:szCs w:val="20"/>
        </w:rPr>
        <w:instrText>ADDIN CSL_CITATION {"citationItems":[{"id":"ITEM-1","itemData":{"DOI":"10.1016/j.afres.2024.100436","author":[{"dropping-particle":"","family":"Assiéné","given":"Agamou Julien Armel","non-dropping-particle":"","parse-names":false,"suffix":""},{"dropping-particle":"","family":"Djeukeu","given":"Asongni William","non-dropping-particle":"","parse-names":false,"suffix":""},{"dropping-particle":"","family":"Assiéné","given":"Oyong Damase Serge","non-dropping-particle":"","parse-names":false,"suffix":""},{"dropping-particle":"","family":"Mbida-Mbida","given":"Yolande Isabelle","non-dropping-particle":"","parse-names":false,"suffix":""},{"dropping-particle":"","family":"Nyangono","given":"Biyegue Christine Fernande","non-dropping-particle":"","parse-names":false,"suffix":""}],"container-title":"Applied Food Research","id":"ITEM-1","issue":"2024","issued":{"date-parts":[["2024"]]},"page":"100436","title":"Nutritional and bioactive potentials of a powder and a decoction made from Ceylon cinnamon bark , Laurus nobilis leaves , and Curcuma longa Linn rhizome","type":"article-journal","volume":"4"},"uris":["http://www.mendeley.com/documents/?uuid=247f6682-a14b-4aa3-98f0-35be9cfb12e9"]}],"mendeley":{"formattedCitation":"(Assiéné, Djeukeu, Assiéné, Mbida-Mbida, et al., 2024)","manualFormatting":" Assiéné, Djeukeu, Assiéné, Mbida-Mbida, et al., 2024)","plainTextFormattedCitation":"(Assiéné, Djeukeu, Assiéné, Mbida-Mbida, et al., 2024)","previouslyFormattedCitation":"(Assiéné, Djeukeu, Assiéné, Mbida-Mbida, et al., 2024)"},"properties":{"noteIndex":0},"schema":"https://github.com/citation-style-language/schema/raw/master/csl-citation.json"}</w:instrText>
      </w:r>
      <w:r w:rsidRPr="00380BA4">
        <w:rPr>
          <w:rFonts w:ascii="Arial" w:hAnsi="Arial" w:cs="Arial"/>
          <w:sz w:val="20"/>
          <w:szCs w:val="20"/>
        </w:rPr>
        <w:fldChar w:fldCharType="separate"/>
      </w:r>
      <w:r w:rsidR="00A075F3">
        <w:rPr>
          <w:rFonts w:ascii="Arial" w:hAnsi="Arial" w:cs="Arial"/>
          <w:noProof/>
          <w:sz w:val="20"/>
          <w:szCs w:val="20"/>
        </w:rPr>
        <w:t xml:space="preserve"> </w:t>
      </w:r>
      <w:r w:rsidRPr="00380BA4">
        <w:rPr>
          <w:rFonts w:ascii="Arial" w:hAnsi="Arial" w:cs="Arial"/>
          <w:noProof/>
          <w:sz w:val="20"/>
          <w:szCs w:val="20"/>
        </w:rPr>
        <w:t>Assiéné, Djeukeu, Assiéné, Mbida-Mbida, et al., 2024)</w:t>
      </w:r>
      <w:r w:rsidRPr="00380BA4">
        <w:rPr>
          <w:rFonts w:ascii="Arial" w:hAnsi="Arial" w:cs="Arial"/>
          <w:sz w:val="20"/>
          <w:szCs w:val="20"/>
        </w:rPr>
        <w:fldChar w:fldCharType="end"/>
      </w:r>
      <w:r w:rsidRPr="00380BA4">
        <w:rPr>
          <w:rFonts w:ascii="Arial" w:hAnsi="Arial" w:cs="Arial"/>
          <w:sz w:val="20"/>
          <w:szCs w:val="20"/>
        </w:rPr>
        <w:t xml:space="preserve">. </w:t>
      </w:r>
      <w:r w:rsidRPr="00380BA4">
        <w:rPr>
          <w:rFonts w:ascii="Arial" w:hAnsi="Arial" w:cs="Arial"/>
          <w:sz w:val="20"/>
          <w:szCs w:val="20"/>
          <w:lang w:val="en-US"/>
        </w:rPr>
        <w:t xml:space="preserve">Among these are the leaves of </w:t>
      </w:r>
      <w:proofErr w:type="spellStart"/>
      <w:r w:rsidRPr="00380BA4">
        <w:rPr>
          <w:rFonts w:ascii="Arial" w:hAnsi="Arial" w:cs="Arial"/>
          <w:i/>
          <w:iCs/>
          <w:sz w:val="20"/>
          <w:szCs w:val="20"/>
          <w:lang w:val="en-US"/>
        </w:rPr>
        <w:t>Adansonia</w:t>
      </w:r>
      <w:proofErr w:type="spellEnd"/>
      <w:r w:rsidRPr="00380BA4">
        <w:rPr>
          <w:rFonts w:ascii="Arial" w:hAnsi="Arial" w:cs="Arial"/>
          <w:i/>
          <w:iCs/>
          <w:sz w:val="20"/>
          <w:szCs w:val="20"/>
          <w:lang w:val="en-US"/>
        </w:rPr>
        <w:t xml:space="preserve"> </w:t>
      </w:r>
      <w:proofErr w:type="spellStart"/>
      <w:r w:rsidRPr="00380BA4">
        <w:rPr>
          <w:rFonts w:ascii="Arial" w:hAnsi="Arial" w:cs="Arial"/>
          <w:i/>
          <w:iCs/>
          <w:sz w:val="20"/>
          <w:szCs w:val="20"/>
          <w:lang w:val="en-US"/>
        </w:rPr>
        <w:t>digitata</w:t>
      </w:r>
      <w:proofErr w:type="spellEnd"/>
      <w:r w:rsidRPr="00380BA4">
        <w:rPr>
          <w:rFonts w:ascii="Arial" w:hAnsi="Arial" w:cs="Arial"/>
          <w:i/>
          <w:iCs/>
          <w:sz w:val="20"/>
          <w:szCs w:val="20"/>
          <w:lang w:val="en-US"/>
        </w:rPr>
        <w:t xml:space="preserve">, Corchorus </w:t>
      </w:r>
      <w:proofErr w:type="spellStart"/>
      <w:r w:rsidRPr="00380BA4">
        <w:rPr>
          <w:rFonts w:ascii="Arial" w:hAnsi="Arial" w:cs="Arial"/>
          <w:i/>
          <w:iCs/>
          <w:sz w:val="20"/>
          <w:szCs w:val="20"/>
          <w:lang w:val="en-US"/>
        </w:rPr>
        <w:t>olitorius</w:t>
      </w:r>
      <w:proofErr w:type="spellEnd"/>
      <w:r w:rsidRPr="00380BA4">
        <w:rPr>
          <w:rFonts w:ascii="Arial" w:hAnsi="Arial" w:cs="Arial"/>
          <w:i/>
          <w:iCs/>
          <w:sz w:val="20"/>
          <w:szCs w:val="20"/>
          <w:lang w:val="en-US"/>
        </w:rPr>
        <w:t>,</w:t>
      </w:r>
      <w:r w:rsidRPr="00380BA4">
        <w:rPr>
          <w:rFonts w:ascii="Arial" w:hAnsi="Arial" w:cs="Arial"/>
          <w:sz w:val="20"/>
          <w:szCs w:val="20"/>
          <w:lang w:val="en-US"/>
        </w:rPr>
        <w:t xml:space="preserve"> and the bark of </w:t>
      </w:r>
      <w:proofErr w:type="spellStart"/>
      <w:r w:rsidRPr="00380BA4">
        <w:rPr>
          <w:rFonts w:ascii="Arial" w:hAnsi="Arial" w:cs="Arial"/>
          <w:i/>
          <w:iCs/>
          <w:sz w:val="20"/>
          <w:szCs w:val="20"/>
          <w:lang w:val="en-US"/>
        </w:rPr>
        <w:t>Triumfetta</w:t>
      </w:r>
      <w:proofErr w:type="spellEnd"/>
      <w:r w:rsidRPr="00380BA4">
        <w:rPr>
          <w:rFonts w:ascii="Arial" w:hAnsi="Arial" w:cs="Arial"/>
          <w:i/>
          <w:iCs/>
          <w:sz w:val="20"/>
          <w:szCs w:val="20"/>
          <w:lang w:val="en-US"/>
        </w:rPr>
        <w:t xml:space="preserve"> </w:t>
      </w:r>
      <w:proofErr w:type="spellStart"/>
      <w:r w:rsidRPr="00380BA4">
        <w:rPr>
          <w:rFonts w:ascii="Arial" w:hAnsi="Arial" w:cs="Arial"/>
          <w:i/>
          <w:iCs/>
          <w:sz w:val="20"/>
          <w:szCs w:val="20"/>
          <w:lang w:val="en-US"/>
        </w:rPr>
        <w:t>cordifolia</w:t>
      </w:r>
      <w:proofErr w:type="spellEnd"/>
      <w:r w:rsidRPr="00380BA4">
        <w:rPr>
          <w:rFonts w:ascii="Arial" w:hAnsi="Arial" w:cs="Arial"/>
          <w:sz w:val="20"/>
          <w:szCs w:val="20"/>
          <w:lang w:val="en-US"/>
        </w:rPr>
        <w:t>.</w:t>
      </w:r>
    </w:p>
    <w:p w14:paraId="62E362B8" w14:textId="2F6C39B4" w:rsidR="00FD680F" w:rsidRPr="003400A2" w:rsidRDefault="00FD680F" w:rsidP="00FD680F">
      <w:pPr>
        <w:spacing w:line="360" w:lineRule="auto"/>
        <w:jc w:val="both"/>
        <w:rPr>
          <w:rFonts w:ascii="Arial" w:hAnsi="Arial" w:cs="Arial"/>
          <w:sz w:val="20"/>
          <w:szCs w:val="20"/>
        </w:rPr>
      </w:pPr>
      <w:r w:rsidRPr="00380BA4">
        <w:rPr>
          <w:rFonts w:ascii="Arial" w:hAnsi="Arial" w:cs="Arial"/>
          <w:i/>
          <w:iCs/>
          <w:sz w:val="20"/>
          <w:szCs w:val="20"/>
          <w:lang w:val="en-US"/>
        </w:rPr>
        <w:t>A. digitata</w:t>
      </w:r>
      <w:r w:rsidRPr="00380BA4">
        <w:rPr>
          <w:rFonts w:ascii="Arial" w:hAnsi="Arial" w:cs="Arial"/>
          <w:sz w:val="20"/>
          <w:szCs w:val="20"/>
          <w:lang w:val="en-US"/>
        </w:rPr>
        <w:t xml:space="preserve"> L. (Bombacaceae), commonly known as baobab, is a tree found in the dry and hot regions of tropical Africa (Cameroon, Nigeria, Ghana, </w:t>
      </w:r>
      <w:r w:rsidR="00743DD4">
        <w:rPr>
          <w:rFonts w:ascii="Arial" w:hAnsi="Arial" w:cs="Arial"/>
          <w:sz w:val="20"/>
          <w:szCs w:val="20"/>
          <w:lang w:val="en-US"/>
        </w:rPr>
        <w:t>Ivory Coast</w:t>
      </w:r>
      <w:r w:rsidRPr="00380BA4">
        <w:rPr>
          <w:rFonts w:ascii="Arial" w:hAnsi="Arial" w:cs="Arial"/>
          <w:sz w:val="20"/>
          <w:szCs w:val="20"/>
          <w:lang w:val="en-US"/>
        </w:rPr>
        <w:t xml:space="preserve">, etc.). It is a massive and majestic tree that can reach over 25 meters in height and can live for more than a century </w:t>
      </w:r>
      <w:r w:rsidRPr="00380BA4">
        <w:rPr>
          <w:rFonts w:ascii="Arial" w:hAnsi="Arial" w:cs="Arial"/>
          <w:sz w:val="20"/>
          <w:szCs w:val="20"/>
        </w:rPr>
        <w:fldChar w:fldCharType="begin" w:fldLock="1"/>
      </w:r>
      <w:r w:rsidRPr="00380BA4">
        <w:rPr>
          <w:rFonts w:ascii="Arial" w:hAnsi="Arial" w:cs="Arial"/>
          <w:sz w:val="20"/>
          <w:szCs w:val="20"/>
          <w:lang w:val="en-US"/>
        </w:rPr>
        <w:instrText>ADDIN CSL_CITATION {"citationItems":[{"id":"ITEM-1","itemData":{"DOI":"10.5251/abjna.2014.5.3.104.108","ISSN":"2151-7525","abstract":"Baobab (Adansonia digitata L.) belongs to the Bombaceae family and is known generally as the African baobab. Baobab leaves are widely used, cooked as spinach, and frequently dried often powdered and used for sauces over porridges, thick gruels of grains or boiled rice. This study is investigating the effect of different common drying methods on the physical and chemical properties of African baobab leaves. Fresh and matured leaves were thoroughly washed and drained to remove all dirts and divided into five samples. Each sample was dried under the sun, under a shade, cabinet dryer set at a temperature of 50 0 C, and solar dryer respectively. Proximate, mineral and Vitamin A composition and colour determination were carried out on the fresh and dried samples. The results showed that the fresh sample is rich in Protein (12.28%). Shade drying was found most suitable among the drying methods because it was able to retain most of the nutrients with significant difference in proximate, ascorbic acid and mineral contents from other drying methods. Shade drying was therefore recommended.","author":[{"dropping-particle":"","family":"Abioye","given":"V F","non-dropping-particle":"","parse-names":false,"suffix":""},{"dropping-particle":"","family":"Adejuyitan","given":"J A","non-dropping-particle":"","parse-names":false,"suffix":""},{"dropping-particle":"","family":"Idowu","given":"C F","non-dropping-particle":"","parse-names":false,"suffix":""}],"container-title":"Agriculture and Biology Journal of North America","id":"ITEM-1","issue":"3","issued":{"date-parts":[["2014"]]},"page":"104-108","title":"Effects of different drying methods on the nutritional and quality attributes of baobab leaves (Adansonia digitata)","type":"article-journal","volume":"5"},"uris":["http://www.mendeley.com/documents/?uuid=90ea09a8-cc07-3f29-a57c-ff25ef2d0ddd"]}],"mendeley":{"formattedCitation":"(Abioye et al., 2014)","plainTextFormattedCitation":"(Abioye et al., 2014)","previouslyFormattedCitation":"(Abioye et al., 2014)"},"properties":{"noteIndex":0},"schema":"https://github.com/citation-style-language/schema/raw/master/csl-citation.json"}</w:instrText>
      </w:r>
      <w:r w:rsidRPr="00380BA4">
        <w:rPr>
          <w:rFonts w:ascii="Arial" w:hAnsi="Arial" w:cs="Arial"/>
          <w:sz w:val="20"/>
          <w:szCs w:val="20"/>
        </w:rPr>
        <w:fldChar w:fldCharType="separate"/>
      </w:r>
      <w:r w:rsidRPr="00380BA4">
        <w:rPr>
          <w:rFonts w:ascii="Arial" w:hAnsi="Arial" w:cs="Arial"/>
          <w:noProof/>
          <w:sz w:val="20"/>
          <w:szCs w:val="20"/>
          <w:lang w:val="en-US"/>
        </w:rPr>
        <w:t>(Abioye et al., 2014)</w:t>
      </w:r>
      <w:r w:rsidRPr="00380BA4">
        <w:rPr>
          <w:rFonts w:ascii="Arial" w:hAnsi="Arial" w:cs="Arial"/>
          <w:sz w:val="20"/>
          <w:szCs w:val="20"/>
        </w:rPr>
        <w:fldChar w:fldCharType="end"/>
      </w:r>
      <w:r w:rsidRPr="00380BA4">
        <w:rPr>
          <w:rFonts w:ascii="Arial" w:hAnsi="Arial" w:cs="Arial"/>
          <w:sz w:val="20"/>
          <w:szCs w:val="20"/>
          <w:lang w:val="en-US"/>
        </w:rPr>
        <w:t xml:space="preserve">. The leaves of this tree are composed of several leaflets and have a digitated shape. They are consumed fresh or dried and are rich in proteins, vitamins (particularly vitamin C), minerals, fibers, and antioxidants (phenolic compounds, flavonoids, etc.) </w:t>
      </w:r>
      <w:r w:rsidRPr="00380BA4">
        <w:rPr>
          <w:rFonts w:ascii="Arial" w:hAnsi="Arial" w:cs="Arial"/>
          <w:sz w:val="20"/>
          <w:szCs w:val="20"/>
        </w:rPr>
        <w:fldChar w:fldCharType="begin" w:fldLock="1"/>
      </w:r>
      <w:r w:rsidR="00085CF4">
        <w:rPr>
          <w:rFonts w:ascii="Arial" w:hAnsi="Arial" w:cs="Arial"/>
          <w:sz w:val="20"/>
          <w:szCs w:val="20"/>
          <w:lang w:val="en-US"/>
        </w:rPr>
        <w:instrText>ADDIN CSL_CITATION {"citationItems":[{"id":"ITEM-1","itemData":{"DOI":"10.9790/5736-08516065","abstract":"Baobab (Adansonia digitata L.) is known in Africa as the tree of life because there are many traditional uses for every part of it, from the leaves to the roots. This study carried out the proximate analysis of baobab leaves, screened the phytochemicals present and determined the leaves' aqueous extract antimicrobial activity to suit the traditional way of preparation and use. Phytochemicals screening was carried out on the ethanolic, methanolic and aqueous extracts of the leaves. The phytochemicals screened were reducing sugar, flavonoids, terpenoids, saponins, tannins, alkaloids, anthraquinones, steroids, resins, phenols, cardiac-active glycosides. The aqueous extract of baobab leaves was tested for its antimicrobial activity against the following organisms; Staphylococcus aureus, Esherichia coli, Bacillus subtilis, Pseudomonas aeruginosa, Saimonelle typhi, Klebsiellae pneumonae, Candida albicans, Aspergillus niger, Rhizopus stolomifer, Penicillum rotatumat at different concentrations of 200, 100, 50, 25, 12.5, 6.25 mg/ml, with water, gentamycin 10 µg/ml(Bacterial), tioconazole70% (fungi) as negative and positive controls respectively. The proximate analysis revealed baobab leaves contain protein (13.6%), fat (2.71`%), sugar(0.01%), ash(4.08%), crude fibre (2.45%), Moisture content(78.2%),Vitamin C</w:instrText>
      </w:r>
      <w:r w:rsidR="00085CF4" w:rsidRPr="00B148EB">
        <w:rPr>
          <w:rFonts w:ascii="Arial" w:hAnsi="Arial" w:cs="Arial"/>
          <w:sz w:val="20"/>
          <w:szCs w:val="20"/>
        </w:rPr>
        <w:instrText xml:space="preserve"> (14.98mg/100g). All phytochemicals screened were found to be present. The result showed that the aqueous extract of the baobab leaves was active against the tested organisms except klebsiellae pneumonae. Staphylococcus aureus is more sensitive to the antimicrobial activity of the extract. The aqueous extract displayed broad spectrum effect because it has activities on Grams positive and Grams negative bacteria and fungi.","author":[{"dropping-particle":"","family":"Abiona","given":"DL","non-dropping-particle":"","parse-names":false,"suffix":""},{"dropping-particle":"","family":"Adedapo","given":"Z","non-dropping-particle":"","parse-names":false,"suffix":""},{"dropping-particle":"","family":"Suleiman","given":"MK","non-dropping-particle":"","parse-names":false,"suffix":""}],"container-title":"IOSR Journal of Applied Chemistry (IOSR-JAC","id":"ITEM-1","issue":"5","issued":{"date-parts":[["2015"]]},"page":"60-65","title":"Proximate Analysis, Phytochemical Screening and Antimicrobial Activity of Baobab (Adansonia digitata) Leaves","type":"article-journal","volume":"8"},"uris":["http://www.mendeley.com/documents/?uuid=9219ffc0-2fc8-3b17-a6b6-84299018697f"]}],"mendeley":{"formattedCitation":"(Abiona et al., 2015)","manualFormatting":"(Abiona et al., 2015;","plainTextFormattedCitation":"(Abiona et al., 2015)","previouslyFormattedCitation":"(Abiona et al., 2015)"},"properties":{"noteIndex":0},"schema":"https://github.com/citation-style-language/schema/raw/master/csl-citation.json"}</w:instrText>
      </w:r>
      <w:r w:rsidRPr="00380BA4">
        <w:rPr>
          <w:rFonts w:ascii="Arial" w:hAnsi="Arial" w:cs="Arial"/>
          <w:sz w:val="20"/>
          <w:szCs w:val="20"/>
        </w:rPr>
        <w:fldChar w:fldCharType="separate"/>
      </w:r>
      <w:r w:rsidRPr="00380BA4">
        <w:rPr>
          <w:rFonts w:ascii="Arial" w:hAnsi="Arial" w:cs="Arial"/>
          <w:noProof/>
          <w:sz w:val="20"/>
          <w:szCs w:val="20"/>
        </w:rPr>
        <w:t>(Abiona et al., 2015</w:t>
      </w:r>
      <w:r w:rsidR="00A075F3">
        <w:rPr>
          <w:rFonts w:ascii="Arial" w:hAnsi="Arial" w:cs="Arial"/>
          <w:noProof/>
          <w:sz w:val="20"/>
          <w:szCs w:val="20"/>
        </w:rPr>
        <w:t>;</w:t>
      </w:r>
      <w:r w:rsidRPr="00380BA4">
        <w:rPr>
          <w:rFonts w:ascii="Arial" w:hAnsi="Arial" w:cs="Arial"/>
          <w:sz w:val="20"/>
          <w:szCs w:val="20"/>
        </w:rPr>
        <w:fldChar w:fldCharType="end"/>
      </w:r>
      <w:r w:rsidR="00A075F3">
        <w:rPr>
          <w:rFonts w:ascii="Arial" w:hAnsi="Arial" w:cs="Arial"/>
          <w:sz w:val="20"/>
          <w:szCs w:val="20"/>
        </w:rPr>
        <w:t xml:space="preserve"> </w:t>
      </w:r>
      <w:r w:rsidRPr="00380BA4">
        <w:rPr>
          <w:rFonts w:ascii="Arial" w:hAnsi="Arial" w:cs="Arial"/>
          <w:sz w:val="20"/>
          <w:szCs w:val="20"/>
        </w:rPr>
        <w:fldChar w:fldCharType="begin" w:fldLock="1"/>
      </w:r>
      <w:r w:rsidR="00A075F3">
        <w:rPr>
          <w:rFonts w:ascii="Arial" w:hAnsi="Arial" w:cs="Arial"/>
          <w:sz w:val="20"/>
          <w:szCs w:val="20"/>
        </w:rPr>
        <w:instrText>ADDIN CSL_CITATION {"citationItems":[{"id":"ITEM-1","itemData":{"DOI":"10.26855/ijfsa.2021.09.019","ISSN":"25783467","author":[{"dropping-particle":"","family":"Habte","given":"T. Y.","non-dropping-particle":"","parse-names":false,"suffix":""},{"dropping-particle":"","family":"Suleiman","given":"I.","non-dropping-particle":"","parse-names":false,"suffix":""},{"dropping-particle":"","family":"Ahmed","given":"A. I.","non-dropping-particle":"","parse-names":false,"suffix":""},{"dropping-particle":"","family":"Latif","given":"S.","non-dropping-particle":"","parse-names":false,"suffix":""},{"dropping-particle":"","family":"Krawinkel","given":"M. B.","non-dropping-particle":"","parse-names":false,"suffix":""}],"container-title":"International Journal of Food Science and Agriculture","id":"ITEM-1","issue":"3","issued":{"date-parts":[["2021"]]},"page":"482-491","title":"Nutritional Value of Baobab Leaves (Adansonia digitata L.) from North- and West-Kordofan in Sudan: In-Vitro Minerals Bioavailability and Protein Quality","type":"article-journal","volume":"5"},"uris":["http://www.mendeley.com/documents/?uuid=74501f67-425f-4ed0-9766-b4a72188db74"]}],"mendeley":{"formattedCitation":"(Habte et al., 2021)","manualFormatting":"Habte et al., 2021)","plainTextFormattedCitation":"(Habte et al., 2021)","previouslyFormattedCitation":"(Habte et al., 2021)"},"properties":{"noteIndex":0},"schema":"https://github.com/citation-style-language/schema/raw/master/csl-citation.json"}</w:instrText>
      </w:r>
      <w:r w:rsidRPr="00380BA4">
        <w:rPr>
          <w:rFonts w:ascii="Arial" w:hAnsi="Arial" w:cs="Arial"/>
          <w:sz w:val="20"/>
          <w:szCs w:val="20"/>
        </w:rPr>
        <w:fldChar w:fldCharType="separate"/>
      </w:r>
      <w:r w:rsidRPr="00380BA4">
        <w:rPr>
          <w:rFonts w:ascii="Arial" w:hAnsi="Arial" w:cs="Arial"/>
          <w:noProof/>
          <w:sz w:val="20"/>
          <w:szCs w:val="20"/>
        </w:rPr>
        <w:t>Habte et al., 2021)</w:t>
      </w:r>
      <w:r w:rsidRPr="00380BA4">
        <w:rPr>
          <w:rFonts w:ascii="Arial" w:hAnsi="Arial" w:cs="Arial"/>
          <w:sz w:val="20"/>
          <w:szCs w:val="20"/>
        </w:rPr>
        <w:fldChar w:fldCharType="end"/>
      </w:r>
      <w:r w:rsidRPr="00380BA4">
        <w:rPr>
          <w:rFonts w:ascii="Arial" w:hAnsi="Arial" w:cs="Arial"/>
          <w:sz w:val="20"/>
          <w:szCs w:val="20"/>
        </w:rPr>
        <w:t xml:space="preserve">. </w:t>
      </w:r>
      <w:r w:rsidRPr="003400A2">
        <w:rPr>
          <w:rFonts w:ascii="Arial" w:hAnsi="Arial" w:cs="Arial"/>
          <w:sz w:val="20"/>
          <w:szCs w:val="20"/>
        </w:rPr>
        <w:t xml:space="preserve">Baobab </w:t>
      </w:r>
      <w:proofErr w:type="spellStart"/>
      <w:r w:rsidRPr="003400A2">
        <w:rPr>
          <w:rFonts w:ascii="Arial" w:hAnsi="Arial" w:cs="Arial"/>
          <w:sz w:val="20"/>
          <w:szCs w:val="20"/>
        </w:rPr>
        <w:t>leaves</w:t>
      </w:r>
      <w:proofErr w:type="spellEnd"/>
      <w:r w:rsidRPr="003400A2">
        <w:rPr>
          <w:rFonts w:ascii="Arial" w:hAnsi="Arial" w:cs="Arial"/>
          <w:sz w:val="20"/>
          <w:szCs w:val="20"/>
        </w:rPr>
        <w:t xml:space="preserve"> are </w:t>
      </w:r>
      <w:proofErr w:type="spellStart"/>
      <w:r w:rsidRPr="003400A2">
        <w:rPr>
          <w:rFonts w:ascii="Arial" w:hAnsi="Arial" w:cs="Arial"/>
          <w:sz w:val="20"/>
          <w:szCs w:val="20"/>
        </w:rPr>
        <w:t>also</w:t>
      </w:r>
      <w:proofErr w:type="spellEnd"/>
      <w:r w:rsidRPr="003400A2">
        <w:rPr>
          <w:rFonts w:ascii="Arial" w:hAnsi="Arial" w:cs="Arial"/>
          <w:sz w:val="20"/>
          <w:szCs w:val="20"/>
        </w:rPr>
        <w:t xml:space="preserve"> </w:t>
      </w:r>
      <w:proofErr w:type="spellStart"/>
      <w:r w:rsidRPr="003400A2">
        <w:rPr>
          <w:rFonts w:ascii="Arial" w:hAnsi="Arial" w:cs="Arial"/>
          <w:sz w:val="20"/>
          <w:szCs w:val="20"/>
        </w:rPr>
        <w:t>recommended</w:t>
      </w:r>
      <w:proofErr w:type="spellEnd"/>
      <w:r w:rsidRPr="003400A2">
        <w:rPr>
          <w:rFonts w:ascii="Arial" w:hAnsi="Arial" w:cs="Arial"/>
          <w:sz w:val="20"/>
          <w:szCs w:val="20"/>
        </w:rPr>
        <w:t xml:space="preserve"> for </w:t>
      </w:r>
      <w:proofErr w:type="spellStart"/>
      <w:r w:rsidRPr="003400A2">
        <w:rPr>
          <w:rFonts w:ascii="Arial" w:hAnsi="Arial" w:cs="Arial"/>
          <w:sz w:val="20"/>
          <w:szCs w:val="20"/>
        </w:rPr>
        <w:t>combating</w:t>
      </w:r>
      <w:proofErr w:type="spellEnd"/>
      <w:r w:rsidRPr="003400A2">
        <w:rPr>
          <w:rFonts w:ascii="Arial" w:hAnsi="Arial" w:cs="Arial"/>
          <w:sz w:val="20"/>
          <w:szCs w:val="20"/>
        </w:rPr>
        <w:t xml:space="preserve"> </w:t>
      </w:r>
      <w:proofErr w:type="spellStart"/>
      <w:r w:rsidRPr="003400A2">
        <w:rPr>
          <w:rFonts w:ascii="Arial" w:hAnsi="Arial" w:cs="Arial"/>
          <w:sz w:val="20"/>
          <w:szCs w:val="20"/>
        </w:rPr>
        <w:t>gastroenteritis</w:t>
      </w:r>
      <w:proofErr w:type="spellEnd"/>
      <w:r w:rsidRPr="003400A2">
        <w:rPr>
          <w:rFonts w:ascii="Arial" w:hAnsi="Arial" w:cs="Arial"/>
          <w:sz w:val="20"/>
          <w:szCs w:val="20"/>
        </w:rPr>
        <w:t xml:space="preserve">, </w:t>
      </w:r>
      <w:proofErr w:type="spellStart"/>
      <w:r w:rsidRPr="003400A2">
        <w:rPr>
          <w:rFonts w:ascii="Arial" w:hAnsi="Arial" w:cs="Arial"/>
          <w:sz w:val="20"/>
          <w:szCs w:val="20"/>
        </w:rPr>
        <w:t>fevers</w:t>
      </w:r>
      <w:proofErr w:type="spellEnd"/>
      <w:r w:rsidRPr="003400A2">
        <w:rPr>
          <w:rFonts w:ascii="Arial" w:hAnsi="Arial" w:cs="Arial"/>
          <w:sz w:val="20"/>
          <w:szCs w:val="20"/>
        </w:rPr>
        <w:t xml:space="preserve">, and </w:t>
      </w:r>
      <w:proofErr w:type="spellStart"/>
      <w:r w:rsidRPr="003400A2">
        <w:rPr>
          <w:rFonts w:ascii="Arial" w:hAnsi="Arial" w:cs="Arial"/>
          <w:sz w:val="20"/>
          <w:szCs w:val="20"/>
        </w:rPr>
        <w:t>infectious</w:t>
      </w:r>
      <w:proofErr w:type="spellEnd"/>
      <w:r w:rsidRPr="003400A2">
        <w:rPr>
          <w:rFonts w:ascii="Arial" w:hAnsi="Arial" w:cs="Arial"/>
          <w:sz w:val="20"/>
          <w:szCs w:val="20"/>
        </w:rPr>
        <w:t xml:space="preserve"> </w:t>
      </w:r>
      <w:proofErr w:type="spellStart"/>
      <w:r w:rsidRPr="003400A2">
        <w:rPr>
          <w:rFonts w:ascii="Arial" w:hAnsi="Arial" w:cs="Arial"/>
          <w:sz w:val="20"/>
          <w:szCs w:val="20"/>
        </w:rPr>
        <w:t>diseases</w:t>
      </w:r>
      <w:proofErr w:type="spellEnd"/>
      <w:r w:rsidRPr="003400A2">
        <w:rPr>
          <w:rFonts w:ascii="Arial" w:hAnsi="Arial" w:cs="Arial"/>
          <w:sz w:val="20"/>
          <w:szCs w:val="20"/>
        </w:rPr>
        <w:t>.</w:t>
      </w:r>
    </w:p>
    <w:p w14:paraId="484F1DC3" w14:textId="77777777" w:rsidR="00FD680F" w:rsidRPr="00380BA4" w:rsidRDefault="00FD680F" w:rsidP="00FD680F">
      <w:pPr>
        <w:spacing w:line="360" w:lineRule="auto"/>
        <w:jc w:val="both"/>
        <w:rPr>
          <w:rFonts w:ascii="Arial" w:hAnsi="Arial" w:cs="Arial"/>
          <w:sz w:val="20"/>
          <w:szCs w:val="20"/>
          <w:lang w:val="en-US"/>
        </w:rPr>
      </w:pPr>
      <w:r w:rsidRPr="00380BA4">
        <w:rPr>
          <w:rFonts w:ascii="Arial" w:hAnsi="Arial" w:cs="Arial"/>
          <w:i/>
          <w:iCs/>
          <w:sz w:val="20"/>
          <w:szCs w:val="20"/>
          <w:lang w:val="en-US"/>
        </w:rPr>
        <w:t xml:space="preserve">C. </w:t>
      </w:r>
      <w:proofErr w:type="spellStart"/>
      <w:r w:rsidRPr="00380BA4">
        <w:rPr>
          <w:rFonts w:ascii="Arial" w:hAnsi="Arial" w:cs="Arial"/>
          <w:i/>
          <w:iCs/>
          <w:sz w:val="20"/>
          <w:szCs w:val="20"/>
          <w:lang w:val="en-US"/>
        </w:rPr>
        <w:t>olitorius</w:t>
      </w:r>
      <w:proofErr w:type="spellEnd"/>
      <w:r w:rsidRPr="00380BA4">
        <w:rPr>
          <w:rFonts w:ascii="Arial" w:hAnsi="Arial" w:cs="Arial"/>
          <w:sz w:val="20"/>
          <w:szCs w:val="20"/>
          <w:lang w:val="en-US"/>
        </w:rPr>
        <w:t xml:space="preserve"> (</w:t>
      </w:r>
      <w:proofErr w:type="spellStart"/>
      <w:r w:rsidRPr="00380BA4">
        <w:rPr>
          <w:rFonts w:ascii="Arial" w:hAnsi="Arial" w:cs="Arial"/>
          <w:sz w:val="20"/>
          <w:szCs w:val="20"/>
          <w:lang w:val="en-US"/>
        </w:rPr>
        <w:t>Malvaceae</w:t>
      </w:r>
      <w:proofErr w:type="spellEnd"/>
      <w:r w:rsidRPr="00380BA4">
        <w:rPr>
          <w:rFonts w:ascii="Arial" w:hAnsi="Arial" w:cs="Arial"/>
          <w:sz w:val="20"/>
          <w:szCs w:val="20"/>
          <w:lang w:val="en-US"/>
        </w:rPr>
        <w:t>), also known as jute or "</w:t>
      </w:r>
      <w:proofErr w:type="spellStart"/>
      <w:r w:rsidRPr="00380BA4">
        <w:rPr>
          <w:rFonts w:ascii="Arial" w:hAnsi="Arial" w:cs="Arial"/>
          <w:sz w:val="20"/>
          <w:szCs w:val="20"/>
          <w:lang w:val="en-US"/>
        </w:rPr>
        <w:t>corète</w:t>
      </w:r>
      <w:proofErr w:type="spellEnd"/>
      <w:r w:rsidRPr="00380BA4">
        <w:rPr>
          <w:rFonts w:ascii="Arial" w:hAnsi="Arial" w:cs="Arial"/>
          <w:sz w:val="20"/>
          <w:szCs w:val="20"/>
          <w:lang w:val="en-US"/>
        </w:rPr>
        <w:t xml:space="preserve"> </w:t>
      </w:r>
      <w:proofErr w:type="spellStart"/>
      <w:r w:rsidRPr="00380BA4">
        <w:rPr>
          <w:rFonts w:ascii="Arial" w:hAnsi="Arial" w:cs="Arial"/>
          <w:sz w:val="20"/>
          <w:szCs w:val="20"/>
          <w:lang w:val="en-US"/>
        </w:rPr>
        <w:t>potagère</w:t>
      </w:r>
      <w:proofErr w:type="spellEnd"/>
      <w:r w:rsidRPr="00380BA4">
        <w:rPr>
          <w:rFonts w:ascii="Arial" w:hAnsi="Arial" w:cs="Arial"/>
          <w:sz w:val="20"/>
          <w:szCs w:val="20"/>
          <w:lang w:val="en-US"/>
        </w:rPr>
        <w:t>" in French and "</w:t>
      </w:r>
      <w:proofErr w:type="spellStart"/>
      <w:r w:rsidRPr="00380BA4">
        <w:rPr>
          <w:rFonts w:ascii="Arial" w:hAnsi="Arial" w:cs="Arial"/>
          <w:sz w:val="20"/>
          <w:szCs w:val="20"/>
          <w:lang w:val="en-US"/>
        </w:rPr>
        <w:t>kelen</w:t>
      </w:r>
      <w:proofErr w:type="spellEnd"/>
      <w:r w:rsidRPr="00380BA4">
        <w:rPr>
          <w:rFonts w:ascii="Arial" w:hAnsi="Arial" w:cs="Arial"/>
          <w:sz w:val="20"/>
          <w:szCs w:val="20"/>
          <w:lang w:val="en-US"/>
        </w:rPr>
        <w:t xml:space="preserve"> </w:t>
      </w:r>
      <w:proofErr w:type="spellStart"/>
      <w:r w:rsidRPr="00380BA4">
        <w:rPr>
          <w:rFonts w:ascii="Arial" w:hAnsi="Arial" w:cs="Arial"/>
          <w:sz w:val="20"/>
          <w:szCs w:val="20"/>
          <w:lang w:val="en-US"/>
        </w:rPr>
        <w:t>kelen</w:t>
      </w:r>
      <w:proofErr w:type="spellEnd"/>
      <w:r w:rsidRPr="00380BA4">
        <w:rPr>
          <w:rFonts w:ascii="Arial" w:hAnsi="Arial" w:cs="Arial"/>
          <w:sz w:val="20"/>
          <w:szCs w:val="20"/>
          <w:lang w:val="en-US"/>
        </w:rPr>
        <w:t xml:space="preserve">" in the local Bafia language, is an annual herbaceous plant characterized by a slender stem. It is found in tropical regions of Africa (Cameroon, Nigeria, Ghana, Benin, etc.) and subtropical regions (Zimbabwe, Namibia, South Africa, etc.) due to its popularity as a leafy soup </w:t>
      </w:r>
      <w:r w:rsidRPr="00380BA4">
        <w:rPr>
          <w:rFonts w:ascii="Arial" w:hAnsi="Arial" w:cs="Arial"/>
          <w:sz w:val="20"/>
          <w:szCs w:val="20"/>
        </w:rPr>
        <w:fldChar w:fldCharType="begin" w:fldLock="1"/>
      </w:r>
      <w:r w:rsidRPr="00380BA4">
        <w:rPr>
          <w:rFonts w:ascii="Arial" w:hAnsi="Arial" w:cs="Arial"/>
          <w:sz w:val="20"/>
          <w:szCs w:val="20"/>
          <w:lang w:val="en-US"/>
        </w:rPr>
        <w:instrText>ADDIN CSL_CITATION {"citationItems":[{"id":"ITEM-1","itemData":{"DOI":"10.1039/d2ra07406k","ISSN":"20462069","abstract":"Corchorus olitorius L. is a nutritious green leafy vegetable that is eaten as a viscous soup in African and Middle Eastern cultures. The purpose of this review is to highlight the nutritional and nutraceutical potential of this plant. The leaves of C. olitorius are rich providers of minerals as calcium and iron in addition to vitamins B1, B2, folic acid C and E. The leaves contain numerous compounds having several biological effects including antidiabetic and antioxidant properties. Besides, the leaves comprise other phytochemicals such as cardiac glycosides, terpenes, flavonoids, fatty acids, hydrocarbons and phenolics. Various extracts of C. olitorius were shown to exhibit antioxidant, anti-inflammatory, hepatoprotective, antihyperlipidemic, immunostimulant, antitumor, antimicrobial, antidiabetic, analgesic, wound-healing properties and cardioprotective activities.","author":[{"dropping-particle":"","family":"Abdel-Razek","given":"Marwa A.M.","non-dropping-particle":"","parse-names":false,"suffix":""},{"dropping-particle":"","family":"Abdelwahab","given":"Miada F.","non-dropping-particle":"","parse-names":false,"suffix":""},{"dropping-particle":"","family":"Abdelmohsen","given":"Usama Ramadan","non-dropping-particle":"","parse-names":false,"suffix":""},{"dropping-particle":"","family":"Hamed","given":"Ashraf N.E.","non-dropping-particle":"","parse-names":false,"suffix":""}],"container-title":"RSC Advances","id":"ITEM-1","issue":"54","issued":{"date-parts":[["2022"]]},"page":"35103-35114","publisher":"Royal Society of Chemistry","title":"Pharmacological and phytochemical biodiversity of Corchorus olitorius","type":"article-journal","volume":"12"},"uris":["http://www.mendeley.com/documents/?uuid=969b0581-6feb-4d3b-81e1-acc2d9097206"]}],"mendeley":{"formattedCitation":"(Abdel-Razek et al., 2022)","plainTextFormattedCitation":"(Abdel-Razek et al., 2022)","previouslyFormattedCitation":"(Abdel-Razek et al., 2022)"},"properties":{"noteIndex":0},"schema":"https://github.com/citation-style-language/schema/raw/master/csl-citation.json"}</w:instrText>
      </w:r>
      <w:r w:rsidRPr="00380BA4">
        <w:rPr>
          <w:rFonts w:ascii="Arial" w:hAnsi="Arial" w:cs="Arial"/>
          <w:sz w:val="20"/>
          <w:szCs w:val="20"/>
        </w:rPr>
        <w:fldChar w:fldCharType="separate"/>
      </w:r>
      <w:r w:rsidRPr="00380BA4">
        <w:rPr>
          <w:rFonts w:ascii="Arial" w:hAnsi="Arial" w:cs="Arial"/>
          <w:noProof/>
          <w:sz w:val="20"/>
          <w:szCs w:val="20"/>
          <w:lang w:val="en-US"/>
        </w:rPr>
        <w:t>(Abdel-Razek et al., 2022)</w:t>
      </w:r>
      <w:r w:rsidRPr="00380BA4">
        <w:rPr>
          <w:rFonts w:ascii="Arial" w:hAnsi="Arial" w:cs="Arial"/>
          <w:sz w:val="20"/>
          <w:szCs w:val="20"/>
        </w:rPr>
        <w:fldChar w:fldCharType="end"/>
      </w:r>
      <w:r w:rsidRPr="00380BA4">
        <w:rPr>
          <w:rFonts w:ascii="Arial" w:hAnsi="Arial" w:cs="Arial"/>
          <w:sz w:val="20"/>
          <w:szCs w:val="20"/>
          <w:lang w:val="en-US"/>
        </w:rPr>
        <w:t xml:space="preserve">. The leaves of this plant are rich in vitamins, minerals, and phenolic compounds. In addition to its culinary uses, these leaves are utilized in the treatment of typhoid and malaria fevers, dysentery, constipation, childhood malnutrition, and various pains </w:t>
      </w:r>
      <w:r w:rsidRPr="00380BA4">
        <w:rPr>
          <w:rFonts w:ascii="Arial" w:hAnsi="Arial" w:cs="Arial"/>
          <w:sz w:val="20"/>
          <w:szCs w:val="20"/>
        </w:rPr>
        <w:fldChar w:fldCharType="begin" w:fldLock="1"/>
      </w:r>
      <w:r w:rsidRPr="00380BA4">
        <w:rPr>
          <w:rFonts w:ascii="Arial" w:hAnsi="Arial" w:cs="Arial"/>
          <w:sz w:val="20"/>
          <w:szCs w:val="20"/>
          <w:lang w:val="en-US"/>
        </w:rPr>
        <w:instrText>ADDIN CSL_CITATION {"citationItems":[{"id":"ITEM-1","itemData":{"ISSN":"2152-4114","PMID":"37214488","abstract":"INTRODUCTION In Ghana, Corchorus olitorius, Solanum macrocarpon and Amaranthus cruentus are green leafy vegetables that are customarily eaten together with a starchy staple food. The present study aimed at assessing the ethanolic leaf extract of C. olitorius, S. macrocarpon and A. cruentus for antioxidant capacity, phytochemical property, nutritional and anti-nutrient content. METHOD Phytochemical constituent and proximate analysis were determined using standard protocols. The DPPH scavenging activity was used to determine the antioxidant activity of the ethanolic leaf extracts from the three vegetables. The antinutrients phytate and oxalate were determined by titrimetric methods of analysis. RESULTS Pytochemical screening revealed the presence of tannins and flavonoids in C. olitorius, S. macrocarpon and A. cruentus. Alkaloids and saponins were present in C. olitorius and S. macrocarpon but not in A. cruentus. Terpenoids, steroids, carotenoids and coumarins were absent in all the three vegetables. Proximate analysis revealed varying levels of moisture, fat, protein, ash, crude fibre and carbohydrates in the three leafy vegetables. The DPPH scavenging showed 86.71%, 71.72% and 38.86% activity</w:instrText>
      </w:r>
      <w:r w:rsidRPr="00380BA4">
        <w:rPr>
          <w:rFonts w:ascii="Arial" w:hAnsi="Arial" w:cs="Arial"/>
          <w:sz w:val="20"/>
          <w:szCs w:val="20"/>
        </w:rPr>
        <w:instrText xml:space="preserve"> for S. macrocarpon, C. olitorius and A. cruentus respectively. The antinutrient results revealed an oxalate level of 2.7 ± 0.13% for C. olitorius, 6.43 ± 0.06% for A. cruentus and 12.32 ± 0.13% for S. macrocarpon. For levels of phytates, our results revealed a 3.084 ± 0.54%, 1.14 ± 0.26% and 1.71 ± 0.27% for C. olitorius, A. cruentus and S. macrocarpon, respectively. CONCLUSION The current study has shown that C. olitorius, A. cruentus and S. macrocarpon possess important phytochemicals, nutrients and significant antioxidant activity, suggesting a potential of these vegetables against diverse disease, if eaten by humans.","author":[{"dropping-particle":"","family":"Osei-Owusu","given":"Jonathan","non-dropping-particle":"","parse-names":false,"suffix":""},{"dropping-particle":"","family":"Kokro","given":"Kwabena Boakye","non-dropping-particle":"","parse-names":false,"suffix":""},{"dropping-particle":"","family":"Ofori","given":"Andrew","non-dropping-particle":"","parse-names":false,"suffix":""},{"dropping-particle":"","family":"Apau","given":"Joseph","non-dropping-particle":"","parse-names":false,"suffix":""},{"dropping-particle":"","family":"Dofuor","given":"Aboagye Kwarteng","non-dropping-particle":"","parse-names":</w:instrText>
      </w:r>
      <w:r w:rsidRPr="00380BA4">
        <w:rPr>
          <w:rFonts w:ascii="Arial" w:hAnsi="Arial" w:cs="Arial"/>
          <w:sz w:val="20"/>
          <w:szCs w:val="20"/>
          <w:lang w:val="en-US"/>
        </w:rPr>
        <w:instrText>false,"suffix":""},{"dropping-particle":"","family":"Vigbedor","given":"Bright Yaw","non-dropping-particle":"","parse-names":false,"suffix":""},{"dropping-particle":"","family":"Aniagyei","given":"Albert","non-dropping-particle":"","parse-names":false,"suffix":""},{"dropping-particle":"","family":"Kwakye","given":"Ralph","non-dropping-particle":"","parse-names":false,"suffix":""},{"dropping-particle":"","family":"Edusei","given":"George","non-dropping-particle":"","parse-names":false,"suffix":""},{"dropping-particle":"","family":"Antwi","given":"Boniface Yeboah","non-dropping-particle":"","parse-names":false,"suffix":""},{"dropping-particle":"","family":"Okyere","given":"Harry","non-dropping-particle":"","parse-names":false,"suffix":""}],"container-title":"International journal of biochemistry and molecular biology","id":"ITEM-1","issue":"2","issued":{"date-parts":[["2023"]]},"page":"17-24","title":"Evaluation of phytochemical, proximate, antioxidant, and anti-nutrient properties of Corchorus olitorius, Solanum macrocarpon and Amaranthus cruentus in Ghana.","type":"article-journal","volume":"14"},"uris":["http://www.mendeley.com/documents/?uuid=7a5c51cc-7cbf-4ca1-b62b-4317e61b9fde"]}],"mendeley":{"formattedCitation":"(Osei-Owusu et al., 2023)","plainTextFormattedCitation":"(Osei-Owusu et al., 2023)","previouslyFormattedCitation":"(Osei-Owusu et al., 2023)"},"properties":{"noteIndex":0},"schema":"https://github.com/citation-style-language/schema/raw/master/csl-citation.json"}</w:instrText>
      </w:r>
      <w:r w:rsidRPr="00380BA4">
        <w:rPr>
          <w:rFonts w:ascii="Arial" w:hAnsi="Arial" w:cs="Arial"/>
          <w:sz w:val="20"/>
          <w:szCs w:val="20"/>
        </w:rPr>
        <w:fldChar w:fldCharType="separate"/>
      </w:r>
      <w:r w:rsidRPr="00380BA4">
        <w:rPr>
          <w:rFonts w:ascii="Arial" w:hAnsi="Arial" w:cs="Arial"/>
          <w:noProof/>
          <w:sz w:val="20"/>
          <w:szCs w:val="20"/>
          <w:lang w:val="en-US"/>
        </w:rPr>
        <w:t>(Osei-Owusu et al., 2023)</w:t>
      </w:r>
      <w:r w:rsidRPr="00380BA4">
        <w:rPr>
          <w:rFonts w:ascii="Arial" w:hAnsi="Arial" w:cs="Arial"/>
          <w:sz w:val="20"/>
          <w:szCs w:val="20"/>
        </w:rPr>
        <w:fldChar w:fldCharType="end"/>
      </w:r>
      <w:r w:rsidRPr="00380BA4">
        <w:rPr>
          <w:rFonts w:ascii="Arial" w:hAnsi="Arial" w:cs="Arial"/>
          <w:sz w:val="20"/>
          <w:szCs w:val="20"/>
          <w:lang w:val="en-US"/>
        </w:rPr>
        <w:t xml:space="preserve">. </w:t>
      </w:r>
    </w:p>
    <w:p w14:paraId="1E35916B" w14:textId="154B3D00" w:rsidR="00FD680F" w:rsidRPr="00380BA4" w:rsidRDefault="00FD680F" w:rsidP="00FD680F">
      <w:pPr>
        <w:spacing w:line="360" w:lineRule="auto"/>
        <w:jc w:val="both"/>
        <w:rPr>
          <w:rFonts w:ascii="Arial" w:hAnsi="Arial" w:cs="Arial"/>
          <w:sz w:val="20"/>
          <w:szCs w:val="20"/>
          <w:lang w:val="en-US"/>
        </w:rPr>
      </w:pPr>
      <w:r w:rsidRPr="00380BA4">
        <w:rPr>
          <w:rFonts w:ascii="Arial" w:hAnsi="Arial" w:cs="Arial"/>
          <w:i/>
          <w:iCs/>
          <w:sz w:val="20"/>
          <w:szCs w:val="20"/>
          <w:lang w:val="en-US"/>
        </w:rPr>
        <w:t xml:space="preserve">T. </w:t>
      </w:r>
      <w:proofErr w:type="spellStart"/>
      <w:r w:rsidRPr="00380BA4">
        <w:rPr>
          <w:rFonts w:ascii="Arial" w:hAnsi="Arial" w:cs="Arial"/>
          <w:i/>
          <w:iCs/>
          <w:sz w:val="20"/>
          <w:szCs w:val="20"/>
          <w:lang w:val="en-US"/>
        </w:rPr>
        <w:t>cordifolia</w:t>
      </w:r>
      <w:proofErr w:type="spellEnd"/>
      <w:r w:rsidRPr="00380BA4">
        <w:rPr>
          <w:rFonts w:ascii="Arial" w:hAnsi="Arial" w:cs="Arial"/>
          <w:sz w:val="20"/>
          <w:szCs w:val="20"/>
          <w:lang w:val="en-US"/>
        </w:rPr>
        <w:t xml:space="preserve"> (</w:t>
      </w:r>
      <w:proofErr w:type="spellStart"/>
      <w:r w:rsidR="00B148EB" w:rsidRPr="00380BA4">
        <w:rPr>
          <w:rFonts w:ascii="Arial" w:hAnsi="Arial" w:cs="Arial"/>
          <w:sz w:val="20"/>
          <w:szCs w:val="20"/>
          <w:lang w:val="en-US"/>
        </w:rPr>
        <w:t>Malvaceae</w:t>
      </w:r>
      <w:proofErr w:type="spellEnd"/>
      <w:r w:rsidRPr="00380BA4">
        <w:rPr>
          <w:rFonts w:ascii="Arial" w:hAnsi="Arial" w:cs="Arial"/>
          <w:sz w:val="20"/>
          <w:szCs w:val="20"/>
          <w:lang w:val="en-US"/>
        </w:rPr>
        <w:t xml:space="preserve">), known as </w:t>
      </w:r>
      <w:proofErr w:type="spellStart"/>
      <w:r w:rsidRPr="00380BA4">
        <w:rPr>
          <w:rFonts w:ascii="Arial" w:hAnsi="Arial" w:cs="Arial"/>
          <w:sz w:val="20"/>
          <w:szCs w:val="20"/>
          <w:lang w:val="en-US"/>
        </w:rPr>
        <w:t>Nkui</w:t>
      </w:r>
      <w:proofErr w:type="spellEnd"/>
      <w:r w:rsidRPr="00380BA4">
        <w:rPr>
          <w:rFonts w:ascii="Arial" w:hAnsi="Arial" w:cs="Arial"/>
          <w:sz w:val="20"/>
          <w:szCs w:val="20"/>
          <w:lang w:val="en-US"/>
        </w:rPr>
        <w:t xml:space="preserve"> in the </w:t>
      </w:r>
      <w:proofErr w:type="spellStart"/>
      <w:r w:rsidRPr="00380BA4">
        <w:rPr>
          <w:rFonts w:ascii="Arial" w:hAnsi="Arial" w:cs="Arial"/>
          <w:sz w:val="20"/>
          <w:szCs w:val="20"/>
          <w:lang w:val="en-US"/>
        </w:rPr>
        <w:t>Bamiléké</w:t>
      </w:r>
      <w:proofErr w:type="spellEnd"/>
      <w:r w:rsidRPr="00380BA4">
        <w:rPr>
          <w:rFonts w:ascii="Arial" w:hAnsi="Arial" w:cs="Arial"/>
          <w:sz w:val="20"/>
          <w:szCs w:val="20"/>
          <w:lang w:val="en-US"/>
        </w:rPr>
        <w:t xml:space="preserve"> language, is a woody plant characterized by a relatively short and remarkably ribbed trunk. It is also found in tropical regions of Africa (Cameroon, Gabon, Nigeria, Equatorial Guinea, Kenya, etc.). It can be perennial or annual, erect, and about 1 to 2 meters tall. The mature stem has a diameter of 1.5 to 2.5 cm and is generally greenish with star-shaped hairs, entire or lobed with frequently dentate margins </w:t>
      </w:r>
      <w:r w:rsidRPr="00380BA4">
        <w:rPr>
          <w:rFonts w:ascii="Arial" w:hAnsi="Arial" w:cs="Arial"/>
          <w:color w:val="000000" w:themeColor="text1"/>
          <w:sz w:val="20"/>
          <w:szCs w:val="20"/>
        </w:rPr>
        <w:fldChar w:fldCharType="begin" w:fldLock="1"/>
      </w:r>
      <w:r w:rsidRPr="00380BA4">
        <w:rPr>
          <w:rFonts w:ascii="Arial" w:hAnsi="Arial" w:cs="Arial"/>
          <w:color w:val="000000" w:themeColor="text1"/>
          <w:sz w:val="20"/>
          <w:szCs w:val="20"/>
          <w:lang w:val="en-US"/>
        </w:rPr>
        <w:instrText>ADDIN CSL_CITATION {"citationItems":[{"id":"ITEM-1","itemData":{"author":[{"dropping-particle":"","family":"Saidou","given":"Clément","non-dropping-particle":"","parse-names":false,"suffix":""}],"id":"ITEM-1","issued":{"date-parts":[["2012"]]},"number-of-pages":"234","publisher":"University of Ngaoundere/ University of Grenoble","title":"Propriétés physico-chimiques et fonctionnelles des gommes hydrocolloïdes des écorces de Triumfetta cordifolia (tiliacée) et de Bridelia thermifolia (Euphorbiacée)","type":"thesis"},"uris":["http://www.mendeley.com/documents/?uuid=5029f23b-8844-4411-8fac-e8ac5b76f2a9"]}],"mendeley":{"formattedCitation":"(Saidou, 2012)","plainTextFormattedCitation":"(Saidou, 2012)","previouslyFormattedCitation":"(Saidou, 2012)"},"properties":{"noteIndex":0},"schema":"https://github.com/citation-style-language/schema/raw/master/csl-citation.json"}</w:instrText>
      </w:r>
      <w:r w:rsidRPr="00380BA4">
        <w:rPr>
          <w:rFonts w:ascii="Arial" w:hAnsi="Arial" w:cs="Arial"/>
          <w:color w:val="000000" w:themeColor="text1"/>
          <w:sz w:val="20"/>
          <w:szCs w:val="20"/>
        </w:rPr>
        <w:fldChar w:fldCharType="separate"/>
      </w:r>
      <w:r w:rsidRPr="00380BA4">
        <w:rPr>
          <w:rFonts w:ascii="Arial" w:hAnsi="Arial" w:cs="Arial"/>
          <w:noProof/>
          <w:color w:val="000000" w:themeColor="text1"/>
          <w:sz w:val="20"/>
          <w:szCs w:val="20"/>
          <w:lang w:val="en-US"/>
        </w:rPr>
        <w:t>(Saidou, 2012)</w:t>
      </w:r>
      <w:r w:rsidRPr="00380BA4">
        <w:rPr>
          <w:rFonts w:ascii="Arial" w:hAnsi="Arial" w:cs="Arial"/>
          <w:color w:val="000000" w:themeColor="text1"/>
          <w:sz w:val="20"/>
          <w:szCs w:val="20"/>
        </w:rPr>
        <w:fldChar w:fldCharType="end"/>
      </w:r>
      <w:r w:rsidRPr="00380BA4">
        <w:rPr>
          <w:rFonts w:ascii="Arial" w:hAnsi="Arial" w:cs="Arial"/>
          <w:color w:val="000000" w:themeColor="text1"/>
          <w:sz w:val="20"/>
          <w:szCs w:val="20"/>
          <w:lang w:val="en-US"/>
        </w:rPr>
        <w:t>.</w:t>
      </w:r>
      <w:r w:rsidRPr="00380BA4">
        <w:rPr>
          <w:rFonts w:ascii="Arial" w:hAnsi="Arial" w:cs="Arial"/>
          <w:sz w:val="20"/>
          <w:szCs w:val="20"/>
          <w:lang w:val="en-US"/>
        </w:rPr>
        <w:t xml:space="preserve"> The bark of this plant is particularly valued for its techno-functional potential due to its high fiber content </w:t>
      </w:r>
      <w:r w:rsidRPr="00380BA4">
        <w:rPr>
          <w:rFonts w:ascii="Arial" w:hAnsi="Arial" w:cs="Arial"/>
          <w:color w:val="000000" w:themeColor="text1"/>
          <w:sz w:val="20"/>
          <w:szCs w:val="20"/>
        </w:rPr>
        <w:fldChar w:fldCharType="begin" w:fldLock="1"/>
      </w:r>
      <w:r w:rsidRPr="00380BA4">
        <w:rPr>
          <w:rFonts w:ascii="Arial" w:hAnsi="Arial" w:cs="Arial"/>
          <w:color w:val="000000" w:themeColor="text1"/>
          <w:sz w:val="20"/>
          <w:szCs w:val="20"/>
          <w:lang w:val="en-US"/>
        </w:rPr>
        <w:instrText>ADDIN CSL_CITATION {"citationItems":[{"id":"ITEM-1","itemData":{"DOI":"10.15376/BIORES.13.4.7671-7682","ISSN":"19302126","abstract":"The tradition of using naturally occurring plant fibers is still alive in Africa. In the Uíge province of northern Angola, bast fibers from Triumfetta cordifolia serve as the basis for everyday objects, such as baskets, mats, fishing nets, and traditional clothing. The fibers exhibit a Young’s modulus of 53.4 GPa and average tensile strength of 916.3 MPa, which are comparable to those of commercial kenaf fibers. These values indicate a high potential for use as a reinforcement in biocomposites. Based on this promising mechanical and physical profile of individual fibers, different biocomposites were produced with polylactide (PLA) as a matrix. The obtained composites were analyzed mechanically, physically, and visually. Unidirectionally arranged PLA/33% T. cordifolia composites with continuous fibers showed the highest Young’s modulus (10.79 GPa ± 1.52 GPa) and tensile strength (79.37 MPa ± 14.01 MPa). These composites were comparable to those of PLA/30% hemp composites (10.9 GPa and 82.9 MPa, respectively) and therefore have economic potential.","author":[{"dropping-particle":"","family":"Grosser","given":"Peter","non-dropping-particle":"","parse-names":false,"suffix":""},{"dropping-particle":"","family":"Siegel","given":"Carolin","non-dropping-particle":"","parse-names":false,"suffix":""},{"dropping-particle":"","family":"Neinhuis","given":"Christoph","non-dropping-particle":"","parse-names":false,"suffix":""},{"dropping-particle":"","family":"Lautenschläger","given":"Thea","non-dropping-particle":"","parse-names":false,"suffix":""}],"container-title":"BioResources","id":"ITEM-1","issue":"4","issued":{"date-parts":[["2018"]]},"page":"7671-7682","title":"Triumfetta cordifolia: A Valuable (African) Source for Biocomposites","type":"article-journal","volume":"13"},"uris":["http://www.mendeley.com/documents/?uuid=652ec3b9-27a9-4602-ab73-5fa593704e92"]}],"mendeley":{"formattedCitation":"(Grosser et al., 2018)","plainTextFormattedCitation":"(Grosser et al., 2018)","previouslyFormattedCitation":"(Grosser et al., 2018)"},"properties":{"noteIndex":0},"schema":"https://github.com/citation-style-language/schema/raw/master/csl-citation.json"}</w:instrText>
      </w:r>
      <w:r w:rsidRPr="00380BA4">
        <w:rPr>
          <w:rFonts w:ascii="Arial" w:hAnsi="Arial" w:cs="Arial"/>
          <w:color w:val="000000" w:themeColor="text1"/>
          <w:sz w:val="20"/>
          <w:szCs w:val="20"/>
        </w:rPr>
        <w:fldChar w:fldCharType="separate"/>
      </w:r>
      <w:r w:rsidRPr="00380BA4">
        <w:rPr>
          <w:rFonts w:ascii="Arial" w:hAnsi="Arial" w:cs="Arial"/>
          <w:noProof/>
          <w:color w:val="000000" w:themeColor="text1"/>
          <w:sz w:val="20"/>
          <w:szCs w:val="20"/>
          <w:lang w:val="en-US"/>
        </w:rPr>
        <w:t>(Grosser et al., 2018)</w:t>
      </w:r>
      <w:r w:rsidRPr="00380BA4">
        <w:rPr>
          <w:rFonts w:ascii="Arial" w:hAnsi="Arial" w:cs="Arial"/>
          <w:color w:val="000000" w:themeColor="text1"/>
          <w:sz w:val="20"/>
          <w:szCs w:val="20"/>
        </w:rPr>
        <w:fldChar w:fldCharType="end"/>
      </w:r>
      <w:r w:rsidRPr="00380BA4">
        <w:rPr>
          <w:rFonts w:ascii="Arial" w:hAnsi="Arial" w:cs="Arial"/>
          <w:color w:val="000000" w:themeColor="text1"/>
          <w:sz w:val="20"/>
          <w:szCs w:val="20"/>
          <w:lang w:val="en-US"/>
        </w:rPr>
        <w:t>.</w:t>
      </w:r>
      <w:r w:rsidRPr="00380BA4">
        <w:rPr>
          <w:rFonts w:ascii="Arial" w:hAnsi="Arial" w:cs="Arial"/>
          <w:sz w:val="20"/>
          <w:szCs w:val="20"/>
          <w:lang w:val="en-US"/>
        </w:rPr>
        <w:t xml:space="preserve"> Extracts from this bark are used to prepare a traditional and therapeutic dish (</w:t>
      </w:r>
      <w:proofErr w:type="spellStart"/>
      <w:r w:rsidRPr="00380BA4">
        <w:rPr>
          <w:rFonts w:ascii="Arial" w:hAnsi="Arial" w:cs="Arial"/>
          <w:sz w:val="20"/>
          <w:szCs w:val="20"/>
          <w:lang w:val="en-US"/>
        </w:rPr>
        <w:t>Nkui</w:t>
      </w:r>
      <w:proofErr w:type="spellEnd"/>
      <w:r w:rsidRPr="00380BA4">
        <w:rPr>
          <w:rFonts w:ascii="Arial" w:hAnsi="Arial" w:cs="Arial"/>
          <w:sz w:val="20"/>
          <w:szCs w:val="20"/>
          <w:lang w:val="en-US"/>
        </w:rPr>
        <w:t xml:space="preserve">) highly prized in the </w:t>
      </w:r>
      <w:proofErr w:type="spellStart"/>
      <w:r w:rsidRPr="00380BA4">
        <w:rPr>
          <w:rFonts w:ascii="Arial" w:hAnsi="Arial" w:cs="Arial"/>
          <w:sz w:val="20"/>
          <w:szCs w:val="20"/>
          <w:lang w:val="en-US"/>
        </w:rPr>
        <w:t>Bamiléké</w:t>
      </w:r>
      <w:proofErr w:type="spellEnd"/>
      <w:r w:rsidRPr="00380BA4">
        <w:rPr>
          <w:rFonts w:ascii="Arial" w:hAnsi="Arial" w:cs="Arial"/>
          <w:sz w:val="20"/>
          <w:szCs w:val="20"/>
          <w:lang w:val="en-US"/>
        </w:rPr>
        <w:t xml:space="preserve"> region, and as an additive to improve dough volume in traditional baking.</w:t>
      </w:r>
    </w:p>
    <w:p w14:paraId="0818659B" w14:textId="52FB61A0" w:rsidR="00FD680F" w:rsidRPr="00380BA4" w:rsidRDefault="00FD680F" w:rsidP="00FD680F">
      <w:pPr>
        <w:spacing w:line="360" w:lineRule="auto"/>
        <w:jc w:val="both"/>
        <w:rPr>
          <w:rFonts w:ascii="Arial" w:hAnsi="Arial" w:cs="Arial"/>
          <w:sz w:val="20"/>
          <w:szCs w:val="20"/>
          <w:lang w:val="en-US"/>
        </w:rPr>
      </w:pPr>
      <w:r w:rsidRPr="00380BA4">
        <w:rPr>
          <w:rFonts w:ascii="Arial" w:hAnsi="Arial" w:cs="Arial"/>
          <w:sz w:val="20"/>
          <w:szCs w:val="20"/>
          <w:lang w:val="en-US"/>
        </w:rPr>
        <w:t xml:space="preserve">It is therefore well established how important these various medicinal plants are for the nutrition and healthcare of African populations. However, one of the biggest problems that limits the actions of many therapists when recommending the use of these plants' organs in their various forms (powders, decoctions, infusions, etc.) and remains a major topic of reflection for many researchers is the lack of understanding of the effects of the constituents on the desired biological activities. Knowing that these </w:t>
      </w:r>
      <w:r w:rsidRPr="00380BA4">
        <w:rPr>
          <w:rFonts w:ascii="Arial" w:hAnsi="Arial" w:cs="Arial"/>
          <w:sz w:val="20"/>
          <w:szCs w:val="20"/>
          <w:lang w:val="en-US"/>
        </w:rPr>
        <w:lastRenderedPageBreak/>
        <w:t xml:space="preserve">activities are closely linked not only to the presence but also to the concentrations of each constituent </w:t>
      </w:r>
      <w:r w:rsidRPr="00380BA4">
        <w:rPr>
          <w:rFonts w:ascii="Arial" w:hAnsi="Arial" w:cs="Arial"/>
          <w:sz w:val="20"/>
          <w:szCs w:val="20"/>
        </w:rPr>
        <w:fldChar w:fldCharType="begin" w:fldLock="1"/>
      </w:r>
      <w:r w:rsidRPr="00380BA4">
        <w:rPr>
          <w:rFonts w:ascii="Arial" w:hAnsi="Arial" w:cs="Arial"/>
          <w:sz w:val="20"/>
          <w:szCs w:val="20"/>
          <w:lang w:val="en-US"/>
        </w:rPr>
        <w:instrText>ADDIN CSL_CITATION {"citationItems":[{"id":"ITEM-1","itemData":{"author":[{"dropping-particle":"","family":"Cavalcante","given":"Marília De A","non-dropping-particle":"","parse-names":false,"suffix":""},{"dropping-particle":"","family":"Oliveira","given":"Janyna S","non-dropping-particle":"","parse-names":false,"suffix":""},{"dropping-particle":"","family":"Barreto","given":"Mayra S S","non-dropping-particle":"","parse-names":false,"suffix":""},{"dropping-particle":"","family":"Pinheiro","given":"Lucas P","non-dropping-particle":"","parse-names":false,"suffix":""},{"dropping-particle":"","family":"Cantuária","given":"Patrick De C","non-dropping-particle":"","parse-names":false,"suffix":""},{"dropping-particle":"","family":"Borges","given":"Wardsson L","non-dropping-particle":"","parse-names":false,"suffix":""},{"dropping-particle":"","family":"Silva","given":"Gabriel A","non-dropping-particle":"","parse-names":false,"suffix":""},{"dropping-particle":"De","family":"Souza","given":"Tiago Marcolino","non-dropping-particle":"","parse-names":false,"suffix":""},{"dropping-particle":"","family":"Cavalcante","given":"Marília De A","non-dropping-particle":"","parse-names":false,"suffix":""},{"dropping-particle":"","family":"Pinheiro","given":"Lucas P","non-dropping-particle":"","parse-names":false,"suffix":""},{"dropping-particle":"","family":"Cantuária","given":"De C","non-dropping-particle":"","parse-names":false,"suffix":""},{"dropping-particle":"","family":"Borges","given":"L","non-dropping-particle":"","parse-names":false,"suffix":""},{"dropping-particle":"","family":"Gabriel","given":"A","non-dropping-particle":"","parse-names":false,"suffix":""},{"dropping-particle":"","family":"De","given":"Tiago Marcolino","non-dropping-particle":"","parse-names":false,"suffix":""},{"dropping-particle":"","family":"Eryngium","given":"L","non-dropping-particle":"","parse-names":false,"suffix":""},{"dropping-particle":"","family":"Mart","given":"Inga","non-dropping-particle":"","parse-names":false,"suffix":""}],"id":"ITEM-1","issue":"4","issued":{"date-parts":[["2022"]]},"page":"395-404","title":"An HPLC Method to Determine Phenolic Compounds of Plant Extracts : Application to Byrsonima crassifolia and Senna alata Leaves","type":"article-journal","volume":"14"},"uris":["http://www.mendeley.com/documents/?uuid=b456299b-503b-478f-ad45-bdd6853b7915"]}],"mendeley":{"formattedCitation":"(Cavalcante et al., 2022)","plainTextFormattedCitation":"(Cavalcante et al., 2022)","previouslyFormattedCitation":"(Cavalcante et al., 2022)"},"properties":{"noteIndex":0},"schema":"https://github.com/citation-style-language/schema/raw/master/csl-citation.json"}</w:instrText>
      </w:r>
      <w:r w:rsidRPr="00380BA4">
        <w:rPr>
          <w:rFonts w:ascii="Arial" w:hAnsi="Arial" w:cs="Arial"/>
          <w:sz w:val="20"/>
          <w:szCs w:val="20"/>
        </w:rPr>
        <w:fldChar w:fldCharType="separate"/>
      </w:r>
      <w:r w:rsidRPr="00380BA4">
        <w:rPr>
          <w:rFonts w:ascii="Arial" w:hAnsi="Arial" w:cs="Arial"/>
          <w:noProof/>
          <w:sz w:val="20"/>
          <w:szCs w:val="20"/>
          <w:lang w:val="en-US"/>
        </w:rPr>
        <w:t>(Cavalcante et al., 2022)</w:t>
      </w:r>
      <w:r w:rsidRPr="00380BA4">
        <w:rPr>
          <w:rFonts w:ascii="Arial" w:hAnsi="Arial" w:cs="Arial"/>
          <w:sz w:val="20"/>
          <w:szCs w:val="20"/>
        </w:rPr>
        <w:fldChar w:fldCharType="end"/>
      </w:r>
      <w:r w:rsidRPr="00380BA4">
        <w:rPr>
          <w:rFonts w:ascii="Arial" w:hAnsi="Arial" w:cs="Arial"/>
          <w:sz w:val="20"/>
          <w:szCs w:val="20"/>
          <w:lang w:val="en-US"/>
        </w:rPr>
        <w:t xml:space="preserve">, this work </w:t>
      </w:r>
      <w:r w:rsidR="00B148EB">
        <w:rPr>
          <w:rFonts w:ascii="Arial" w:hAnsi="Arial" w:cs="Arial"/>
          <w:sz w:val="20"/>
          <w:szCs w:val="20"/>
          <w:lang w:val="en-US"/>
        </w:rPr>
        <w:t>seek</w:t>
      </w:r>
      <w:r w:rsidRPr="00380BA4">
        <w:rPr>
          <w:rFonts w:ascii="Arial" w:hAnsi="Arial" w:cs="Arial"/>
          <w:sz w:val="20"/>
          <w:szCs w:val="20"/>
          <w:lang w:val="en-US"/>
        </w:rPr>
        <w:t>s to highlight the influence of these two main factors (presence and con</w:t>
      </w:r>
      <w:r w:rsidR="00B148EB">
        <w:rPr>
          <w:rFonts w:ascii="Arial" w:hAnsi="Arial" w:cs="Arial"/>
          <w:sz w:val="20"/>
          <w:szCs w:val="20"/>
          <w:lang w:val="en-US"/>
        </w:rPr>
        <w:t>tent</w:t>
      </w:r>
      <w:r w:rsidRPr="00380BA4">
        <w:rPr>
          <w:rFonts w:ascii="Arial" w:hAnsi="Arial" w:cs="Arial"/>
          <w:sz w:val="20"/>
          <w:szCs w:val="20"/>
          <w:lang w:val="en-US"/>
        </w:rPr>
        <w:t>s) specific to nutrients (macro and micronutrients) and bioactive compounds (polyphenols, flavonoids, etc.) on the biological activities of the powders. One of the biological activities least associated with the three medicinal plants presented above is the translocation of the glucose storage protein type 4 (GLUT4).</w:t>
      </w:r>
    </w:p>
    <w:p w14:paraId="64A62C38" w14:textId="7D1786CD" w:rsidR="00FD680F" w:rsidRPr="00380BA4" w:rsidRDefault="00FD680F" w:rsidP="00245B33">
      <w:pPr>
        <w:spacing w:line="360" w:lineRule="auto"/>
        <w:jc w:val="both"/>
        <w:rPr>
          <w:rFonts w:ascii="Arial" w:hAnsi="Arial" w:cs="Arial"/>
          <w:sz w:val="20"/>
          <w:szCs w:val="20"/>
          <w:lang w:val="en-US"/>
        </w:rPr>
      </w:pPr>
      <w:r w:rsidRPr="00380BA4">
        <w:rPr>
          <w:rFonts w:ascii="Arial" w:hAnsi="Arial" w:cs="Arial"/>
          <w:sz w:val="20"/>
          <w:szCs w:val="20"/>
          <w:lang w:val="en-US"/>
        </w:rPr>
        <w:t xml:space="preserve">The glucose transporter type 4 (GLUT4) plays a crucial role in glucose metabolism by facilitating its transport from the blood to muscle and adipose cells, where it is used to produce energy. When glucose enters the bloodstream after a meal, a precise concentration of insulin (ranging from 20 to 50 µunits/ml) is released by the pancreas and binds to its receptors on muscle and fat cells, triggering a cascade of cellular signals </w:t>
      </w:r>
      <w:r w:rsidRPr="00380BA4">
        <w:rPr>
          <w:rFonts w:ascii="Arial" w:hAnsi="Arial" w:cs="Arial"/>
          <w:sz w:val="20"/>
          <w:szCs w:val="20"/>
        </w:rPr>
        <w:fldChar w:fldCharType="begin" w:fldLock="1"/>
      </w:r>
      <w:r w:rsidRPr="00380BA4">
        <w:rPr>
          <w:rFonts w:ascii="Arial" w:hAnsi="Arial" w:cs="Arial"/>
          <w:sz w:val="20"/>
          <w:szCs w:val="20"/>
          <w:lang w:val="en-US"/>
        </w:rPr>
        <w:instrText>ADDIN CSL_CITATION {"citationItems":[{"id":"ITEM-1","itemData":{"DOI":"10.4331/wjbc.v11.i3.76","ISBN":"0003366383","ISSN":"1949-8454","abstract":"Glucose is used aerobically and anaerobically to generate energy for cells. Glucose transporters (GLUTs) are transmembrane proteins that transport glucose across the cell membrane. Insulin promotes glucose utilization in part through promoting glucose entry into the skeletal and adipose tissues. This has been thought to be achieved through insulin-induced GLUT4 translocation from intracellular compartments to the cell membrane, which increases the overall rate of glucose flux into a cell. The insulin-induced GLUT4 translocation has been investigated extensively. Recently, significant progress has been made in our understanding of GLUT4 expression and translocation. Here, we summarized the methods and reagents used to determine the expression levels of Slc2a4 mRNA and GLUT4 protein, and GLUT4 translocation in the skeletal muscle, adipose tissues, heart and brain. Overall, a variety of methods such real-time polymerase chain reaction, immunohistochemistry, fluorescence microscopy, fusion proteins, stable cell line and transgenic animals have been used to answer particular questions related to GLUT4 system and insulin action. It seems that insulin-induced GLUT4 translocation can be observed in the heart and brain in addition to the skeletal muscle and adipocytes. Hormones other than insulin can induce GLUT4 translocation. Clearly, more studies of GLUT4 are warranted in the future to advance of our understanding of glucose homeostasis.","author":[{"dropping-particle":"","family":"Wang","given":"Tiannan","non-dropping-particle":"","parse-names":false,"suffix":""},{"dropping-particle":"","family":"Wang","given":"Jing","non-dropping-particle":"","parse-names":false,"suffix":""},{"dropping-particle":"","family":"Hu","given":"Xinge","non-dropping-particle":"","parse-names":false,"suffix":""},{"dropping-particle":"","family":"Huang","given":"Xianju","non-dropping-particle":"","parse-names":false,"suffix":""},{"dropping-particle":"","family":"Chen","given":"Guo-Xun","non-dropping-particle":"","parse-names":false,"suffix":""}],"container-title":"World Journal of Biological Chemistry","id":"ITEM-1","issue":"3","issued":{"date-parts":[["2020"]]},"page":"76-98","title":"Current understanding of glucose transporter 4 expression and functional mechanisms","type":"article-journal","volume":"11"},"uris":["http://www.mendeley.com/documents/?uuid=593e3099-980b-438a-9c74-3e098efc2078"]}],"mendeley":{"formattedCitation":"(Wang et al., 2020)","plainTextFormattedCitation":"(Wang et al., 2020)","previouslyFormattedCitation":"(Wang et al., 2020)"},"properties":{"noteIndex":0},"schema":"https://github.com/citation-style-language/schema/raw/master/csl-citation.json"}</w:instrText>
      </w:r>
      <w:r w:rsidRPr="00380BA4">
        <w:rPr>
          <w:rFonts w:ascii="Arial" w:hAnsi="Arial" w:cs="Arial"/>
          <w:sz w:val="20"/>
          <w:szCs w:val="20"/>
        </w:rPr>
        <w:fldChar w:fldCharType="separate"/>
      </w:r>
      <w:r w:rsidRPr="00380BA4">
        <w:rPr>
          <w:rFonts w:ascii="Arial" w:hAnsi="Arial" w:cs="Arial"/>
          <w:noProof/>
          <w:sz w:val="20"/>
          <w:szCs w:val="20"/>
          <w:lang w:val="en-US"/>
        </w:rPr>
        <w:t>(Wang et al., 2020)</w:t>
      </w:r>
      <w:r w:rsidRPr="00380BA4">
        <w:rPr>
          <w:rFonts w:ascii="Arial" w:hAnsi="Arial" w:cs="Arial"/>
          <w:sz w:val="20"/>
          <w:szCs w:val="20"/>
        </w:rPr>
        <w:fldChar w:fldCharType="end"/>
      </w:r>
      <w:r w:rsidRPr="00380BA4">
        <w:rPr>
          <w:rFonts w:ascii="Arial" w:hAnsi="Arial" w:cs="Arial"/>
          <w:sz w:val="20"/>
          <w:szCs w:val="20"/>
          <w:lang w:val="en-US"/>
        </w:rPr>
        <w:t xml:space="preserve">. This leads to the translocation of GLUT4 to the cell membrane, meaning the movement of GLUT4 storage vesicles to the plasma membrane of the cell. Once GLUT4 is sufficiently present on the cell surface, it allows glucose to pass from the blood into the cell, thereby reducing blood glucose levels (glycemia) </w:t>
      </w:r>
      <w:r w:rsidRPr="00380BA4">
        <w:rPr>
          <w:rFonts w:ascii="Arial" w:hAnsi="Arial" w:cs="Arial"/>
          <w:color w:val="000000" w:themeColor="text1"/>
          <w:sz w:val="20"/>
          <w:szCs w:val="20"/>
        </w:rPr>
        <w:fldChar w:fldCharType="begin" w:fldLock="1"/>
      </w:r>
      <w:r w:rsidRPr="00380BA4">
        <w:rPr>
          <w:rFonts w:ascii="Arial" w:hAnsi="Arial" w:cs="Arial"/>
          <w:color w:val="000000" w:themeColor="text1"/>
          <w:sz w:val="20"/>
          <w:szCs w:val="20"/>
          <w:lang w:val="en-US"/>
        </w:rPr>
        <w:instrText>ADDIN CSL_CITATION {"citationItems":[{"id":"ITEM-1","itemData":{"DOI":"10.1002/mnfr.201400414","ISSN":"16134133","PMID":"25215442","abstract":"Chronic insulin resistance can lead to type II diabetes mellitus, which is also directly influenced by an individual's genetics as well as their lifestyle. Under normal circumstances, insulin facilitates glucose uptake in skeletal muscle and adipose tissue by stimulating glucose transporter 4 (GLUT4) translocation and activity. GLUT4 activity is directly correlated with the ability to clear elevated blood glucose and insulin sensitivity. In diabetes, energy excess and prolonged hyperinsulinemia suppress muscle and adipose response to insulin, in part through reduced GLUT4 membrane levels. This work uniquely describes much of the experimental data demonstrating the effects of various dietary components on GLUT4 expression and translocation in skeletal muscle. These observations implicate several individual dietary chemicals as potential adjuvant therapies in the maintenance of diabetes and insulin resistance.","author":[{"dropping-particle":"","family":"Gannon","given":"Nicholas P.","non-dropping-particle":"","parse-names":false,"suffix":""},{"dropping-particle":"","family":"Conn","given":"Carole A.","non-dropping-particle":"","parse-names":false,"suffix":""},{"dropping-particle":"","family":"Vaughan","given":"Roger A.","non-dropping-particle":"","parse-names":false,"suffix":""}],"container-title":"Molecular Nutrition and Food Research","id":"ITEM-1","issue":"1","issued":{"date-parts":[["2014"]]},"page":"48-64","title":"Dietary stimulators of GLUT4 expression and translocation in skeletal muscle: A mini-review","type":"article-journal","volume":"59"},"uris":["http://www.mendeley.com/documents/?uuid=1872a428-730a-4446-8b98-b6864ee79f1e"]}],"mendeley":{"formattedCitation":"(Gannon et al., 2014)","plainTextFormattedCitation":"(Gannon et al., 2014)","previouslyFormattedCitation":"(Gannon et al., 2014)"},"properties":{"noteIndex":0},"schema":"https://github.com/citation-style-language/schema/raw/master/csl-citation.json"}</w:instrText>
      </w:r>
      <w:r w:rsidRPr="00380BA4">
        <w:rPr>
          <w:rFonts w:ascii="Arial" w:hAnsi="Arial" w:cs="Arial"/>
          <w:color w:val="000000" w:themeColor="text1"/>
          <w:sz w:val="20"/>
          <w:szCs w:val="20"/>
        </w:rPr>
        <w:fldChar w:fldCharType="separate"/>
      </w:r>
      <w:r w:rsidRPr="00380BA4">
        <w:rPr>
          <w:rFonts w:ascii="Arial" w:hAnsi="Arial" w:cs="Arial"/>
          <w:noProof/>
          <w:color w:val="000000" w:themeColor="text1"/>
          <w:sz w:val="20"/>
          <w:szCs w:val="20"/>
          <w:lang w:val="en-US"/>
        </w:rPr>
        <w:t>(Gannon et al., 2014)</w:t>
      </w:r>
      <w:r w:rsidRPr="00380BA4">
        <w:rPr>
          <w:rFonts w:ascii="Arial" w:hAnsi="Arial" w:cs="Arial"/>
          <w:color w:val="000000" w:themeColor="text1"/>
          <w:sz w:val="20"/>
          <w:szCs w:val="20"/>
        </w:rPr>
        <w:fldChar w:fldCharType="end"/>
      </w:r>
      <w:r w:rsidRPr="00380BA4">
        <w:rPr>
          <w:rFonts w:ascii="Arial" w:hAnsi="Arial" w:cs="Arial"/>
          <w:color w:val="000000" w:themeColor="text1"/>
          <w:sz w:val="20"/>
          <w:szCs w:val="20"/>
          <w:lang w:val="en-US"/>
        </w:rPr>
        <w:t>.</w:t>
      </w:r>
      <w:r w:rsidRPr="00380BA4">
        <w:rPr>
          <w:rFonts w:ascii="Arial" w:hAnsi="Arial" w:cs="Arial"/>
          <w:sz w:val="20"/>
          <w:szCs w:val="20"/>
          <w:lang w:val="en-US"/>
        </w:rPr>
        <w:t xml:space="preserve"> This reduction in glycemia due to insulin action begins almost immediately after food consumption. It is therefore evident that insulin is the primary trigger for GLUT4 translocation. However, several other bioactive molecules derived from medicinal plants have shown their ability to induce GLUT4 translocation </w:t>
      </w:r>
      <w:r w:rsidRPr="00380BA4">
        <w:rPr>
          <w:rFonts w:ascii="Arial" w:hAnsi="Arial" w:cs="Arial"/>
          <w:sz w:val="20"/>
          <w:szCs w:val="20"/>
        </w:rPr>
        <w:fldChar w:fldCharType="begin" w:fldLock="1"/>
      </w:r>
      <w:r w:rsidRPr="00380BA4">
        <w:rPr>
          <w:rFonts w:ascii="Arial" w:hAnsi="Arial" w:cs="Arial"/>
          <w:sz w:val="20"/>
          <w:szCs w:val="20"/>
          <w:lang w:val="en-US"/>
        </w:rPr>
        <w:instrText>ADDIN CSL_CITATION {"citationItems":[{"id":"ITEM-1","itemData":{"DOI":"10.14421/biomedich.2023.121.289-293","ISSN":"2089-6514","abstract":"WHO reported 1.9 million death cases of diabetes patients in 2019. Diabetes is caused by damage in the pancreas which resulted in a lack of insulin or insulin resistance. Medication for T2DM mainly focuses on lowering blood glucose and treating affected organs. Current medications are still lacking, thus research is needed in finding novel medications to accommodate T2DM. This paper aims to present the current research on potential plant extract in increasing GLUT4 translocation in diabetes conditions. insulin resistance state affecting GLUT4 translocation which is important in affecting glucose uptake. Some research shows that plant extract proved to be potential in increasing the translocation of GLUT4 and helping lowering blood glucose levels.","author":[{"dropping-particle":"","family":"Sutandar","given":"Vivi Hendra","non-dropping-particle":"","parse-names":false,"suffix":""},{"dropping-particle":"","family":"Saleh","given":"Mgs. Irsan","non-dropping-particle":"","parse-names":false,"suffix":""},{"dropping-particle":"","family":"Maritska","given":"Ziske","non-dropping-particle":"","parse-names":false,"suffix":""}],"container-title":"Biology, Medicine, &amp; Natural Product Chemistry","id":"ITEM-1","issue":"1","issued":{"date-parts":[["2023"]]},"page":"289-293","title":"GLUT4 as A Protein Target for T2DM Therapy with Natural Compounds","type":"article-journal","volume":"12"},"uris":["http://www.mendeley.com/documents/?uuid=90379f2a-10d1-4092-88b4-73a60ca3c460"]}],"mendeley":{"formattedCitation":"(Sutandar et al., 2023)","plainTextFormattedCitation":"(Sutandar et al., 2023)","previouslyFormattedCitation":"(Sutandar et al., 2023)"},"properties":{"noteIndex":0},"schema":"https://github.com/citation-style-language/schema/raw/master/csl-citation.json"}</w:instrText>
      </w:r>
      <w:r w:rsidRPr="00380BA4">
        <w:rPr>
          <w:rFonts w:ascii="Arial" w:hAnsi="Arial" w:cs="Arial"/>
          <w:sz w:val="20"/>
          <w:szCs w:val="20"/>
        </w:rPr>
        <w:fldChar w:fldCharType="separate"/>
      </w:r>
      <w:r w:rsidRPr="00380BA4">
        <w:rPr>
          <w:rFonts w:ascii="Arial" w:hAnsi="Arial" w:cs="Arial"/>
          <w:noProof/>
          <w:sz w:val="20"/>
          <w:szCs w:val="20"/>
          <w:lang w:val="en-US"/>
        </w:rPr>
        <w:t>(Sutandar et al., 2023)</w:t>
      </w:r>
      <w:r w:rsidRPr="00380BA4">
        <w:rPr>
          <w:rFonts w:ascii="Arial" w:hAnsi="Arial" w:cs="Arial"/>
          <w:sz w:val="20"/>
          <w:szCs w:val="20"/>
        </w:rPr>
        <w:fldChar w:fldCharType="end"/>
      </w:r>
      <w:r w:rsidRPr="00380BA4">
        <w:rPr>
          <w:rFonts w:ascii="Arial" w:hAnsi="Arial" w:cs="Arial"/>
          <w:sz w:val="20"/>
          <w:szCs w:val="20"/>
          <w:lang w:val="en-US"/>
        </w:rPr>
        <w:t xml:space="preserve">. Nonetheless, very few of these molecules are related to the powders of the three medicinal plants mentioned above. Thus, the objective of this study was to determine the nutritional and bioactive composition of the powders from the leaves of </w:t>
      </w:r>
      <w:r w:rsidRPr="00380BA4">
        <w:rPr>
          <w:rFonts w:ascii="Arial" w:hAnsi="Arial" w:cs="Arial"/>
          <w:i/>
          <w:iCs/>
          <w:sz w:val="20"/>
          <w:szCs w:val="20"/>
          <w:lang w:val="en-US"/>
        </w:rPr>
        <w:t>A. digitata</w:t>
      </w:r>
      <w:r w:rsidRPr="00380BA4">
        <w:rPr>
          <w:rFonts w:ascii="Arial" w:hAnsi="Arial" w:cs="Arial"/>
          <w:sz w:val="20"/>
          <w:szCs w:val="20"/>
          <w:lang w:val="en-US"/>
        </w:rPr>
        <w:t xml:space="preserve">, </w:t>
      </w:r>
      <w:r w:rsidRPr="00380BA4">
        <w:rPr>
          <w:rFonts w:ascii="Arial" w:hAnsi="Arial" w:cs="Arial"/>
          <w:i/>
          <w:iCs/>
          <w:sz w:val="20"/>
          <w:szCs w:val="20"/>
          <w:lang w:val="en-US"/>
        </w:rPr>
        <w:t xml:space="preserve">C. </w:t>
      </w:r>
      <w:proofErr w:type="spellStart"/>
      <w:r w:rsidRPr="00380BA4">
        <w:rPr>
          <w:rFonts w:ascii="Arial" w:hAnsi="Arial" w:cs="Arial"/>
          <w:i/>
          <w:iCs/>
          <w:sz w:val="20"/>
          <w:szCs w:val="20"/>
          <w:lang w:val="en-US"/>
        </w:rPr>
        <w:t>olitorius</w:t>
      </w:r>
      <w:proofErr w:type="spellEnd"/>
      <w:r w:rsidRPr="00380BA4">
        <w:rPr>
          <w:rFonts w:ascii="Arial" w:hAnsi="Arial" w:cs="Arial"/>
          <w:sz w:val="20"/>
          <w:szCs w:val="20"/>
          <w:lang w:val="en-US"/>
        </w:rPr>
        <w:t xml:space="preserve">, and the bark of </w:t>
      </w:r>
      <w:r w:rsidRPr="00380BA4">
        <w:rPr>
          <w:rFonts w:ascii="Arial" w:hAnsi="Arial" w:cs="Arial"/>
          <w:i/>
          <w:iCs/>
          <w:sz w:val="20"/>
          <w:szCs w:val="20"/>
          <w:lang w:val="en-US"/>
        </w:rPr>
        <w:t>T. cordifolia</w:t>
      </w:r>
      <w:r w:rsidRPr="00380BA4">
        <w:rPr>
          <w:rFonts w:ascii="Arial" w:hAnsi="Arial" w:cs="Arial"/>
          <w:sz w:val="20"/>
          <w:szCs w:val="20"/>
          <w:lang w:val="en-US"/>
        </w:rPr>
        <w:t>, and their effects on GLUT4 translocation activity.</w:t>
      </w:r>
    </w:p>
    <w:p w14:paraId="16409FF4" w14:textId="0CDB45B6" w:rsidR="00337711" w:rsidRPr="00380BA4" w:rsidRDefault="003730C8" w:rsidP="00F921B0">
      <w:pPr>
        <w:pStyle w:val="ListParagraph"/>
        <w:numPr>
          <w:ilvl w:val="0"/>
          <w:numId w:val="1"/>
        </w:numPr>
        <w:spacing w:before="240" w:line="360" w:lineRule="auto"/>
        <w:jc w:val="both"/>
        <w:rPr>
          <w:rFonts w:ascii="Arial" w:hAnsi="Arial" w:cs="Arial"/>
          <w:b/>
          <w:bCs/>
          <w:sz w:val="24"/>
          <w:szCs w:val="24"/>
          <w:lang w:val="en-US"/>
        </w:rPr>
      </w:pPr>
      <w:r w:rsidRPr="00380BA4">
        <w:rPr>
          <w:rFonts w:ascii="Arial" w:hAnsi="Arial" w:cs="Arial"/>
          <w:b/>
          <w:bCs/>
          <w:lang w:val="en-US"/>
        </w:rPr>
        <w:t xml:space="preserve">MATERIAL AND METHODS </w:t>
      </w:r>
    </w:p>
    <w:p w14:paraId="62761CC2" w14:textId="77777777" w:rsidR="00337711" w:rsidRDefault="00337711" w:rsidP="006614BF">
      <w:pPr>
        <w:pStyle w:val="ListParagraph"/>
        <w:spacing w:before="240" w:after="0"/>
        <w:ind w:left="420"/>
        <w:jc w:val="both"/>
        <w:rPr>
          <w:rFonts w:ascii="Times New Roman" w:hAnsi="Times New Roman" w:cs="Times New Roman"/>
          <w:b/>
          <w:bCs/>
          <w:sz w:val="24"/>
          <w:szCs w:val="24"/>
          <w:lang w:val="en-US"/>
        </w:rPr>
      </w:pPr>
    </w:p>
    <w:p w14:paraId="7B529F2B" w14:textId="5C632458" w:rsidR="009A731B" w:rsidRPr="00380BA4" w:rsidRDefault="009A731B" w:rsidP="009A731B">
      <w:pPr>
        <w:pStyle w:val="ListParagraph"/>
        <w:numPr>
          <w:ilvl w:val="1"/>
          <w:numId w:val="3"/>
        </w:numPr>
        <w:spacing w:before="240"/>
        <w:jc w:val="both"/>
        <w:rPr>
          <w:rFonts w:ascii="Arial" w:hAnsi="Arial" w:cs="Arial"/>
          <w:b/>
          <w:bCs/>
          <w:sz w:val="20"/>
          <w:szCs w:val="20"/>
          <w:lang w:val="en-US"/>
        </w:rPr>
      </w:pPr>
      <w:r w:rsidRPr="00380BA4">
        <w:rPr>
          <w:rFonts w:ascii="Arial" w:hAnsi="Arial" w:cs="Arial"/>
          <w:b/>
          <w:bCs/>
          <w:sz w:val="20"/>
          <w:szCs w:val="20"/>
          <w:lang w:val="en-US"/>
        </w:rPr>
        <w:t>Sampling</w:t>
      </w:r>
      <w:r w:rsidR="003B6966" w:rsidRPr="00380BA4">
        <w:rPr>
          <w:rFonts w:ascii="Arial" w:hAnsi="Arial" w:cs="Arial"/>
          <w:b/>
          <w:bCs/>
          <w:sz w:val="20"/>
          <w:szCs w:val="20"/>
          <w:lang w:val="en-US"/>
        </w:rPr>
        <w:t xml:space="preserve">, </w:t>
      </w:r>
      <w:r w:rsidR="00273BB9" w:rsidRPr="00380BA4">
        <w:rPr>
          <w:rFonts w:ascii="Arial" w:hAnsi="Arial" w:cs="Arial"/>
          <w:b/>
          <w:bCs/>
          <w:sz w:val="20"/>
          <w:szCs w:val="20"/>
          <w:lang w:val="en-US"/>
        </w:rPr>
        <w:t>identification</w:t>
      </w:r>
      <w:r w:rsidR="003B6966" w:rsidRPr="00380BA4">
        <w:rPr>
          <w:rFonts w:ascii="Arial" w:hAnsi="Arial" w:cs="Arial"/>
          <w:b/>
          <w:bCs/>
          <w:sz w:val="20"/>
          <w:szCs w:val="20"/>
          <w:lang w:val="en-US"/>
        </w:rPr>
        <w:t xml:space="preserve"> and pow</w:t>
      </w:r>
      <w:r w:rsidR="00626488" w:rsidRPr="00380BA4">
        <w:rPr>
          <w:rFonts w:ascii="Arial" w:hAnsi="Arial" w:cs="Arial"/>
          <w:b/>
          <w:bCs/>
          <w:sz w:val="20"/>
          <w:szCs w:val="20"/>
          <w:lang w:val="en-US"/>
        </w:rPr>
        <w:t>d</w:t>
      </w:r>
      <w:r w:rsidR="003B6966" w:rsidRPr="00380BA4">
        <w:rPr>
          <w:rFonts w:ascii="Arial" w:hAnsi="Arial" w:cs="Arial"/>
          <w:b/>
          <w:bCs/>
          <w:sz w:val="20"/>
          <w:szCs w:val="20"/>
          <w:lang w:val="en-US"/>
        </w:rPr>
        <w:t>er production</w:t>
      </w:r>
    </w:p>
    <w:p w14:paraId="5586A6B5" w14:textId="58B77F63" w:rsidR="00794DFB" w:rsidRPr="00380BA4" w:rsidRDefault="00794DFB" w:rsidP="009A731B">
      <w:pPr>
        <w:spacing w:before="240" w:line="360" w:lineRule="auto"/>
        <w:jc w:val="both"/>
        <w:rPr>
          <w:rFonts w:ascii="Arial" w:hAnsi="Arial" w:cs="Arial"/>
          <w:color w:val="FF0000"/>
          <w:sz w:val="20"/>
          <w:szCs w:val="20"/>
          <w:lang w:val="en-US"/>
        </w:rPr>
      </w:pPr>
      <w:r w:rsidRPr="00380BA4">
        <w:rPr>
          <w:rFonts w:ascii="Arial" w:hAnsi="Arial" w:cs="Arial"/>
          <w:sz w:val="20"/>
          <w:szCs w:val="20"/>
          <w:lang w:val="en-US"/>
        </w:rPr>
        <w:t xml:space="preserve">The dry leaves of </w:t>
      </w:r>
      <w:r w:rsidRPr="00380BA4">
        <w:rPr>
          <w:rFonts w:ascii="Arial" w:hAnsi="Arial" w:cs="Arial"/>
          <w:i/>
          <w:iCs/>
          <w:sz w:val="20"/>
          <w:szCs w:val="20"/>
          <w:lang w:val="en-US"/>
        </w:rPr>
        <w:t>A</w:t>
      </w:r>
      <w:r w:rsidR="004E2C49">
        <w:rPr>
          <w:rFonts w:ascii="Arial" w:hAnsi="Arial" w:cs="Arial"/>
          <w:i/>
          <w:iCs/>
          <w:sz w:val="20"/>
          <w:szCs w:val="20"/>
          <w:lang w:val="en-US"/>
        </w:rPr>
        <w:t>.</w:t>
      </w:r>
      <w:r w:rsidRPr="00380BA4">
        <w:rPr>
          <w:rFonts w:ascii="Arial" w:hAnsi="Arial" w:cs="Arial"/>
          <w:i/>
          <w:iCs/>
          <w:sz w:val="20"/>
          <w:szCs w:val="20"/>
          <w:lang w:val="en-US"/>
        </w:rPr>
        <w:t xml:space="preserve"> digitata</w:t>
      </w:r>
      <w:r w:rsidRPr="00380BA4">
        <w:rPr>
          <w:rFonts w:ascii="Arial" w:hAnsi="Arial" w:cs="Arial"/>
          <w:sz w:val="20"/>
          <w:szCs w:val="20"/>
          <w:lang w:val="en-US"/>
        </w:rPr>
        <w:t xml:space="preserve"> and the dry bark of </w:t>
      </w:r>
      <w:r w:rsidR="00481778" w:rsidRPr="00380BA4">
        <w:rPr>
          <w:rFonts w:ascii="Arial" w:hAnsi="Arial" w:cs="Arial"/>
          <w:i/>
          <w:iCs/>
          <w:sz w:val="20"/>
          <w:szCs w:val="20"/>
          <w:lang w:val="en-US"/>
        </w:rPr>
        <w:t>T</w:t>
      </w:r>
      <w:r w:rsidR="004E2C49">
        <w:rPr>
          <w:rFonts w:ascii="Arial" w:hAnsi="Arial" w:cs="Arial"/>
          <w:i/>
          <w:iCs/>
          <w:sz w:val="20"/>
          <w:szCs w:val="20"/>
          <w:lang w:val="en-US"/>
        </w:rPr>
        <w:t>.</w:t>
      </w:r>
      <w:r w:rsidR="00481778" w:rsidRPr="00380BA4">
        <w:rPr>
          <w:rFonts w:ascii="Arial" w:hAnsi="Arial" w:cs="Arial"/>
          <w:i/>
          <w:iCs/>
          <w:sz w:val="20"/>
          <w:szCs w:val="20"/>
          <w:lang w:val="en-US"/>
        </w:rPr>
        <w:t xml:space="preserve"> cordifolia </w:t>
      </w:r>
      <w:r w:rsidRPr="00380BA4">
        <w:rPr>
          <w:rFonts w:ascii="Arial" w:hAnsi="Arial" w:cs="Arial"/>
          <w:sz w:val="20"/>
          <w:szCs w:val="20"/>
          <w:lang w:val="en-US"/>
        </w:rPr>
        <w:t xml:space="preserve">were purchased at the local market in </w:t>
      </w:r>
      <w:proofErr w:type="spellStart"/>
      <w:r w:rsidRPr="00380BA4">
        <w:rPr>
          <w:rFonts w:ascii="Arial" w:hAnsi="Arial" w:cs="Arial"/>
          <w:sz w:val="20"/>
          <w:szCs w:val="20"/>
          <w:lang w:val="en-US"/>
        </w:rPr>
        <w:t>Ngaoundéré</w:t>
      </w:r>
      <w:proofErr w:type="spellEnd"/>
      <w:r w:rsidRPr="00380BA4">
        <w:rPr>
          <w:rFonts w:ascii="Arial" w:hAnsi="Arial" w:cs="Arial"/>
          <w:sz w:val="20"/>
          <w:szCs w:val="20"/>
          <w:lang w:val="en-US"/>
        </w:rPr>
        <w:t xml:space="preserve">, </w:t>
      </w:r>
      <w:proofErr w:type="spellStart"/>
      <w:r w:rsidRPr="00380BA4">
        <w:rPr>
          <w:rFonts w:ascii="Arial" w:hAnsi="Arial" w:cs="Arial"/>
          <w:sz w:val="20"/>
          <w:szCs w:val="20"/>
          <w:lang w:val="en-US"/>
        </w:rPr>
        <w:t>Adamaoua</w:t>
      </w:r>
      <w:proofErr w:type="spellEnd"/>
      <w:r w:rsidRPr="00380BA4">
        <w:rPr>
          <w:rFonts w:ascii="Arial" w:hAnsi="Arial" w:cs="Arial"/>
          <w:sz w:val="20"/>
          <w:szCs w:val="20"/>
          <w:lang w:val="en-US"/>
        </w:rPr>
        <w:t xml:space="preserve"> Region, while the leaves of </w:t>
      </w:r>
      <w:r w:rsidRPr="00380BA4">
        <w:rPr>
          <w:rFonts w:ascii="Arial" w:hAnsi="Arial" w:cs="Arial"/>
          <w:i/>
          <w:iCs/>
          <w:sz w:val="20"/>
          <w:szCs w:val="20"/>
          <w:lang w:val="en-US"/>
        </w:rPr>
        <w:t>C</w:t>
      </w:r>
      <w:r w:rsidR="004E2C49">
        <w:rPr>
          <w:rFonts w:ascii="Arial" w:hAnsi="Arial" w:cs="Arial"/>
          <w:i/>
          <w:iCs/>
          <w:sz w:val="20"/>
          <w:szCs w:val="20"/>
          <w:lang w:val="en-US"/>
        </w:rPr>
        <w:t>.</w:t>
      </w:r>
      <w:r w:rsidRPr="00380BA4">
        <w:rPr>
          <w:rFonts w:ascii="Arial" w:hAnsi="Arial" w:cs="Arial"/>
          <w:i/>
          <w:iCs/>
          <w:sz w:val="20"/>
          <w:szCs w:val="20"/>
          <w:lang w:val="en-US"/>
        </w:rPr>
        <w:t xml:space="preserve"> </w:t>
      </w:r>
      <w:proofErr w:type="spellStart"/>
      <w:r w:rsidRPr="00380BA4">
        <w:rPr>
          <w:rFonts w:ascii="Arial" w:hAnsi="Arial" w:cs="Arial"/>
          <w:i/>
          <w:iCs/>
          <w:sz w:val="20"/>
          <w:szCs w:val="20"/>
          <w:lang w:val="en-US"/>
        </w:rPr>
        <w:t>olitorius</w:t>
      </w:r>
      <w:proofErr w:type="spellEnd"/>
      <w:r w:rsidRPr="00380BA4">
        <w:rPr>
          <w:rFonts w:ascii="Arial" w:hAnsi="Arial" w:cs="Arial"/>
          <w:sz w:val="20"/>
          <w:szCs w:val="20"/>
          <w:lang w:val="en-US"/>
        </w:rPr>
        <w:t xml:space="preserve"> were harvested early in the fields from vegetable gardens near </w:t>
      </w:r>
      <w:proofErr w:type="spellStart"/>
      <w:r w:rsidRPr="00380BA4">
        <w:rPr>
          <w:rFonts w:ascii="Arial" w:hAnsi="Arial" w:cs="Arial"/>
          <w:sz w:val="20"/>
          <w:szCs w:val="20"/>
          <w:lang w:val="en-US"/>
        </w:rPr>
        <w:t>Dibamba</w:t>
      </w:r>
      <w:proofErr w:type="spellEnd"/>
      <w:r w:rsidRPr="00380BA4">
        <w:rPr>
          <w:rFonts w:ascii="Arial" w:hAnsi="Arial" w:cs="Arial"/>
          <w:sz w:val="20"/>
          <w:szCs w:val="20"/>
          <w:lang w:val="en-US"/>
        </w:rPr>
        <w:t xml:space="preserve">, </w:t>
      </w:r>
      <w:proofErr w:type="spellStart"/>
      <w:r w:rsidRPr="00380BA4">
        <w:rPr>
          <w:rFonts w:ascii="Arial" w:hAnsi="Arial" w:cs="Arial"/>
          <w:sz w:val="20"/>
          <w:szCs w:val="20"/>
          <w:lang w:val="en-US"/>
        </w:rPr>
        <w:t>Sanaga</w:t>
      </w:r>
      <w:proofErr w:type="spellEnd"/>
      <w:r w:rsidRPr="00380BA4">
        <w:rPr>
          <w:rFonts w:ascii="Arial" w:hAnsi="Arial" w:cs="Arial"/>
          <w:sz w:val="20"/>
          <w:szCs w:val="20"/>
          <w:lang w:val="en-US"/>
        </w:rPr>
        <w:t xml:space="preserve"> Maritime Department, Littoral Region. They were identified by the </w:t>
      </w:r>
      <w:r w:rsidR="00EF45EE" w:rsidRPr="00380BA4">
        <w:rPr>
          <w:rFonts w:ascii="Arial" w:hAnsi="Arial" w:cs="Arial"/>
          <w:sz w:val="20"/>
          <w:szCs w:val="20"/>
          <w:lang w:val="en-US"/>
        </w:rPr>
        <w:t>National C</w:t>
      </w:r>
      <w:r w:rsidRPr="00380BA4">
        <w:rPr>
          <w:rFonts w:ascii="Arial" w:hAnsi="Arial" w:cs="Arial"/>
          <w:sz w:val="20"/>
          <w:szCs w:val="20"/>
          <w:lang w:val="en-US"/>
        </w:rPr>
        <w:t xml:space="preserve">ameroonian </w:t>
      </w:r>
      <w:r w:rsidR="00EF45EE" w:rsidRPr="00380BA4">
        <w:rPr>
          <w:rFonts w:ascii="Arial" w:hAnsi="Arial" w:cs="Arial"/>
          <w:sz w:val="20"/>
          <w:szCs w:val="20"/>
          <w:lang w:val="en-US"/>
        </w:rPr>
        <w:t>H</w:t>
      </w:r>
      <w:r w:rsidRPr="00380BA4">
        <w:rPr>
          <w:rFonts w:ascii="Arial" w:hAnsi="Arial" w:cs="Arial"/>
          <w:sz w:val="20"/>
          <w:szCs w:val="20"/>
          <w:lang w:val="en-US"/>
        </w:rPr>
        <w:t>erbarium:</w:t>
      </w:r>
    </w:p>
    <w:p w14:paraId="7E5F3172" w14:textId="1938CD62" w:rsidR="003B6203" w:rsidRPr="00380BA4" w:rsidRDefault="003B6203" w:rsidP="003B6203">
      <w:pPr>
        <w:pStyle w:val="ListParagraph"/>
        <w:numPr>
          <w:ilvl w:val="0"/>
          <w:numId w:val="4"/>
        </w:numPr>
        <w:spacing w:line="360" w:lineRule="auto"/>
        <w:jc w:val="both"/>
        <w:rPr>
          <w:rFonts w:ascii="Arial" w:hAnsi="Arial" w:cs="Arial"/>
          <w:sz w:val="20"/>
          <w:szCs w:val="20"/>
          <w:lang w:val="en-US"/>
        </w:rPr>
      </w:pPr>
      <w:r w:rsidRPr="00380BA4">
        <w:rPr>
          <w:rFonts w:ascii="Arial" w:hAnsi="Arial" w:cs="Arial"/>
          <w:i/>
          <w:iCs/>
          <w:sz w:val="20"/>
          <w:szCs w:val="20"/>
          <w:lang w:val="en-US"/>
        </w:rPr>
        <w:t>A. digitata</w:t>
      </w:r>
      <w:r w:rsidRPr="00380BA4">
        <w:rPr>
          <w:rFonts w:ascii="Arial" w:hAnsi="Arial" w:cs="Arial"/>
          <w:sz w:val="20"/>
          <w:szCs w:val="20"/>
          <w:lang w:val="en-US"/>
        </w:rPr>
        <w:t>: The s</w:t>
      </w:r>
      <w:r w:rsidR="00CF1B3E" w:rsidRPr="00380BA4">
        <w:rPr>
          <w:rFonts w:ascii="Arial" w:hAnsi="Arial" w:cs="Arial"/>
          <w:sz w:val="20"/>
          <w:szCs w:val="20"/>
          <w:lang w:val="en-US"/>
        </w:rPr>
        <w:t>ample</w:t>
      </w:r>
      <w:r w:rsidRPr="00380BA4">
        <w:rPr>
          <w:rFonts w:ascii="Arial" w:hAnsi="Arial" w:cs="Arial"/>
          <w:sz w:val="20"/>
          <w:szCs w:val="20"/>
          <w:lang w:val="en-US"/>
        </w:rPr>
        <w:t xml:space="preserve"> was identified by comparison </w:t>
      </w:r>
      <w:r w:rsidR="002E0DF6" w:rsidRPr="00380BA4">
        <w:rPr>
          <w:rFonts w:ascii="Arial" w:hAnsi="Arial" w:cs="Arial"/>
          <w:sz w:val="20"/>
          <w:szCs w:val="20"/>
          <w:lang w:val="en-US"/>
        </w:rPr>
        <w:t xml:space="preserve">it </w:t>
      </w:r>
      <w:r w:rsidRPr="00380BA4">
        <w:rPr>
          <w:rFonts w:ascii="Arial" w:hAnsi="Arial" w:cs="Arial"/>
          <w:sz w:val="20"/>
          <w:szCs w:val="20"/>
          <w:lang w:val="en-US"/>
        </w:rPr>
        <w:t xml:space="preserve">with material from collector </w:t>
      </w:r>
      <w:proofErr w:type="spellStart"/>
      <w:r w:rsidRPr="00380BA4">
        <w:rPr>
          <w:rFonts w:ascii="Arial" w:hAnsi="Arial" w:cs="Arial"/>
          <w:sz w:val="20"/>
          <w:szCs w:val="20"/>
          <w:lang w:val="en-US"/>
        </w:rPr>
        <w:t>Letouzey</w:t>
      </w:r>
      <w:proofErr w:type="spellEnd"/>
      <w:r w:rsidRPr="00380BA4">
        <w:rPr>
          <w:rFonts w:ascii="Arial" w:hAnsi="Arial" w:cs="Arial"/>
          <w:sz w:val="20"/>
          <w:szCs w:val="20"/>
          <w:lang w:val="en-US"/>
        </w:rPr>
        <w:t xml:space="preserve"> R n</w:t>
      </w:r>
      <w:r w:rsidR="002166EF" w:rsidRPr="00380BA4">
        <w:rPr>
          <w:rFonts w:ascii="Arial" w:hAnsi="Arial" w:cs="Arial"/>
          <w:sz w:val="20"/>
          <w:szCs w:val="20"/>
          <w:lang w:val="en-US"/>
        </w:rPr>
        <w:t>umber</w:t>
      </w:r>
      <w:r w:rsidRPr="00380BA4">
        <w:rPr>
          <w:rFonts w:ascii="Arial" w:hAnsi="Arial" w:cs="Arial"/>
          <w:sz w:val="20"/>
          <w:szCs w:val="20"/>
          <w:lang w:val="en-US"/>
        </w:rPr>
        <w:t xml:space="preserve"> 7314 of specimen from Herbarium collection n</w:t>
      </w:r>
      <w:r w:rsidR="002166EF" w:rsidRPr="00380BA4">
        <w:rPr>
          <w:rFonts w:ascii="Arial" w:hAnsi="Arial" w:cs="Arial"/>
          <w:sz w:val="20"/>
          <w:szCs w:val="20"/>
          <w:lang w:val="en-US"/>
        </w:rPr>
        <w:t>umber</w:t>
      </w:r>
      <w:r w:rsidRPr="00380BA4">
        <w:rPr>
          <w:rFonts w:ascii="Arial" w:hAnsi="Arial" w:cs="Arial"/>
          <w:sz w:val="20"/>
          <w:szCs w:val="20"/>
          <w:lang w:val="en-US"/>
        </w:rPr>
        <w:t>. 7815 SRF/Cam</w:t>
      </w:r>
    </w:p>
    <w:p w14:paraId="2E5D2741" w14:textId="77777777" w:rsidR="003B6203" w:rsidRPr="00380BA4" w:rsidRDefault="003B6203" w:rsidP="003B6203">
      <w:pPr>
        <w:pStyle w:val="ListParagraph"/>
        <w:spacing w:line="360" w:lineRule="auto"/>
        <w:rPr>
          <w:rFonts w:ascii="Arial" w:hAnsi="Arial" w:cs="Arial"/>
          <w:sz w:val="20"/>
          <w:szCs w:val="20"/>
          <w:lang w:val="en-US"/>
        </w:rPr>
      </w:pPr>
    </w:p>
    <w:p w14:paraId="784A9440" w14:textId="1888CA0F" w:rsidR="002E0DF6" w:rsidRPr="00380BA4" w:rsidRDefault="009A731B" w:rsidP="002E0DF6">
      <w:pPr>
        <w:pStyle w:val="ListParagraph"/>
        <w:numPr>
          <w:ilvl w:val="0"/>
          <w:numId w:val="4"/>
        </w:numPr>
        <w:spacing w:before="240" w:line="360" w:lineRule="auto"/>
        <w:jc w:val="both"/>
        <w:rPr>
          <w:rFonts w:ascii="Arial" w:hAnsi="Arial" w:cs="Arial"/>
          <w:sz w:val="20"/>
          <w:szCs w:val="20"/>
          <w:lang w:val="en-US"/>
        </w:rPr>
      </w:pPr>
      <w:r w:rsidRPr="00380BA4">
        <w:rPr>
          <w:rFonts w:ascii="Arial" w:hAnsi="Arial" w:cs="Arial"/>
          <w:i/>
          <w:iCs/>
          <w:sz w:val="20"/>
          <w:szCs w:val="20"/>
          <w:lang w:val="en-US"/>
        </w:rPr>
        <w:t xml:space="preserve">C. </w:t>
      </w:r>
      <w:proofErr w:type="spellStart"/>
      <w:r w:rsidRPr="00380BA4">
        <w:rPr>
          <w:rFonts w:ascii="Arial" w:hAnsi="Arial" w:cs="Arial"/>
          <w:i/>
          <w:iCs/>
          <w:sz w:val="20"/>
          <w:szCs w:val="20"/>
          <w:lang w:val="en-US"/>
        </w:rPr>
        <w:t>olitorius</w:t>
      </w:r>
      <w:proofErr w:type="spellEnd"/>
      <w:r w:rsidRPr="00380BA4">
        <w:rPr>
          <w:rFonts w:ascii="Arial" w:hAnsi="Arial" w:cs="Arial"/>
          <w:sz w:val="20"/>
          <w:szCs w:val="20"/>
          <w:lang w:val="en-US"/>
        </w:rPr>
        <w:t>: The s</w:t>
      </w:r>
      <w:r w:rsidR="00CF1B3E" w:rsidRPr="00380BA4">
        <w:rPr>
          <w:rFonts w:ascii="Arial" w:hAnsi="Arial" w:cs="Arial"/>
          <w:sz w:val="20"/>
          <w:szCs w:val="20"/>
          <w:lang w:val="en-US"/>
        </w:rPr>
        <w:t>ample</w:t>
      </w:r>
      <w:r w:rsidRPr="00380BA4">
        <w:rPr>
          <w:rFonts w:ascii="Arial" w:hAnsi="Arial" w:cs="Arial"/>
          <w:sz w:val="20"/>
          <w:szCs w:val="20"/>
          <w:lang w:val="en-US"/>
        </w:rPr>
        <w:t xml:space="preserve"> was identified by comparison </w:t>
      </w:r>
      <w:r w:rsidR="002E0DF6" w:rsidRPr="00380BA4">
        <w:rPr>
          <w:rFonts w:ascii="Arial" w:hAnsi="Arial" w:cs="Arial"/>
          <w:sz w:val="20"/>
          <w:szCs w:val="20"/>
          <w:lang w:val="en-US"/>
        </w:rPr>
        <w:t xml:space="preserve">it </w:t>
      </w:r>
      <w:r w:rsidRPr="00380BA4">
        <w:rPr>
          <w:rFonts w:ascii="Arial" w:hAnsi="Arial" w:cs="Arial"/>
          <w:sz w:val="20"/>
          <w:szCs w:val="20"/>
          <w:lang w:val="en-US"/>
        </w:rPr>
        <w:t xml:space="preserve">with the herbarium material of Westphal collector 10077 from </w:t>
      </w:r>
      <w:r w:rsidR="002E0DF6" w:rsidRPr="00380BA4">
        <w:rPr>
          <w:rFonts w:ascii="Arial" w:hAnsi="Arial" w:cs="Arial"/>
          <w:sz w:val="20"/>
          <w:szCs w:val="20"/>
          <w:lang w:val="en-US"/>
        </w:rPr>
        <w:t>H</w:t>
      </w:r>
      <w:r w:rsidRPr="00380BA4">
        <w:rPr>
          <w:rFonts w:ascii="Arial" w:hAnsi="Arial" w:cs="Arial"/>
          <w:sz w:val="20"/>
          <w:szCs w:val="20"/>
          <w:lang w:val="en-US"/>
        </w:rPr>
        <w:t>erbarium collection specimen number 44871 SRF</w:t>
      </w:r>
      <w:r w:rsidR="00CF1B3E" w:rsidRPr="00380BA4">
        <w:rPr>
          <w:rFonts w:ascii="Arial" w:hAnsi="Arial" w:cs="Arial"/>
          <w:sz w:val="20"/>
          <w:szCs w:val="20"/>
          <w:lang w:val="en-US"/>
        </w:rPr>
        <w:t>/</w:t>
      </w:r>
      <w:r w:rsidRPr="00380BA4">
        <w:rPr>
          <w:rFonts w:ascii="Arial" w:hAnsi="Arial" w:cs="Arial"/>
          <w:sz w:val="20"/>
          <w:szCs w:val="20"/>
          <w:lang w:val="en-US"/>
        </w:rPr>
        <w:t>Cam</w:t>
      </w:r>
    </w:p>
    <w:p w14:paraId="60264965" w14:textId="77777777" w:rsidR="002E0DF6" w:rsidRPr="00380BA4" w:rsidRDefault="002E0DF6" w:rsidP="002E0DF6">
      <w:pPr>
        <w:pStyle w:val="ListParagraph"/>
        <w:rPr>
          <w:rFonts w:ascii="Arial" w:hAnsi="Arial" w:cs="Arial"/>
          <w:i/>
          <w:iCs/>
          <w:sz w:val="20"/>
          <w:szCs w:val="20"/>
          <w:lang w:val="en-US"/>
        </w:rPr>
      </w:pPr>
    </w:p>
    <w:p w14:paraId="136E1000" w14:textId="59EDE025" w:rsidR="002E0DF6" w:rsidRPr="00380BA4" w:rsidRDefault="00481778" w:rsidP="002E0DF6">
      <w:pPr>
        <w:pStyle w:val="ListParagraph"/>
        <w:numPr>
          <w:ilvl w:val="0"/>
          <w:numId w:val="4"/>
        </w:numPr>
        <w:spacing w:before="240" w:line="360" w:lineRule="auto"/>
        <w:jc w:val="both"/>
        <w:rPr>
          <w:rFonts w:ascii="Arial" w:hAnsi="Arial" w:cs="Arial"/>
          <w:sz w:val="20"/>
          <w:szCs w:val="20"/>
          <w:lang w:val="en-US"/>
        </w:rPr>
      </w:pPr>
      <w:r w:rsidRPr="00380BA4">
        <w:rPr>
          <w:rFonts w:ascii="Arial" w:hAnsi="Arial" w:cs="Arial"/>
          <w:i/>
          <w:iCs/>
          <w:sz w:val="20"/>
          <w:szCs w:val="20"/>
          <w:lang w:val="en-US"/>
        </w:rPr>
        <w:t xml:space="preserve">T. </w:t>
      </w:r>
      <w:r w:rsidR="002E0DF6" w:rsidRPr="00380BA4">
        <w:rPr>
          <w:rFonts w:ascii="Arial" w:hAnsi="Arial" w:cs="Arial"/>
          <w:i/>
          <w:iCs/>
          <w:sz w:val="20"/>
          <w:szCs w:val="20"/>
          <w:lang w:val="en-US"/>
        </w:rPr>
        <w:t xml:space="preserve">cordifolia:  </w:t>
      </w:r>
      <w:r w:rsidR="002E0DF6" w:rsidRPr="00380BA4">
        <w:rPr>
          <w:rFonts w:ascii="Arial" w:hAnsi="Arial" w:cs="Arial"/>
          <w:sz w:val="20"/>
          <w:szCs w:val="20"/>
          <w:lang w:val="en-US"/>
        </w:rPr>
        <w:t xml:space="preserve">The sample was identified by comparing it with the </w:t>
      </w:r>
      <w:proofErr w:type="spellStart"/>
      <w:r w:rsidR="002E0DF6" w:rsidRPr="00380BA4">
        <w:rPr>
          <w:rFonts w:ascii="Arial" w:hAnsi="Arial" w:cs="Arial"/>
          <w:sz w:val="20"/>
          <w:szCs w:val="20"/>
          <w:lang w:val="en-US"/>
        </w:rPr>
        <w:t>Satabié</w:t>
      </w:r>
      <w:proofErr w:type="spellEnd"/>
      <w:r w:rsidR="002E0DF6" w:rsidRPr="00380BA4">
        <w:rPr>
          <w:rFonts w:ascii="Arial" w:hAnsi="Arial" w:cs="Arial"/>
          <w:sz w:val="20"/>
          <w:szCs w:val="20"/>
          <w:lang w:val="en-US"/>
        </w:rPr>
        <w:t xml:space="preserve"> material number 125 from the Herbarium specimen collection number 35712/HNC.</w:t>
      </w:r>
    </w:p>
    <w:p w14:paraId="1307E222" w14:textId="77777777" w:rsidR="00F6397A" w:rsidRPr="00380BA4" w:rsidRDefault="00F6397A" w:rsidP="00CF1B3E">
      <w:pPr>
        <w:pStyle w:val="ListParagraph"/>
        <w:spacing w:after="0"/>
        <w:rPr>
          <w:rFonts w:ascii="Arial" w:hAnsi="Arial" w:cs="Arial"/>
          <w:color w:val="FF0000"/>
          <w:sz w:val="20"/>
          <w:szCs w:val="20"/>
          <w:lang w:val="en-US"/>
        </w:rPr>
      </w:pPr>
    </w:p>
    <w:p w14:paraId="73CDBC18" w14:textId="22B4EFFD" w:rsidR="009A731B" w:rsidRPr="00380BA4" w:rsidRDefault="009A731B" w:rsidP="00590C8F">
      <w:pPr>
        <w:spacing w:line="360" w:lineRule="auto"/>
        <w:jc w:val="both"/>
        <w:rPr>
          <w:rFonts w:ascii="Arial" w:hAnsi="Arial" w:cs="Arial"/>
          <w:color w:val="000000" w:themeColor="text1"/>
          <w:sz w:val="20"/>
          <w:szCs w:val="20"/>
          <w:lang w:val="en-US"/>
        </w:rPr>
      </w:pPr>
      <w:r w:rsidRPr="00380BA4">
        <w:rPr>
          <w:rFonts w:ascii="Arial" w:hAnsi="Arial" w:cs="Arial"/>
          <w:color w:val="000000" w:themeColor="text1"/>
          <w:sz w:val="20"/>
          <w:szCs w:val="20"/>
          <w:lang w:val="en-US"/>
        </w:rPr>
        <w:t xml:space="preserve">The powders were produced according to the requirements of therapists involved in the development of functional foods for the management of chronic diseases </w:t>
      </w:r>
      <w:r w:rsidRPr="00380BA4">
        <w:rPr>
          <w:rFonts w:ascii="Arial" w:hAnsi="Arial" w:cs="Arial"/>
          <w:color w:val="000000" w:themeColor="text1"/>
          <w:sz w:val="20"/>
          <w:szCs w:val="20"/>
          <w:lang w:val="en-US"/>
        </w:rPr>
        <w:fldChar w:fldCharType="begin" w:fldLock="1"/>
      </w:r>
      <w:r w:rsidR="00B2079D" w:rsidRPr="00380BA4">
        <w:rPr>
          <w:rFonts w:ascii="Arial" w:hAnsi="Arial" w:cs="Arial"/>
          <w:color w:val="000000" w:themeColor="text1"/>
          <w:sz w:val="20"/>
          <w:szCs w:val="20"/>
          <w:lang w:val="en-US"/>
        </w:rPr>
        <w:instrText>ADDIN CSL_CITATION {"citationItems":[{"id":"ITEM-1","itemData":{"DOI":"10.1016/j.afres.2024.100436","author":[{"dropping-particle":"","family":"Assiéné","given":"Agamou Julien Armel","non-dropping-particle":"","parse-names":false,"suffix":""},{"dropping-particle":"","family":"Djeukeu","given":"Asongni William","non-dropping-particle":"","parse-names":false,"suffix":""},{"dropping-particle":"","family":"Assiéné","given":"Oyong Damase Serge","non-dropping-particle":"","parse-names":false,"suffix":""},{"dropping-particle":"","family":"Mbida-Mbida","given":"Yolande Isabelle","non-dropping-particle":"","parse-names":false,"suffix":""},{"dropping-particle":"","family":"Nyangono","given":"Biyegue Christine Fernande","non-dropping-particle":"","parse-names":false,"suffix":""}],"container-title":"Applied Food Research","id":"ITEM-1","issue":"2024","issued":{"date-parts":[["2024"]]},"page":"100436","title":"Nutritional and bioactive potentials of a powder and a decoction made from Ceylon cinnamon bark , Laurus nobilis leaves , and Curcuma longa Linn rhizome","type":"article-journal","volume":"4"},"uris":["http://www.mendeley.com/documents/?uuid=247f6682-a14b-4aa3-98f0-35be9cfb12e9"]}],"mendeley":{"formattedCitation":"(Assiéné, Djeukeu, Assiéné, Mbida-Mbida, et al., 2024)","plainTextFormattedCitation":"(Assiéné, Djeukeu, Assiéné, Mbida-Mbida, et al., 2024)","previouslyFormattedCitation":"(Assiéné, Djeukeu, Assiéné, Mbida-Mbida, et al., 2024)"},"properties":{"noteIndex":0},"schema":"https://github.com/citation-style-language/schema/raw/master/csl-citation.json"}</w:instrText>
      </w:r>
      <w:r w:rsidRPr="00380BA4">
        <w:rPr>
          <w:rFonts w:ascii="Arial" w:hAnsi="Arial" w:cs="Arial"/>
          <w:color w:val="000000" w:themeColor="text1"/>
          <w:sz w:val="20"/>
          <w:szCs w:val="20"/>
          <w:lang w:val="en-US"/>
        </w:rPr>
        <w:fldChar w:fldCharType="separate"/>
      </w:r>
      <w:r w:rsidR="00B2079D" w:rsidRPr="00380BA4">
        <w:rPr>
          <w:rFonts w:ascii="Arial" w:hAnsi="Arial" w:cs="Arial"/>
          <w:noProof/>
          <w:color w:val="000000" w:themeColor="text1"/>
          <w:sz w:val="20"/>
          <w:szCs w:val="20"/>
          <w:lang w:val="en-US"/>
        </w:rPr>
        <w:t xml:space="preserve">(Assiéné, Djeukeu, Assiéné, Mbida-Mbida, et </w:t>
      </w:r>
      <w:r w:rsidR="00B2079D" w:rsidRPr="00380BA4">
        <w:rPr>
          <w:rFonts w:ascii="Arial" w:hAnsi="Arial" w:cs="Arial"/>
          <w:noProof/>
          <w:color w:val="000000" w:themeColor="text1"/>
          <w:sz w:val="20"/>
          <w:szCs w:val="20"/>
          <w:lang w:val="en-US"/>
        </w:rPr>
        <w:lastRenderedPageBreak/>
        <w:t>al., 2024)</w:t>
      </w:r>
      <w:r w:rsidRPr="00380BA4">
        <w:rPr>
          <w:rFonts w:ascii="Arial" w:hAnsi="Arial" w:cs="Arial"/>
          <w:color w:val="000000" w:themeColor="text1"/>
          <w:sz w:val="20"/>
          <w:szCs w:val="20"/>
          <w:lang w:val="en-US"/>
        </w:rPr>
        <w:fldChar w:fldCharType="end"/>
      </w:r>
      <w:r w:rsidRPr="00380BA4">
        <w:rPr>
          <w:rFonts w:ascii="Arial" w:hAnsi="Arial" w:cs="Arial"/>
          <w:color w:val="000000" w:themeColor="text1"/>
          <w:sz w:val="20"/>
          <w:szCs w:val="20"/>
          <w:lang w:val="en-US"/>
        </w:rPr>
        <w:t>. Fresh leaves</w:t>
      </w:r>
      <w:r w:rsidR="00273BB9" w:rsidRPr="00380BA4">
        <w:rPr>
          <w:rFonts w:ascii="Arial" w:hAnsi="Arial" w:cs="Arial"/>
          <w:color w:val="000000" w:themeColor="text1"/>
          <w:sz w:val="20"/>
          <w:szCs w:val="20"/>
          <w:lang w:val="en-US"/>
        </w:rPr>
        <w:t xml:space="preserve"> of </w:t>
      </w:r>
      <w:r w:rsidR="00273BB9" w:rsidRPr="00380BA4">
        <w:rPr>
          <w:rFonts w:ascii="Arial" w:hAnsi="Arial" w:cs="Arial"/>
          <w:i/>
          <w:iCs/>
          <w:color w:val="000000" w:themeColor="text1"/>
          <w:sz w:val="20"/>
          <w:szCs w:val="20"/>
          <w:lang w:val="en-US"/>
        </w:rPr>
        <w:t xml:space="preserve">C. </w:t>
      </w:r>
      <w:proofErr w:type="spellStart"/>
      <w:r w:rsidR="00273BB9" w:rsidRPr="00380BA4">
        <w:rPr>
          <w:rFonts w:ascii="Arial" w:hAnsi="Arial" w:cs="Arial"/>
          <w:i/>
          <w:iCs/>
          <w:color w:val="000000" w:themeColor="text1"/>
          <w:sz w:val="20"/>
          <w:szCs w:val="20"/>
          <w:lang w:val="en-US"/>
        </w:rPr>
        <w:t>olitorius</w:t>
      </w:r>
      <w:proofErr w:type="spellEnd"/>
      <w:r w:rsidRPr="00380BA4">
        <w:rPr>
          <w:rFonts w:ascii="Arial" w:hAnsi="Arial" w:cs="Arial"/>
          <w:i/>
          <w:iCs/>
          <w:color w:val="000000" w:themeColor="text1"/>
          <w:sz w:val="20"/>
          <w:szCs w:val="20"/>
          <w:lang w:val="en-US"/>
        </w:rPr>
        <w:t xml:space="preserve"> </w:t>
      </w:r>
      <w:r w:rsidRPr="00380BA4">
        <w:rPr>
          <w:rFonts w:ascii="Arial" w:hAnsi="Arial" w:cs="Arial"/>
          <w:color w:val="000000" w:themeColor="text1"/>
          <w:sz w:val="20"/>
          <w:szCs w:val="20"/>
          <w:lang w:val="en-US"/>
        </w:rPr>
        <w:t xml:space="preserve">were cleaned, washed, and cut into pieces approximately 5 mm in size. They were dried at 35°C for 10 hours in a </w:t>
      </w:r>
      <w:proofErr w:type="spellStart"/>
      <w:r w:rsidRPr="00380BA4">
        <w:rPr>
          <w:rFonts w:ascii="Arial" w:hAnsi="Arial" w:cs="Arial"/>
          <w:color w:val="000000" w:themeColor="text1"/>
          <w:sz w:val="20"/>
          <w:szCs w:val="20"/>
          <w:lang w:val="en-US"/>
        </w:rPr>
        <w:t>Stockli</w:t>
      </w:r>
      <w:proofErr w:type="spellEnd"/>
      <w:r w:rsidRPr="00380BA4">
        <w:rPr>
          <w:rFonts w:ascii="Arial" w:hAnsi="Arial" w:cs="Arial"/>
          <w:color w:val="000000" w:themeColor="text1"/>
          <w:sz w:val="20"/>
          <w:szCs w:val="20"/>
          <w:lang w:val="en-US"/>
        </w:rPr>
        <w:t xml:space="preserve"> dehydrator (</w:t>
      </w:r>
      <w:proofErr w:type="spellStart"/>
      <w:r w:rsidRPr="00380BA4">
        <w:rPr>
          <w:rFonts w:ascii="Arial" w:hAnsi="Arial" w:cs="Arial"/>
          <w:color w:val="000000" w:themeColor="text1"/>
          <w:sz w:val="20"/>
          <w:szCs w:val="20"/>
          <w:lang w:val="en-US"/>
        </w:rPr>
        <w:t>Dorrex</w:t>
      </w:r>
      <w:proofErr w:type="spellEnd"/>
      <w:r w:rsidRPr="00380BA4">
        <w:rPr>
          <w:rFonts w:ascii="Arial" w:hAnsi="Arial" w:cs="Arial"/>
          <w:color w:val="000000" w:themeColor="text1"/>
          <w:sz w:val="20"/>
          <w:szCs w:val="20"/>
          <w:lang w:val="en-US"/>
        </w:rPr>
        <w:t xml:space="preserve">, France) and then ground into powders (particle size less than 500 µm) using a Philips blender (Model HR2058/00, 450W, 220–240 V~50–60 Hz, manufactured in China). </w:t>
      </w:r>
      <w:r w:rsidR="00590C8F" w:rsidRPr="00380BA4">
        <w:rPr>
          <w:rFonts w:ascii="Arial" w:hAnsi="Arial" w:cs="Arial"/>
          <w:color w:val="000000" w:themeColor="text1"/>
          <w:sz w:val="20"/>
          <w:szCs w:val="20"/>
          <w:lang w:val="en-US"/>
        </w:rPr>
        <w:t xml:space="preserve">The dry leaves of </w:t>
      </w:r>
      <w:r w:rsidR="00007542">
        <w:rPr>
          <w:rFonts w:ascii="Arial" w:hAnsi="Arial" w:cs="Arial"/>
          <w:i/>
          <w:iCs/>
          <w:color w:val="000000" w:themeColor="text1"/>
          <w:sz w:val="20"/>
          <w:szCs w:val="20"/>
          <w:lang w:val="en-US"/>
        </w:rPr>
        <w:t>A.</w:t>
      </w:r>
      <w:r w:rsidR="00590C8F" w:rsidRPr="00380BA4">
        <w:rPr>
          <w:rFonts w:ascii="Arial" w:hAnsi="Arial" w:cs="Arial"/>
          <w:i/>
          <w:iCs/>
          <w:color w:val="000000" w:themeColor="text1"/>
          <w:sz w:val="20"/>
          <w:szCs w:val="20"/>
          <w:lang w:val="en-US"/>
        </w:rPr>
        <w:t xml:space="preserve"> digitata</w:t>
      </w:r>
      <w:r w:rsidR="00590C8F" w:rsidRPr="00380BA4">
        <w:rPr>
          <w:rFonts w:ascii="Arial" w:hAnsi="Arial" w:cs="Arial"/>
          <w:color w:val="000000" w:themeColor="text1"/>
          <w:sz w:val="20"/>
          <w:szCs w:val="20"/>
          <w:lang w:val="en-US"/>
        </w:rPr>
        <w:t xml:space="preserve"> and the dry </w:t>
      </w:r>
      <w:r w:rsidR="00590C8F" w:rsidRPr="00380BA4">
        <w:rPr>
          <w:rFonts w:ascii="Arial" w:hAnsi="Arial" w:cs="Arial"/>
          <w:sz w:val="20"/>
          <w:szCs w:val="20"/>
          <w:lang w:val="en-US"/>
        </w:rPr>
        <w:t xml:space="preserve">bark of </w:t>
      </w:r>
      <w:r w:rsidR="00481778" w:rsidRPr="00380BA4">
        <w:rPr>
          <w:rFonts w:ascii="Arial" w:hAnsi="Arial" w:cs="Arial"/>
          <w:i/>
          <w:iCs/>
          <w:sz w:val="20"/>
          <w:szCs w:val="20"/>
          <w:lang w:val="en-US"/>
        </w:rPr>
        <w:t>T</w:t>
      </w:r>
      <w:r w:rsidR="00007542">
        <w:rPr>
          <w:rFonts w:ascii="Arial" w:hAnsi="Arial" w:cs="Arial"/>
          <w:i/>
          <w:iCs/>
          <w:sz w:val="20"/>
          <w:szCs w:val="20"/>
          <w:lang w:val="en-US"/>
        </w:rPr>
        <w:t>.</w:t>
      </w:r>
      <w:r w:rsidR="00481778" w:rsidRPr="00380BA4">
        <w:rPr>
          <w:rFonts w:ascii="Arial" w:hAnsi="Arial" w:cs="Arial"/>
          <w:i/>
          <w:iCs/>
          <w:sz w:val="20"/>
          <w:szCs w:val="20"/>
          <w:lang w:val="en-US"/>
        </w:rPr>
        <w:t xml:space="preserve"> cordifolia </w:t>
      </w:r>
      <w:r w:rsidR="00590C8F" w:rsidRPr="00380BA4">
        <w:rPr>
          <w:rFonts w:ascii="Arial" w:hAnsi="Arial" w:cs="Arial"/>
          <w:sz w:val="20"/>
          <w:szCs w:val="20"/>
          <w:lang w:val="en-US"/>
        </w:rPr>
        <w:t xml:space="preserve">were directly ground under the same conditions. </w:t>
      </w:r>
      <w:r w:rsidRPr="00380BA4">
        <w:rPr>
          <w:rFonts w:ascii="Arial" w:hAnsi="Arial" w:cs="Arial"/>
          <w:color w:val="000000" w:themeColor="text1"/>
          <w:sz w:val="20"/>
          <w:szCs w:val="20"/>
          <w:lang w:val="en-US"/>
        </w:rPr>
        <w:t>The obtained powders were stored in an opaque glass container away from light at ambient temperature.</w:t>
      </w:r>
    </w:p>
    <w:p w14:paraId="464BF419" w14:textId="59881715" w:rsidR="00617A5C" w:rsidRPr="00380BA4" w:rsidRDefault="00590C8F" w:rsidP="003B6966">
      <w:pPr>
        <w:pStyle w:val="ListParagraph"/>
        <w:numPr>
          <w:ilvl w:val="1"/>
          <w:numId w:val="3"/>
        </w:numPr>
        <w:spacing w:line="480" w:lineRule="auto"/>
        <w:jc w:val="both"/>
        <w:rPr>
          <w:rFonts w:ascii="Arial" w:hAnsi="Arial" w:cs="Arial"/>
          <w:b/>
          <w:bCs/>
          <w:sz w:val="24"/>
          <w:szCs w:val="24"/>
          <w:lang w:val="en-US"/>
        </w:rPr>
      </w:pPr>
      <w:r w:rsidRPr="00380BA4">
        <w:rPr>
          <w:rFonts w:ascii="Arial" w:hAnsi="Arial" w:cs="Arial"/>
          <w:b/>
          <w:bCs/>
          <w:sz w:val="24"/>
          <w:szCs w:val="24"/>
          <w:lang w:val="en-US"/>
        </w:rPr>
        <w:t xml:space="preserve">Determination of proximate composition </w:t>
      </w:r>
    </w:p>
    <w:p w14:paraId="4B90582A" w14:textId="77777777" w:rsidR="003B6966" w:rsidRPr="00380BA4" w:rsidRDefault="00583389" w:rsidP="003B6966">
      <w:pPr>
        <w:pStyle w:val="ListParagraph"/>
        <w:numPr>
          <w:ilvl w:val="2"/>
          <w:numId w:val="3"/>
        </w:numPr>
        <w:spacing w:after="0" w:line="480" w:lineRule="auto"/>
        <w:jc w:val="both"/>
        <w:rPr>
          <w:rFonts w:ascii="Arial" w:hAnsi="Arial" w:cs="Arial"/>
          <w:b/>
          <w:bCs/>
          <w:lang w:val="en-US"/>
        </w:rPr>
      </w:pPr>
      <w:r w:rsidRPr="00380BA4">
        <w:rPr>
          <w:rFonts w:ascii="Arial" w:hAnsi="Arial" w:cs="Arial"/>
          <w:b/>
          <w:bCs/>
          <w:lang w:val="en-US"/>
        </w:rPr>
        <w:t xml:space="preserve">Moisture content </w:t>
      </w:r>
    </w:p>
    <w:p w14:paraId="3DA37BF6" w14:textId="123AC75D" w:rsidR="00583389" w:rsidRPr="00380BA4" w:rsidRDefault="00583389" w:rsidP="003B6966">
      <w:pPr>
        <w:spacing w:line="360" w:lineRule="auto"/>
        <w:jc w:val="both"/>
        <w:rPr>
          <w:rFonts w:ascii="Arial" w:hAnsi="Arial" w:cs="Arial"/>
          <w:b/>
          <w:bCs/>
          <w:sz w:val="20"/>
          <w:szCs w:val="20"/>
          <w:lang w:val="en-US"/>
        </w:rPr>
      </w:pPr>
      <w:r w:rsidRPr="00380BA4">
        <w:rPr>
          <w:rFonts w:ascii="Arial" w:hAnsi="Arial" w:cs="Arial"/>
          <w:sz w:val="20"/>
          <w:szCs w:val="20"/>
          <w:lang w:val="en-US"/>
        </w:rPr>
        <w:t xml:space="preserve">The moisture content of the powders was determined using the method of </w:t>
      </w:r>
      <w:r w:rsidR="00FD17F0">
        <w:rPr>
          <w:rFonts w:ascii="Arial" w:hAnsi="Arial" w:cs="Arial"/>
          <w:sz w:val="20"/>
          <w:szCs w:val="20"/>
          <w:lang w:val="en-US"/>
        </w:rPr>
        <w:fldChar w:fldCharType="begin" w:fldLock="1"/>
      </w:r>
      <w:r w:rsidR="009A02E1">
        <w:rPr>
          <w:rFonts w:ascii="Arial" w:hAnsi="Arial" w:cs="Arial"/>
          <w:sz w:val="20"/>
          <w:szCs w:val="20"/>
          <w:lang w:val="en-US"/>
        </w:rPr>
        <w:instrText>ADDIN CSL_CITATION {"citationItems":[{"id":"ITEM-1","itemData":{"author":[{"dropping-particle":"","family":"AOAC","given":"","non-dropping-particle":"","parse-names":false,"suffix":""}],"edition":"16th editi","id":"ITEM-1","issued":{"date-parts":[["1999"]]},"publisher":"Association of Official Analytical Chemists","publisher-place":"Washington","title":"Official methods of analysis","type":"book"},"uris":["http://www.mendeley.com/documents/?uuid=88816041-1db0-45d9-9708-f36913189626"]}],"mendeley":{"formattedCitation":"(AOAC, 1999)","manualFormatting":"AOAC (1999)","plainTextFormattedCitation":"(AOAC, 1999)","previouslyFormattedCitation":"(AOAC, 1999)"},"properties":{"noteIndex":0},"schema":"https://github.com/citation-style-language/schema/raw/master/csl-citation.json"}</w:instrText>
      </w:r>
      <w:r w:rsidR="00FD17F0">
        <w:rPr>
          <w:rFonts w:ascii="Arial" w:hAnsi="Arial" w:cs="Arial"/>
          <w:sz w:val="20"/>
          <w:szCs w:val="20"/>
          <w:lang w:val="en-US"/>
        </w:rPr>
        <w:fldChar w:fldCharType="separate"/>
      </w:r>
      <w:r w:rsidR="00FD17F0" w:rsidRPr="00FD17F0">
        <w:rPr>
          <w:rFonts w:ascii="Arial" w:hAnsi="Arial" w:cs="Arial"/>
          <w:noProof/>
          <w:sz w:val="20"/>
          <w:szCs w:val="20"/>
          <w:lang w:val="en-US"/>
        </w:rPr>
        <w:t xml:space="preserve">AOAC </w:t>
      </w:r>
      <w:r w:rsidR="00FD17F0">
        <w:rPr>
          <w:rFonts w:ascii="Arial" w:hAnsi="Arial" w:cs="Arial"/>
          <w:noProof/>
          <w:sz w:val="20"/>
          <w:szCs w:val="20"/>
          <w:lang w:val="en-US"/>
        </w:rPr>
        <w:t>(</w:t>
      </w:r>
      <w:r w:rsidR="00FD17F0" w:rsidRPr="00FD17F0">
        <w:rPr>
          <w:rFonts w:ascii="Arial" w:hAnsi="Arial" w:cs="Arial"/>
          <w:noProof/>
          <w:sz w:val="20"/>
          <w:szCs w:val="20"/>
          <w:lang w:val="en-US"/>
        </w:rPr>
        <w:t>1999)</w:t>
      </w:r>
      <w:r w:rsidR="00FD17F0">
        <w:rPr>
          <w:rFonts w:ascii="Arial" w:hAnsi="Arial" w:cs="Arial"/>
          <w:sz w:val="20"/>
          <w:szCs w:val="20"/>
          <w:lang w:val="en-US"/>
        </w:rPr>
        <w:fldChar w:fldCharType="end"/>
      </w:r>
      <w:r w:rsidRPr="00380BA4">
        <w:rPr>
          <w:rFonts w:ascii="Arial" w:hAnsi="Arial" w:cs="Arial"/>
          <w:color w:val="FF0000"/>
          <w:sz w:val="20"/>
          <w:szCs w:val="20"/>
          <w:lang w:val="en-US"/>
        </w:rPr>
        <w:t xml:space="preserve"> </w:t>
      </w:r>
      <w:r w:rsidRPr="00380BA4">
        <w:rPr>
          <w:rFonts w:ascii="Arial" w:hAnsi="Arial" w:cs="Arial"/>
          <w:sz w:val="20"/>
          <w:szCs w:val="20"/>
          <w:lang w:val="en-US"/>
        </w:rPr>
        <w:t>with slight modifications. Approximately 10 g of powder (M</w:t>
      </w:r>
      <w:r w:rsidRPr="00380BA4">
        <w:rPr>
          <w:rFonts w:ascii="Arial" w:hAnsi="Arial" w:cs="Arial"/>
          <w:sz w:val="20"/>
          <w:szCs w:val="20"/>
          <w:vertAlign w:val="subscript"/>
          <w:lang w:val="en-US"/>
        </w:rPr>
        <w:t>1</w:t>
      </w:r>
      <w:r w:rsidRPr="00380BA4">
        <w:rPr>
          <w:rFonts w:ascii="Arial" w:hAnsi="Arial" w:cs="Arial"/>
          <w:sz w:val="20"/>
          <w:szCs w:val="20"/>
          <w:lang w:val="en-US"/>
        </w:rPr>
        <w:t xml:space="preserve">) was placed in a pre-weighed capsule after being dried at 105 °C for 3 h and cooled in a desiccator. The whole (capsule and powder) was then dried in an oven (Model </w:t>
      </w:r>
      <w:proofErr w:type="spellStart"/>
      <w:r w:rsidRPr="00380BA4">
        <w:rPr>
          <w:rFonts w:ascii="Arial" w:hAnsi="Arial" w:cs="Arial"/>
          <w:sz w:val="20"/>
          <w:szCs w:val="20"/>
          <w:lang w:val="en-US"/>
        </w:rPr>
        <w:t>Memmert</w:t>
      </w:r>
      <w:proofErr w:type="spellEnd"/>
      <w:r w:rsidRPr="00380BA4">
        <w:rPr>
          <w:rFonts w:ascii="Arial" w:hAnsi="Arial" w:cs="Arial"/>
          <w:sz w:val="20"/>
          <w:szCs w:val="20"/>
          <w:lang w:val="en-US"/>
        </w:rPr>
        <w:t xml:space="preserve">®, D 91,107 </w:t>
      </w:r>
      <w:proofErr w:type="spellStart"/>
      <w:r w:rsidRPr="00380BA4">
        <w:rPr>
          <w:rFonts w:ascii="Arial" w:hAnsi="Arial" w:cs="Arial"/>
          <w:sz w:val="20"/>
          <w:szCs w:val="20"/>
          <w:lang w:val="en-US"/>
        </w:rPr>
        <w:t>Schwabach</w:t>
      </w:r>
      <w:proofErr w:type="spellEnd"/>
      <w:r w:rsidRPr="00380BA4">
        <w:rPr>
          <w:rFonts w:ascii="Arial" w:hAnsi="Arial" w:cs="Arial"/>
          <w:sz w:val="20"/>
          <w:szCs w:val="20"/>
          <w:lang w:val="en-US"/>
        </w:rPr>
        <w:t>, Germany) at 105 ± 2 °C for 18 to 24 h, followed by cooling to ambient temperature in a desiccator until it reached a constant weight of the powder (M</w:t>
      </w:r>
      <w:r w:rsidRPr="00380BA4">
        <w:rPr>
          <w:rFonts w:ascii="Arial" w:hAnsi="Arial" w:cs="Arial"/>
          <w:sz w:val="20"/>
          <w:szCs w:val="20"/>
          <w:vertAlign w:val="subscript"/>
          <w:lang w:val="en-US"/>
        </w:rPr>
        <w:t>2</w:t>
      </w:r>
      <w:r w:rsidRPr="00380BA4">
        <w:rPr>
          <w:rFonts w:ascii="Arial" w:hAnsi="Arial" w:cs="Arial"/>
          <w:sz w:val="20"/>
          <w:szCs w:val="20"/>
          <w:lang w:val="en-US"/>
        </w:rPr>
        <w:t>). The moisture content (M</w:t>
      </w:r>
      <w:r w:rsidRPr="00380BA4">
        <w:rPr>
          <w:rFonts w:ascii="Arial" w:hAnsi="Arial" w:cs="Arial"/>
          <w:sz w:val="20"/>
          <w:szCs w:val="20"/>
          <w:vertAlign w:val="subscript"/>
          <w:lang w:val="en-US"/>
        </w:rPr>
        <w:t>C</w:t>
      </w:r>
      <w:r w:rsidRPr="00380BA4">
        <w:rPr>
          <w:rFonts w:ascii="Arial" w:hAnsi="Arial" w:cs="Arial"/>
          <w:sz w:val="20"/>
          <w:szCs w:val="20"/>
          <w:lang w:val="en-US"/>
        </w:rPr>
        <w:t>) is calculated according to the formula:</w:t>
      </w:r>
    </w:p>
    <w:p w14:paraId="06D92474" w14:textId="0529694A" w:rsidR="00583389" w:rsidRPr="00025C75" w:rsidRDefault="00C30EAC" w:rsidP="00583389">
      <w:pPr>
        <w:spacing w:before="240" w:line="360" w:lineRule="auto"/>
        <w:jc w:val="both"/>
        <w:rPr>
          <w:rFonts w:ascii="Arial" w:hAnsi="Arial" w:cs="Arial"/>
          <w:sz w:val="20"/>
          <w:szCs w:val="20"/>
          <w:lang w:val="en-US"/>
        </w:rPr>
      </w:pPr>
      <m:oMathPara>
        <m:oMath>
          <m:sSub>
            <m:sSubPr>
              <m:ctrlPr>
                <w:rPr>
                  <w:rFonts w:ascii="Cambria Math" w:hAnsi="Cambria Math" w:cs="Arial"/>
                  <w:i/>
                  <w:sz w:val="20"/>
                  <w:szCs w:val="20"/>
                  <w:lang w:val="en-US"/>
                </w:rPr>
              </m:ctrlPr>
            </m:sSubPr>
            <m:e>
              <m:r>
                <w:rPr>
                  <w:rFonts w:ascii="Cambria Math" w:hAnsi="Cambria Math" w:cs="Arial"/>
                  <w:sz w:val="20"/>
                  <w:szCs w:val="20"/>
                  <w:lang w:val="en-US"/>
                </w:rPr>
                <m:t>M</m:t>
              </m:r>
            </m:e>
            <m:sub>
              <m:r>
                <w:rPr>
                  <w:rFonts w:ascii="Cambria Math" w:hAnsi="Cambria Math" w:cs="Arial"/>
                  <w:sz w:val="20"/>
                  <w:szCs w:val="20"/>
                  <w:lang w:val="en-US"/>
                </w:rPr>
                <m:t>c</m:t>
              </m:r>
            </m:sub>
          </m:sSub>
          <m:r>
            <w:rPr>
              <w:rFonts w:ascii="Cambria Math" w:hAnsi="Cambria Math" w:cs="Arial"/>
              <w:sz w:val="20"/>
              <w:szCs w:val="20"/>
              <w:lang w:val="en-US"/>
            </w:rPr>
            <m:t>=</m:t>
          </m:r>
          <m:f>
            <m:fPr>
              <m:ctrlPr>
                <w:rPr>
                  <w:rFonts w:ascii="Cambria Math" w:hAnsi="Cambria Math" w:cs="Arial"/>
                  <w:i/>
                  <w:sz w:val="20"/>
                  <w:szCs w:val="20"/>
                  <w:lang w:val="en-US"/>
                </w:rPr>
              </m:ctrlPr>
            </m:fPr>
            <m:num>
              <m:r>
                <w:rPr>
                  <w:rFonts w:ascii="Cambria Math" w:hAnsi="Cambria Math" w:cs="Arial"/>
                  <w:sz w:val="20"/>
                  <w:szCs w:val="20"/>
                  <w:lang w:val="en-US"/>
                </w:rPr>
                <m:t>(</m:t>
              </m:r>
              <m:sSub>
                <m:sSubPr>
                  <m:ctrlPr>
                    <w:rPr>
                      <w:rFonts w:ascii="Cambria Math" w:hAnsi="Cambria Math" w:cs="Arial"/>
                      <w:i/>
                      <w:sz w:val="20"/>
                      <w:szCs w:val="20"/>
                      <w:lang w:val="en-US"/>
                    </w:rPr>
                  </m:ctrlPr>
                </m:sSubPr>
                <m:e>
                  <m:r>
                    <w:rPr>
                      <w:rFonts w:ascii="Cambria Math" w:hAnsi="Cambria Math" w:cs="Arial"/>
                      <w:sz w:val="20"/>
                      <w:szCs w:val="20"/>
                      <w:lang w:val="en-US"/>
                    </w:rPr>
                    <m:t>M</m:t>
                  </m:r>
                </m:e>
                <m:sub>
                  <m:r>
                    <w:rPr>
                      <w:rFonts w:ascii="Cambria Math" w:hAnsi="Cambria Math" w:cs="Arial"/>
                      <w:sz w:val="20"/>
                      <w:szCs w:val="20"/>
                      <w:lang w:val="en-US"/>
                    </w:rPr>
                    <m:t>1</m:t>
                  </m:r>
                </m:sub>
              </m:sSub>
              <m:r>
                <w:rPr>
                  <w:rFonts w:ascii="Cambria Math" w:hAnsi="Cambria Math" w:cs="Arial"/>
                  <w:sz w:val="20"/>
                  <w:szCs w:val="20"/>
                  <w:lang w:val="en-US"/>
                </w:rPr>
                <m:t>-</m:t>
              </m:r>
              <m:sSub>
                <m:sSubPr>
                  <m:ctrlPr>
                    <w:rPr>
                      <w:rFonts w:ascii="Cambria Math" w:hAnsi="Cambria Math" w:cs="Arial"/>
                      <w:i/>
                      <w:sz w:val="20"/>
                      <w:szCs w:val="20"/>
                      <w:lang w:val="en-US"/>
                    </w:rPr>
                  </m:ctrlPr>
                </m:sSubPr>
                <m:e>
                  <m:r>
                    <w:rPr>
                      <w:rFonts w:ascii="Cambria Math" w:hAnsi="Cambria Math" w:cs="Arial"/>
                      <w:sz w:val="20"/>
                      <w:szCs w:val="20"/>
                      <w:lang w:val="en-US"/>
                    </w:rPr>
                    <m:t>M</m:t>
                  </m:r>
                </m:e>
                <m:sub>
                  <m:r>
                    <w:rPr>
                      <w:rFonts w:ascii="Cambria Math" w:hAnsi="Cambria Math" w:cs="Arial"/>
                      <w:sz w:val="20"/>
                      <w:szCs w:val="20"/>
                      <w:lang w:val="en-US"/>
                    </w:rPr>
                    <m:t>2</m:t>
                  </m:r>
                </m:sub>
              </m:sSub>
              <m:r>
                <w:rPr>
                  <w:rFonts w:ascii="Cambria Math" w:hAnsi="Cambria Math" w:cs="Arial"/>
                  <w:sz w:val="20"/>
                  <w:szCs w:val="20"/>
                  <w:lang w:val="en-US"/>
                </w:rPr>
                <m:t>)</m:t>
              </m:r>
            </m:num>
            <m:den>
              <m:sSub>
                <m:sSubPr>
                  <m:ctrlPr>
                    <w:rPr>
                      <w:rFonts w:ascii="Cambria Math" w:hAnsi="Cambria Math" w:cs="Arial"/>
                      <w:i/>
                      <w:sz w:val="20"/>
                      <w:szCs w:val="20"/>
                      <w:lang w:val="en-US"/>
                    </w:rPr>
                  </m:ctrlPr>
                </m:sSubPr>
                <m:e>
                  <m:r>
                    <w:rPr>
                      <w:rFonts w:ascii="Cambria Math" w:hAnsi="Cambria Math" w:cs="Arial"/>
                      <w:sz w:val="20"/>
                      <w:szCs w:val="20"/>
                      <w:lang w:val="en-US"/>
                    </w:rPr>
                    <m:t>M</m:t>
                  </m:r>
                </m:e>
                <m:sub>
                  <m:r>
                    <w:rPr>
                      <w:rFonts w:ascii="Cambria Math" w:hAnsi="Cambria Math" w:cs="Arial"/>
                      <w:sz w:val="20"/>
                      <w:szCs w:val="20"/>
                      <w:lang w:val="en-US"/>
                    </w:rPr>
                    <m:t>1</m:t>
                  </m:r>
                </m:sub>
              </m:sSub>
            </m:den>
          </m:f>
        </m:oMath>
      </m:oMathPara>
    </w:p>
    <w:p w14:paraId="7A102F3F" w14:textId="6C1844CA" w:rsidR="00583389" w:rsidRPr="00380BA4" w:rsidRDefault="00617A5C" w:rsidP="00617A5C">
      <w:pPr>
        <w:pStyle w:val="ListParagraph"/>
        <w:numPr>
          <w:ilvl w:val="2"/>
          <w:numId w:val="3"/>
        </w:numPr>
        <w:spacing w:before="240" w:line="360" w:lineRule="auto"/>
        <w:jc w:val="both"/>
        <w:rPr>
          <w:rFonts w:ascii="Arial" w:hAnsi="Arial" w:cs="Arial"/>
          <w:b/>
          <w:bCs/>
          <w:lang w:val="en-US"/>
        </w:rPr>
      </w:pPr>
      <w:r w:rsidRPr="00380BA4">
        <w:rPr>
          <w:rFonts w:ascii="Arial" w:hAnsi="Arial" w:cs="Arial"/>
          <w:b/>
          <w:bCs/>
          <w:lang w:val="en-US"/>
        </w:rPr>
        <w:t xml:space="preserve">Available carbohydrates </w:t>
      </w:r>
    </w:p>
    <w:p w14:paraId="6333CD74" w14:textId="252E34AD" w:rsidR="00617A5C" w:rsidRPr="00380BA4" w:rsidRDefault="00617A5C" w:rsidP="00617A5C">
      <w:pPr>
        <w:spacing w:line="360" w:lineRule="auto"/>
        <w:jc w:val="both"/>
        <w:rPr>
          <w:rFonts w:ascii="Arial" w:hAnsi="Arial" w:cs="Arial"/>
          <w:sz w:val="20"/>
          <w:szCs w:val="20"/>
          <w:lang w:val="en-US"/>
        </w:rPr>
      </w:pPr>
      <w:r w:rsidRPr="00380BA4">
        <w:rPr>
          <w:rFonts w:ascii="Arial" w:hAnsi="Arial" w:cs="Arial"/>
          <w:sz w:val="20"/>
          <w:szCs w:val="20"/>
          <w:lang w:val="en-US"/>
        </w:rPr>
        <w:t xml:space="preserve">The available carbohydrates were quantified using the method of </w:t>
      </w:r>
      <w:r w:rsidR="00FD17F0">
        <w:rPr>
          <w:rFonts w:ascii="Arial" w:hAnsi="Arial" w:cs="Arial"/>
          <w:sz w:val="20"/>
          <w:szCs w:val="20"/>
          <w:lang w:val="en-US"/>
        </w:rPr>
        <w:fldChar w:fldCharType="begin" w:fldLock="1"/>
      </w:r>
      <w:r w:rsidR="00FD17F0">
        <w:rPr>
          <w:rFonts w:ascii="Arial" w:hAnsi="Arial" w:cs="Arial"/>
          <w:sz w:val="20"/>
          <w:szCs w:val="20"/>
          <w:lang w:val="en-US"/>
        </w:rPr>
        <w:instrText>ADDIN CSL_CITATION {"citationItems":[{"id":"ITEM-1","itemData":{"author":[{"dropping-particle":"","family":"Fischer","given":"E","non-dropping-particle":"","parse-names":false,"suffix":""},{"dropping-particle":"","family":"Stein","given":"E A","non-dropping-particle":"","parse-names":false,"suffix":""}],"container-title":"Biochemical Preparation","id":"ITEM-1","issued":{"date-parts":[["1961"]]},"page":"30-37","title":"DNS colorimetric determination of available carbohydrates in foods","type":"article-journal","volume":"8"},"uris":["http://www.mendeley.com/documents/?uuid=b37fa618-6951-4a5c-8314-3032e5997043"]}],"mendeley":{"formattedCitation":"(Fischer &amp; Stein, 1961)","manualFormatting":"Fischer &amp; Stein (1961)","plainTextFormattedCitation":"(Fischer &amp; Stein, 1961)","previouslyFormattedCitation":"(Fischer &amp; Stein, 1961)"},"properties":{"noteIndex":0},"schema":"https://github.com/citation-style-language/schema/raw/master/csl-citation.json"}</w:instrText>
      </w:r>
      <w:r w:rsidR="00FD17F0">
        <w:rPr>
          <w:rFonts w:ascii="Arial" w:hAnsi="Arial" w:cs="Arial"/>
          <w:sz w:val="20"/>
          <w:szCs w:val="20"/>
          <w:lang w:val="en-US"/>
        </w:rPr>
        <w:fldChar w:fldCharType="separate"/>
      </w:r>
      <w:r w:rsidR="00FD17F0" w:rsidRPr="00FD17F0">
        <w:rPr>
          <w:rFonts w:ascii="Arial" w:hAnsi="Arial" w:cs="Arial"/>
          <w:noProof/>
          <w:sz w:val="20"/>
          <w:szCs w:val="20"/>
          <w:lang w:val="en-US"/>
        </w:rPr>
        <w:t>Fischer &amp; Stein</w:t>
      </w:r>
      <w:r w:rsidR="00FD17F0">
        <w:rPr>
          <w:rFonts w:ascii="Arial" w:hAnsi="Arial" w:cs="Arial"/>
          <w:noProof/>
          <w:sz w:val="20"/>
          <w:szCs w:val="20"/>
          <w:lang w:val="en-US"/>
        </w:rPr>
        <w:t xml:space="preserve"> (</w:t>
      </w:r>
      <w:r w:rsidR="00FD17F0" w:rsidRPr="00FD17F0">
        <w:rPr>
          <w:rFonts w:ascii="Arial" w:hAnsi="Arial" w:cs="Arial"/>
          <w:noProof/>
          <w:sz w:val="20"/>
          <w:szCs w:val="20"/>
          <w:lang w:val="en-US"/>
        </w:rPr>
        <w:t>1961)</w:t>
      </w:r>
      <w:r w:rsidR="00FD17F0">
        <w:rPr>
          <w:rFonts w:ascii="Arial" w:hAnsi="Arial" w:cs="Arial"/>
          <w:sz w:val="20"/>
          <w:szCs w:val="20"/>
          <w:lang w:val="en-US"/>
        </w:rPr>
        <w:fldChar w:fldCharType="end"/>
      </w:r>
      <w:r w:rsidR="00FD17F0" w:rsidRPr="00FD17F0">
        <w:rPr>
          <w:rFonts w:ascii="Arial" w:hAnsi="Arial" w:cs="Arial"/>
          <w:b/>
          <w:bCs/>
          <w:color w:val="000000" w:themeColor="text1"/>
          <w:sz w:val="20"/>
          <w:szCs w:val="20"/>
          <w:lang w:val="en-US"/>
        </w:rPr>
        <w:t>.</w:t>
      </w:r>
      <w:r w:rsidRPr="00FD17F0">
        <w:rPr>
          <w:rFonts w:ascii="Arial" w:hAnsi="Arial" w:cs="Arial"/>
          <w:color w:val="000000" w:themeColor="text1"/>
          <w:sz w:val="20"/>
          <w:szCs w:val="20"/>
          <w:lang w:val="en-US"/>
        </w:rPr>
        <w:t xml:space="preserve"> </w:t>
      </w:r>
      <w:r w:rsidRPr="00380BA4">
        <w:rPr>
          <w:rFonts w:ascii="Arial" w:hAnsi="Arial" w:cs="Arial"/>
          <w:sz w:val="20"/>
          <w:szCs w:val="20"/>
          <w:lang w:val="en-US"/>
        </w:rPr>
        <w:t>0.5 g of the sample were precisely weighed into an Erlenmeyer flask equipped with a stopper and a delivery tube. Subsequently</w:t>
      </w:r>
      <w:r w:rsidRPr="00380BA4">
        <w:rPr>
          <w:rFonts w:ascii="Arial" w:hAnsi="Arial" w:cs="Arial"/>
          <w:b/>
          <w:bCs/>
          <w:sz w:val="20"/>
          <w:szCs w:val="20"/>
          <w:lang w:val="en-US"/>
        </w:rPr>
        <w:t xml:space="preserve">, </w:t>
      </w:r>
      <w:r w:rsidRPr="00380BA4">
        <w:rPr>
          <w:rFonts w:ascii="Arial" w:hAnsi="Arial" w:cs="Arial"/>
          <w:sz w:val="20"/>
          <w:szCs w:val="20"/>
          <w:lang w:val="en-US"/>
        </w:rPr>
        <w:t>10 ml of 1.5 N sulfuric acid (H</w:t>
      </w:r>
      <w:r w:rsidRPr="00380BA4">
        <w:rPr>
          <w:rFonts w:ascii="Arial" w:hAnsi="Arial" w:cs="Arial"/>
          <w:sz w:val="20"/>
          <w:szCs w:val="20"/>
          <w:vertAlign w:val="subscript"/>
          <w:lang w:val="en-US"/>
        </w:rPr>
        <w:t>2</w:t>
      </w:r>
      <w:r w:rsidRPr="00380BA4">
        <w:rPr>
          <w:rFonts w:ascii="Arial" w:hAnsi="Arial" w:cs="Arial"/>
          <w:sz w:val="20"/>
          <w:szCs w:val="20"/>
          <w:lang w:val="en-US"/>
        </w:rPr>
        <w:t>SO</w:t>
      </w:r>
      <w:r w:rsidRPr="00380BA4">
        <w:rPr>
          <w:rFonts w:ascii="Arial" w:hAnsi="Arial" w:cs="Arial"/>
          <w:sz w:val="20"/>
          <w:szCs w:val="20"/>
          <w:vertAlign w:val="subscript"/>
          <w:lang w:val="en-US"/>
        </w:rPr>
        <w:t>4</w:t>
      </w:r>
      <w:r w:rsidRPr="00380BA4">
        <w:rPr>
          <w:rFonts w:ascii="Arial" w:hAnsi="Arial" w:cs="Arial"/>
          <w:sz w:val="20"/>
          <w:szCs w:val="20"/>
          <w:lang w:val="en-US"/>
        </w:rPr>
        <w:t>) was added. The mixture was heated to boiling for 45 min in a water bath and then allowed to cool to room temperature. Next, 10 ml of 70 % ethanol</w:t>
      </w:r>
      <w:r w:rsidRPr="00380BA4">
        <w:rPr>
          <w:rFonts w:ascii="Arial" w:hAnsi="Arial" w:cs="Arial"/>
          <w:b/>
          <w:bCs/>
          <w:sz w:val="20"/>
          <w:szCs w:val="20"/>
          <w:lang w:val="en-US"/>
        </w:rPr>
        <w:t xml:space="preserve">, </w:t>
      </w:r>
      <w:r w:rsidRPr="00380BA4">
        <w:rPr>
          <w:rFonts w:ascii="Arial" w:hAnsi="Arial" w:cs="Arial"/>
          <w:sz w:val="20"/>
          <w:szCs w:val="20"/>
          <w:lang w:val="en-US"/>
        </w:rPr>
        <w:t>0.5 ml of zinc sulfate (2 g/100 ml), and 0.5 ml of potassium ferrocyanide (0.106 g/ml) were introduced. The resulting solution was filtered into a 50 ml volumetric flask and adjusted to the calibration mark. 0.25 ml of diluted glucose solution or glucose standard (0.25 to 1 mg</w:t>
      </w:r>
      <w:r w:rsidRPr="00380BA4">
        <w:rPr>
          <w:rFonts w:ascii="Arial" w:hAnsi="Arial" w:cs="Arial"/>
          <w:b/>
          <w:bCs/>
          <w:sz w:val="20"/>
          <w:szCs w:val="20"/>
          <w:lang w:val="en-US"/>
        </w:rPr>
        <w:t xml:space="preserve">) </w:t>
      </w:r>
      <w:r w:rsidRPr="00380BA4">
        <w:rPr>
          <w:rFonts w:ascii="Arial" w:hAnsi="Arial" w:cs="Arial"/>
          <w:sz w:val="20"/>
          <w:szCs w:val="20"/>
          <w:lang w:val="en-US"/>
        </w:rPr>
        <w:t xml:space="preserve">was pipetted into a test tube, followed by the addition of 0.5 ml of distilled water and 0.25 ml of DNS (3,5 </w:t>
      </w:r>
      <w:proofErr w:type="spellStart"/>
      <w:r w:rsidRPr="00380BA4">
        <w:rPr>
          <w:rFonts w:ascii="Arial" w:hAnsi="Arial" w:cs="Arial"/>
          <w:sz w:val="20"/>
          <w:szCs w:val="20"/>
          <w:lang w:val="en-US"/>
        </w:rPr>
        <w:t>Dinitrosalicylic</w:t>
      </w:r>
      <w:proofErr w:type="spellEnd"/>
      <w:r w:rsidRPr="00380BA4">
        <w:rPr>
          <w:rFonts w:ascii="Arial" w:hAnsi="Arial" w:cs="Arial"/>
          <w:sz w:val="20"/>
          <w:szCs w:val="20"/>
          <w:lang w:val="en-US"/>
        </w:rPr>
        <w:t xml:space="preserve"> acid). The entire solution was then heated in a water bath for 5 min, and the volume was subsequently adjusted to 5 ml with distilled water. After thorough mixing, optical densities were measured at 540 nm after cooling. The regression </w:t>
      </w:r>
      <w:proofErr w:type="spellStart"/>
      <w:r w:rsidRPr="00380BA4">
        <w:rPr>
          <w:rFonts w:ascii="Arial" w:hAnsi="Arial" w:cs="Arial"/>
          <w:sz w:val="20"/>
          <w:szCs w:val="20"/>
          <w:lang w:val="en-US"/>
        </w:rPr>
        <w:t>equa</w:t>
      </w:r>
      <w:proofErr w:type="spellEnd"/>
      <w:r w:rsidRPr="00380BA4">
        <w:rPr>
          <w:rFonts w:ascii="Arial" w:hAnsi="Arial" w:cs="Arial"/>
          <w:sz w:val="20"/>
          <w:szCs w:val="20"/>
          <w:lang w:val="en-US"/>
        </w:rPr>
        <w:softHyphen/>
        <w:t xml:space="preserve"> </w:t>
      </w:r>
      <w:proofErr w:type="spellStart"/>
      <w:r w:rsidRPr="00380BA4">
        <w:rPr>
          <w:rFonts w:ascii="Arial" w:hAnsi="Arial" w:cs="Arial"/>
          <w:sz w:val="20"/>
          <w:szCs w:val="20"/>
          <w:lang w:val="en-US"/>
        </w:rPr>
        <w:t>tion</w:t>
      </w:r>
      <w:proofErr w:type="spellEnd"/>
      <w:r w:rsidRPr="00380BA4">
        <w:rPr>
          <w:rFonts w:ascii="Arial" w:hAnsi="Arial" w:cs="Arial"/>
          <w:sz w:val="20"/>
          <w:szCs w:val="20"/>
          <w:lang w:val="en-US"/>
        </w:rPr>
        <w:t xml:space="preserve"> derived from the glucose concentration range facilitated the necessary calculations, and the carbohydrate content is expressed as gram per 100 </w:t>
      </w:r>
      <w:proofErr w:type="spellStart"/>
      <w:r w:rsidRPr="00380BA4">
        <w:rPr>
          <w:rFonts w:ascii="Arial" w:hAnsi="Arial" w:cs="Arial"/>
          <w:sz w:val="20"/>
          <w:szCs w:val="20"/>
          <w:lang w:val="en-US"/>
        </w:rPr>
        <w:t>gs</w:t>
      </w:r>
      <w:proofErr w:type="spellEnd"/>
      <w:r w:rsidRPr="00380BA4">
        <w:rPr>
          <w:rFonts w:ascii="Arial" w:hAnsi="Arial" w:cs="Arial"/>
          <w:sz w:val="20"/>
          <w:szCs w:val="20"/>
          <w:lang w:val="en-US"/>
        </w:rPr>
        <w:t xml:space="preserve"> of dry matter (g/100 g DM).</w:t>
      </w:r>
    </w:p>
    <w:p w14:paraId="49B70142" w14:textId="023DD8D5" w:rsidR="00617A5C" w:rsidRPr="00380BA4" w:rsidRDefault="00617A5C" w:rsidP="00617A5C">
      <w:pPr>
        <w:pStyle w:val="ListParagraph"/>
        <w:numPr>
          <w:ilvl w:val="2"/>
          <w:numId w:val="3"/>
        </w:numPr>
        <w:spacing w:line="360" w:lineRule="auto"/>
        <w:jc w:val="both"/>
        <w:rPr>
          <w:rFonts w:ascii="Arial" w:hAnsi="Arial" w:cs="Arial"/>
          <w:b/>
          <w:bCs/>
          <w:sz w:val="20"/>
          <w:szCs w:val="20"/>
          <w:lang w:val="en-US"/>
        </w:rPr>
      </w:pPr>
      <w:r w:rsidRPr="00380BA4">
        <w:rPr>
          <w:rFonts w:ascii="Arial" w:hAnsi="Arial" w:cs="Arial"/>
          <w:b/>
          <w:bCs/>
          <w:sz w:val="20"/>
          <w:szCs w:val="20"/>
          <w:lang w:val="en-US"/>
        </w:rPr>
        <w:t>Total protein and ash</w:t>
      </w:r>
    </w:p>
    <w:p w14:paraId="1FA1EC7C" w14:textId="565B5A37" w:rsidR="00583389" w:rsidRPr="00380BA4" w:rsidRDefault="00617A5C" w:rsidP="00583389">
      <w:pPr>
        <w:spacing w:before="240" w:line="360" w:lineRule="auto"/>
        <w:jc w:val="both"/>
        <w:rPr>
          <w:rFonts w:ascii="Arial" w:hAnsi="Arial" w:cs="Arial"/>
          <w:sz w:val="20"/>
          <w:szCs w:val="20"/>
          <w:lang w:val="en-US"/>
        </w:rPr>
      </w:pPr>
      <w:r w:rsidRPr="00380BA4">
        <w:rPr>
          <w:rFonts w:ascii="Arial" w:hAnsi="Arial" w:cs="Arial"/>
          <w:sz w:val="20"/>
          <w:szCs w:val="20"/>
          <w:lang w:val="en-US"/>
        </w:rPr>
        <w:t>Total protein content was determined by the Kjeldahl method</w:t>
      </w:r>
      <w:r w:rsidR="00FD17F0">
        <w:rPr>
          <w:rFonts w:ascii="Arial" w:hAnsi="Arial" w:cs="Arial"/>
          <w:sz w:val="20"/>
          <w:szCs w:val="20"/>
          <w:lang w:val="en-US"/>
        </w:rPr>
        <w:t xml:space="preserve"> </w:t>
      </w:r>
      <w:r w:rsidR="00FD17F0">
        <w:rPr>
          <w:rFonts w:ascii="Arial" w:hAnsi="Arial" w:cs="Arial"/>
          <w:sz w:val="20"/>
          <w:szCs w:val="20"/>
          <w:lang w:val="en-US"/>
        </w:rPr>
        <w:fldChar w:fldCharType="begin" w:fldLock="1"/>
      </w:r>
      <w:r w:rsidR="009A02E1">
        <w:rPr>
          <w:rFonts w:ascii="Arial" w:hAnsi="Arial" w:cs="Arial"/>
          <w:sz w:val="20"/>
          <w:szCs w:val="20"/>
          <w:lang w:val="en-US"/>
        </w:rPr>
        <w:instrText>ADDIN CSL_CITATION {"citationItems":[{"id":"ITEM-1","itemData":{"author":[{"dropping-particle":"","family":"AOAC","given":"","non-dropping-particle":"","parse-names":false,"suffix":""}],"edition":"16th editi","id":"ITEM-1","issued":{"date-parts":[["1999"]]},"publisher":"Association of Official Analytical Chemists","publisher-place":"Washington","title":"Official methods of analysis","type":"book"},"uris":["http://www.mendeley.com/documents/?uuid=88816041-1db0-45d9-9708-f36913189626"]}],"mendeley":{"formattedCitation":"(AOAC, 1999)","plainTextFormattedCitation":"(AOAC, 1999)","previouslyFormattedCitation":"(AOAC, 1999)"},"properties":{"noteIndex":0},"schema":"https://github.com/citation-style-language/schema/raw/master/csl-citation.json"}</w:instrText>
      </w:r>
      <w:r w:rsidR="00FD17F0">
        <w:rPr>
          <w:rFonts w:ascii="Arial" w:hAnsi="Arial" w:cs="Arial"/>
          <w:sz w:val="20"/>
          <w:szCs w:val="20"/>
          <w:lang w:val="en-US"/>
        </w:rPr>
        <w:fldChar w:fldCharType="separate"/>
      </w:r>
      <w:r w:rsidR="00FD17F0" w:rsidRPr="00FD17F0">
        <w:rPr>
          <w:rFonts w:ascii="Arial" w:hAnsi="Arial" w:cs="Arial"/>
          <w:noProof/>
          <w:sz w:val="20"/>
          <w:szCs w:val="20"/>
          <w:lang w:val="en-US"/>
        </w:rPr>
        <w:t>(AOAC, 1999)</w:t>
      </w:r>
      <w:r w:rsidR="00FD17F0">
        <w:rPr>
          <w:rFonts w:ascii="Arial" w:hAnsi="Arial" w:cs="Arial"/>
          <w:sz w:val="20"/>
          <w:szCs w:val="20"/>
          <w:lang w:val="en-US"/>
        </w:rPr>
        <w:fldChar w:fldCharType="end"/>
      </w:r>
      <w:r w:rsidR="00FD17F0">
        <w:rPr>
          <w:rFonts w:ascii="Arial" w:hAnsi="Arial" w:cs="Arial"/>
          <w:sz w:val="20"/>
          <w:szCs w:val="20"/>
          <w:lang w:val="en-US"/>
        </w:rPr>
        <w:t xml:space="preserve">. </w:t>
      </w:r>
      <w:r w:rsidRPr="00380BA4">
        <w:rPr>
          <w:rFonts w:ascii="Arial" w:hAnsi="Arial" w:cs="Arial"/>
          <w:sz w:val="20"/>
          <w:szCs w:val="20"/>
          <w:lang w:val="en-US"/>
        </w:rPr>
        <w:t>Total ash content was determined after incineration of the powders according to the protocol described by</w:t>
      </w:r>
      <w:r w:rsidR="00FD17F0">
        <w:rPr>
          <w:rFonts w:ascii="Arial" w:hAnsi="Arial" w:cs="Arial"/>
          <w:sz w:val="20"/>
          <w:szCs w:val="20"/>
          <w:lang w:val="en-US"/>
        </w:rPr>
        <w:t xml:space="preserve"> </w:t>
      </w:r>
      <w:r w:rsidR="00FD17F0">
        <w:rPr>
          <w:rFonts w:ascii="Arial" w:hAnsi="Arial" w:cs="Arial"/>
          <w:sz w:val="20"/>
          <w:szCs w:val="20"/>
          <w:lang w:val="en-US"/>
        </w:rPr>
        <w:fldChar w:fldCharType="begin" w:fldLock="1"/>
      </w:r>
      <w:r w:rsidR="009A02E1">
        <w:rPr>
          <w:rFonts w:ascii="Arial" w:hAnsi="Arial" w:cs="Arial"/>
          <w:sz w:val="20"/>
          <w:szCs w:val="20"/>
          <w:lang w:val="en-US"/>
        </w:rPr>
        <w:instrText>ADDIN CSL_CITATION {"citationItems":[{"id":"ITEM-1","itemData":{"author":[{"dropping-particle":"","family":"AOAC","given":"","non-dropping-particle":"","parse-names":false,"suffix":""}],"edition":"16th editi","id":"ITEM-1","issued":{"date-parts":[["1999"]]},"publisher":"Association of Official Analytical Chemists","publisher-place":"Washington","title":"Official methods of analysis","type":"book"},"uris":["http://www.mendeley.com/documents/?uuid=88816041-1db0-45d9-9708-f36913189626"]}],"mendeley":{"formattedCitation":"(AOAC, 1999)","manualFormatting":"AOAC (1999)","plainTextFormattedCitation":"(AOAC, 1999)","previouslyFormattedCitation":"(AOAC, 1999)"},"properties":{"noteIndex":0},"schema":"https://github.com/citation-style-language/schema/raw/master/csl-citation.json"}</w:instrText>
      </w:r>
      <w:r w:rsidR="00FD17F0">
        <w:rPr>
          <w:rFonts w:ascii="Arial" w:hAnsi="Arial" w:cs="Arial"/>
          <w:sz w:val="20"/>
          <w:szCs w:val="20"/>
          <w:lang w:val="en-US"/>
        </w:rPr>
        <w:fldChar w:fldCharType="separate"/>
      </w:r>
      <w:r w:rsidR="00FD17F0" w:rsidRPr="00FD17F0">
        <w:rPr>
          <w:rFonts w:ascii="Arial" w:hAnsi="Arial" w:cs="Arial"/>
          <w:noProof/>
          <w:sz w:val="20"/>
          <w:szCs w:val="20"/>
          <w:lang w:val="en-US"/>
        </w:rPr>
        <w:t xml:space="preserve">AOAC </w:t>
      </w:r>
      <w:r w:rsidR="00FD17F0">
        <w:rPr>
          <w:rFonts w:ascii="Arial" w:hAnsi="Arial" w:cs="Arial"/>
          <w:noProof/>
          <w:sz w:val="20"/>
          <w:szCs w:val="20"/>
          <w:lang w:val="en-US"/>
        </w:rPr>
        <w:t>(</w:t>
      </w:r>
      <w:r w:rsidR="00FD17F0" w:rsidRPr="00FD17F0">
        <w:rPr>
          <w:rFonts w:ascii="Arial" w:hAnsi="Arial" w:cs="Arial"/>
          <w:noProof/>
          <w:sz w:val="20"/>
          <w:szCs w:val="20"/>
          <w:lang w:val="en-US"/>
        </w:rPr>
        <w:t>1999)</w:t>
      </w:r>
      <w:r w:rsidR="00FD17F0">
        <w:rPr>
          <w:rFonts w:ascii="Arial" w:hAnsi="Arial" w:cs="Arial"/>
          <w:sz w:val="20"/>
          <w:szCs w:val="20"/>
          <w:lang w:val="en-US"/>
        </w:rPr>
        <w:fldChar w:fldCharType="end"/>
      </w:r>
      <w:r w:rsidR="00FD17F0">
        <w:rPr>
          <w:rFonts w:ascii="Arial" w:hAnsi="Arial" w:cs="Arial"/>
          <w:sz w:val="20"/>
          <w:szCs w:val="20"/>
          <w:lang w:val="en-US"/>
        </w:rPr>
        <w:t>.</w:t>
      </w:r>
    </w:p>
    <w:p w14:paraId="11C32545" w14:textId="2C22C64F" w:rsidR="00617A5C" w:rsidRPr="00380BA4" w:rsidRDefault="00617A5C" w:rsidP="00617A5C">
      <w:pPr>
        <w:pStyle w:val="ListParagraph"/>
        <w:numPr>
          <w:ilvl w:val="2"/>
          <w:numId w:val="3"/>
        </w:numPr>
        <w:spacing w:before="240" w:line="360" w:lineRule="auto"/>
        <w:jc w:val="both"/>
        <w:rPr>
          <w:rFonts w:ascii="Arial" w:hAnsi="Arial" w:cs="Arial"/>
          <w:b/>
          <w:bCs/>
          <w:sz w:val="20"/>
          <w:szCs w:val="20"/>
          <w:lang w:val="en-US"/>
        </w:rPr>
      </w:pPr>
      <w:r w:rsidRPr="00380BA4">
        <w:rPr>
          <w:rFonts w:ascii="Arial" w:hAnsi="Arial" w:cs="Arial"/>
          <w:b/>
          <w:bCs/>
          <w:sz w:val="20"/>
          <w:szCs w:val="20"/>
          <w:lang w:val="en-US"/>
        </w:rPr>
        <w:t>Total lipids</w:t>
      </w:r>
    </w:p>
    <w:p w14:paraId="575DFAF9" w14:textId="60F53E8D" w:rsidR="00617A5C" w:rsidRPr="00380BA4" w:rsidRDefault="00617A5C" w:rsidP="004F2892">
      <w:pPr>
        <w:spacing w:after="0" w:line="360" w:lineRule="auto"/>
        <w:jc w:val="both"/>
        <w:rPr>
          <w:rFonts w:ascii="Arial" w:hAnsi="Arial" w:cs="Arial"/>
          <w:sz w:val="20"/>
          <w:szCs w:val="20"/>
          <w:lang w:val="en-US"/>
        </w:rPr>
      </w:pPr>
      <w:r w:rsidRPr="00380BA4">
        <w:rPr>
          <w:rFonts w:ascii="Arial" w:hAnsi="Arial" w:cs="Arial"/>
          <w:sz w:val="20"/>
          <w:szCs w:val="20"/>
          <w:lang w:val="en-US"/>
        </w:rPr>
        <w:t xml:space="preserve">The total lipid content is determined using the hot extraction method in a </w:t>
      </w:r>
      <w:r w:rsidR="003B6966" w:rsidRPr="00380BA4">
        <w:rPr>
          <w:rFonts w:ascii="Arial" w:hAnsi="Arial" w:cs="Arial"/>
          <w:sz w:val="20"/>
          <w:szCs w:val="20"/>
          <w:lang w:val="en-US"/>
        </w:rPr>
        <w:t>S</w:t>
      </w:r>
      <w:r w:rsidRPr="00380BA4">
        <w:rPr>
          <w:rFonts w:ascii="Arial" w:hAnsi="Arial" w:cs="Arial"/>
          <w:sz w:val="20"/>
          <w:szCs w:val="20"/>
          <w:lang w:val="en-US"/>
        </w:rPr>
        <w:t>oxhlet apparatus, as described by</w:t>
      </w:r>
      <w:r w:rsidR="001F6256">
        <w:rPr>
          <w:rFonts w:ascii="Arial" w:hAnsi="Arial" w:cs="Arial"/>
          <w:sz w:val="20"/>
          <w:szCs w:val="20"/>
          <w:lang w:val="en-US"/>
        </w:rPr>
        <w:t xml:space="preserve"> </w:t>
      </w:r>
      <w:r w:rsidR="001F6256">
        <w:rPr>
          <w:rFonts w:ascii="Arial" w:hAnsi="Arial" w:cs="Arial"/>
          <w:sz w:val="20"/>
          <w:szCs w:val="20"/>
          <w:lang w:val="en-US"/>
        </w:rPr>
        <w:fldChar w:fldCharType="begin" w:fldLock="1"/>
      </w:r>
      <w:r w:rsidR="00044E0A">
        <w:rPr>
          <w:rFonts w:ascii="Arial" w:hAnsi="Arial" w:cs="Arial"/>
          <w:sz w:val="20"/>
          <w:szCs w:val="20"/>
          <w:lang w:val="en-US"/>
        </w:rPr>
        <w:instrText>ADDIN CSL_CITATION {"citationItems":[{"id":"ITEM-1","itemData":{"author":[{"dropping-particle":"","family":"Bourely","given":"","non-dropping-particle":"","parse-names":false,"suffix":""}],"container-title":"Coton et Fibres Tropicales","id":"ITEM-1","issued":{"date-parts":[["1982"]]},"page":"183-196","title":"Observation sur le dosage de l’huile des graines de cotonnie","type":"article-journal","volume":"27"},"uris":["http://www.mendeley.com/documents/?uuid=7cef7f43-278c-4286-9512-295dedb6eeda"]}],"mendeley":{"formattedCitation":"(Bourely, 1982)","manualFormatting":"Bourely (1982)","plainTextFormattedCitation":"(Bourely, 1982)","previouslyFormattedCitation":"(Bourely, 1982)"},"properties":{"noteIndex":0},"schema":"https://github.com/citation-style-language/schema/raw/master/csl-citation.json"}</w:instrText>
      </w:r>
      <w:r w:rsidR="001F6256">
        <w:rPr>
          <w:rFonts w:ascii="Arial" w:hAnsi="Arial" w:cs="Arial"/>
          <w:sz w:val="20"/>
          <w:szCs w:val="20"/>
          <w:lang w:val="en-US"/>
        </w:rPr>
        <w:fldChar w:fldCharType="separate"/>
      </w:r>
      <w:r w:rsidR="001F6256" w:rsidRPr="001F6256">
        <w:rPr>
          <w:rFonts w:ascii="Arial" w:hAnsi="Arial" w:cs="Arial"/>
          <w:noProof/>
          <w:sz w:val="20"/>
          <w:szCs w:val="20"/>
          <w:lang w:val="en-US"/>
        </w:rPr>
        <w:t>Bourely</w:t>
      </w:r>
      <w:r w:rsidR="001F6256">
        <w:rPr>
          <w:rFonts w:ascii="Arial" w:hAnsi="Arial" w:cs="Arial"/>
          <w:noProof/>
          <w:sz w:val="20"/>
          <w:szCs w:val="20"/>
          <w:lang w:val="en-US"/>
        </w:rPr>
        <w:t xml:space="preserve"> (</w:t>
      </w:r>
      <w:r w:rsidR="001F6256" w:rsidRPr="001F6256">
        <w:rPr>
          <w:rFonts w:ascii="Arial" w:hAnsi="Arial" w:cs="Arial"/>
          <w:noProof/>
          <w:sz w:val="20"/>
          <w:szCs w:val="20"/>
          <w:lang w:val="en-US"/>
        </w:rPr>
        <w:t>1982)</w:t>
      </w:r>
      <w:r w:rsidR="001F6256">
        <w:rPr>
          <w:rFonts w:ascii="Arial" w:hAnsi="Arial" w:cs="Arial"/>
          <w:sz w:val="20"/>
          <w:szCs w:val="20"/>
          <w:lang w:val="en-US"/>
        </w:rPr>
        <w:fldChar w:fldCharType="end"/>
      </w:r>
      <w:r w:rsidR="001F6256">
        <w:rPr>
          <w:rFonts w:ascii="Arial" w:hAnsi="Arial" w:cs="Arial"/>
          <w:sz w:val="20"/>
          <w:szCs w:val="20"/>
          <w:lang w:val="en-US"/>
        </w:rPr>
        <w:t>.</w:t>
      </w:r>
      <w:r w:rsidRPr="00380BA4">
        <w:rPr>
          <w:rFonts w:ascii="Arial" w:hAnsi="Arial" w:cs="Arial"/>
          <w:sz w:val="20"/>
          <w:szCs w:val="20"/>
          <w:lang w:val="en-US"/>
        </w:rPr>
        <w:t xml:space="preserve"> The dried powders, obtained by drying at 105</w:t>
      </w:r>
      <w:r w:rsidR="003B6966" w:rsidRPr="00380BA4">
        <w:rPr>
          <w:rFonts w:ascii="Arial" w:hAnsi="Arial" w:cs="Arial"/>
          <w:sz w:val="20"/>
          <w:szCs w:val="20"/>
          <w:lang w:val="en-US"/>
        </w:rPr>
        <w:t xml:space="preserve"> °</w:t>
      </w:r>
      <w:r w:rsidRPr="00380BA4">
        <w:rPr>
          <w:rFonts w:ascii="Arial" w:hAnsi="Arial" w:cs="Arial"/>
          <w:sz w:val="20"/>
          <w:szCs w:val="20"/>
          <w:lang w:val="en-US"/>
        </w:rPr>
        <w:t xml:space="preserve">C, are placed in numbered </w:t>
      </w:r>
      <w:r w:rsidRPr="00380BA4">
        <w:rPr>
          <w:rFonts w:ascii="Arial" w:hAnsi="Arial" w:cs="Arial"/>
          <w:sz w:val="20"/>
          <w:szCs w:val="20"/>
          <w:lang w:val="en-US"/>
        </w:rPr>
        <w:lastRenderedPageBreak/>
        <w:t>filter papers, dried, and weighed. Oil extraction is carried out using hexane in the Soxhlet apparatus for a duration of 12 h. The oil content is calculated relative to the dry matter by the weight difference of the sachet before and after complete lipid extraction. The oil content (</w:t>
      </w:r>
      <w:proofErr w:type="spellStart"/>
      <w:r w:rsidRPr="00380BA4">
        <w:rPr>
          <w:rFonts w:ascii="Arial" w:hAnsi="Arial" w:cs="Arial"/>
          <w:sz w:val="20"/>
          <w:szCs w:val="20"/>
          <w:lang w:val="en-US"/>
        </w:rPr>
        <w:t>Oc</w:t>
      </w:r>
      <w:proofErr w:type="spellEnd"/>
      <w:r w:rsidRPr="00380BA4">
        <w:rPr>
          <w:rFonts w:ascii="Arial" w:hAnsi="Arial" w:cs="Arial"/>
          <w:sz w:val="20"/>
          <w:szCs w:val="20"/>
          <w:lang w:val="en-US"/>
        </w:rPr>
        <w:t>) per 100 g of dry powder is given by the following formula:</w:t>
      </w:r>
    </w:p>
    <w:p w14:paraId="6ED7820E" w14:textId="0F5DB8DC" w:rsidR="00617A5C" w:rsidRPr="00380BA4" w:rsidRDefault="00C30EAC" w:rsidP="00617A5C">
      <w:pPr>
        <w:spacing w:before="240" w:line="360" w:lineRule="auto"/>
        <w:jc w:val="both"/>
        <w:rPr>
          <w:rFonts w:ascii="Arial" w:eastAsiaTheme="minorEastAsia" w:hAnsi="Arial" w:cs="Arial"/>
          <w:iCs/>
          <w:lang w:val="en-US"/>
        </w:rPr>
      </w:pPr>
      <m:oMathPara>
        <m:oMath>
          <m:sSub>
            <m:sSubPr>
              <m:ctrlPr>
                <w:rPr>
                  <w:rFonts w:ascii="Cambria Math" w:hAnsi="Cambria Math" w:cs="Arial"/>
                  <w:iCs/>
                  <w:sz w:val="20"/>
                  <w:szCs w:val="20"/>
                  <w:lang w:val="en-US"/>
                </w:rPr>
              </m:ctrlPr>
            </m:sSubPr>
            <m:e>
              <m:r>
                <m:rPr>
                  <m:sty m:val="p"/>
                </m:rPr>
                <w:rPr>
                  <w:rFonts w:ascii="Cambria Math" w:hAnsi="Cambria Math" w:cs="Arial"/>
                  <w:sz w:val="20"/>
                  <w:szCs w:val="20"/>
                  <w:lang w:val="en-US"/>
                </w:rPr>
                <m:t>O</m:t>
              </m:r>
            </m:e>
            <m:sub>
              <m:r>
                <m:rPr>
                  <m:sty m:val="p"/>
                </m:rPr>
                <w:rPr>
                  <w:rFonts w:ascii="Cambria Math" w:hAnsi="Cambria Math" w:cs="Arial"/>
                  <w:sz w:val="20"/>
                  <w:szCs w:val="20"/>
                  <w:lang w:val="en-US"/>
                </w:rPr>
                <m:t>c</m:t>
              </m:r>
            </m:sub>
          </m:sSub>
          <m:r>
            <m:rPr>
              <m:sty m:val="p"/>
            </m:rPr>
            <w:rPr>
              <w:rFonts w:ascii="Cambria Math" w:hAnsi="Cambria Math" w:cs="Arial"/>
              <w:sz w:val="20"/>
              <w:szCs w:val="20"/>
              <w:lang w:val="en-US"/>
            </w:rPr>
            <m:t xml:space="preserve">= </m:t>
          </m:r>
          <m:f>
            <m:fPr>
              <m:ctrlPr>
                <w:rPr>
                  <w:rFonts w:ascii="Cambria Math" w:hAnsi="Cambria Math" w:cs="Arial"/>
                  <w:iCs/>
                  <w:sz w:val="20"/>
                  <w:szCs w:val="20"/>
                  <w:lang w:val="en-US"/>
                </w:rPr>
              </m:ctrlPr>
            </m:fPr>
            <m:num>
              <m:r>
                <m:rPr>
                  <m:sty m:val="p"/>
                </m:rPr>
                <w:rPr>
                  <w:rFonts w:ascii="Cambria Math" w:hAnsi="Cambria Math" w:cs="Arial"/>
                  <w:sz w:val="20"/>
                  <w:szCs w:val="20"/>
                  <w:lang w:val="en-US"/>
                </w:rPr>
                <m:t>(</m:t>
              </m:r>
              <m:sSub>
                <m:sSubPr>
                  <m:ctrlPr>
                    <w:rPr>
                      <w:rFonts w:ascii="Cambria Math" w:hAnsi="Cambria Math" w:cs="Arial"/>
                      <w:iCs/>
                      <w:sz w:val="20"/>
                      <w:szCs w:val="20"/>
                      <w:lang w:val="en-US"/>
                    </w:rPr>
                  </m:ctrlPr>
                </m:sSubPr>
                <m:e>
                  <m:r>
                    <m:rPr>
                      <m:sty m:val="p"/>
                    </m:rPr>
                    <w:rPr>
                      <w:rFonts w:ascii="Cambria Math" w:hAnsi="Cambria Math" w:cs="Arial"/>
                      <w:sz w:val="20"/>
                      <w:szCs w:val="20"/>
                      <w:lang w:val="en-US"/>
                    </w:rPr>
                    <m:t>M</m:t>
                  </m:r>
                </m:e>
                <m:sub>
                  <m:r>
                    <m:rPr>
                      <m:sty m:val="p"/>
                    </m:rPr>
                    <w:rPr>
                      <w:rFonts w:ascii="Cambria Math" w:hAnsi="Cambria Math" w:cs="Arial"/>
                      <w:sz w:val="20"/>
                      <w:szCs w:val="20"/>
                      <w:lang w:val="en-US"/>
                    </w:rPr>
                    <m:t>1</m:t>
                  </m:r>
                </m:sub>
              </m:sSub>
              <m:r>
                <m:rPr>
                  <m:sty m:val="p"/>
                </m:rPr>
                <w:rPr>
                  <w:rFonts w:ascii="Cambria Math" w:hAnsi="Cambria Math" w:cs="Arial"/>
                  <w:sz w:val="20"/>
                  <w:szCs w:val="20"/>
                  <w:lang w:val="en-US"/>
                </w:rPr>
                <m:t>-</m:t>
              </m:r>
              <m:r>
                <m:rPr>
                  <m:sty m:val="p"/>
                </m:rPr>
                <w:rPr>
                  <w:rFonts w:ascii="Cambria Math" w:hAnsi="Cambria Math" w:cs="Arial"/>
                  <w:sz w:val="20"/>
                  <w:szCs w:val="20"/>
                  <w:lang w:val="en-US"/>
                </w:rPr>
                <m:t>M)</m:t>
              </m:r>
            </m:num>
            <m:den>
              <m:r>
                <m:rPr>
                  <m:sty m:val="p"/>
                </m:rPr>
                <w:rPr>
                  <w:rFonts w:ascii="Cambria Math" w:hAnsi="Cambria Math" w:cs="Arial"/>
                  <w:sz w:val="20"/>
                  <w:szCs w:val="20"/>
                  <w:lang w:val="en-US"/>
                </w:rPr>
                <m:t>(</m:t>
              </m:r>
              <m:sSub>
                <m:sSubPr>
                  <m:ctrlPr>
                    <w:rPr>
                      <w:rFonts w:ascii="Cambria Math" w:hAnsi="Cambria Math" w:cs="Arial"/>
                      <w:iCs/>
                      <w:sz w:val="20"/>
                      <w:szCs w:val="20"/>
                      <w:lang w:val="en-US"/>
                    </w:rPr>
                  </m:ctrlPr>
                </m:sSubPr>
                <m:e>
                  <m:r>
                    <m:rPr>
                      <m:sty m:val="p"/>
                    </m:rPr>
                    <w:rPr>
                      <w:rFonts w:ascii="Cambria Math" w:hAnsi="Cambria Math" w:cs="Arial"/>
                      <w:sz w:val="20"/>
                      <w:szCs w:val="20"/>
                      <w:lang w:val="en-US"/>
                    </w:rPr>
                    <m:t>M</m:t>
                  </m:r>
                </m:e>
                <m:sub>
                  <m:r>
                    <m:rPr>
                      <m:sty m:val="p"/>
                    </m:rPr>
                    <w:rPr>
                      <w:rFonts w:ascii="Cambria Math" w:hAnsi="Cambria Math" w:cs="Arial"/>
                      <w:sz w:val="20"/>
                      <w:szCs w:val="20"/>
                      <w:lang w:val="en-US"/>
                    </w:rPr>
                    <m:t>1</m:t>
                  </m:r>
                </m:sub>
              </m:sSub>
              <m:r>
                <m:rPr>
                  <m:sty m:val="p"/>
                </m:rPr>
                <w:rPr>
                  <w:rFonts w:ascii="Cambria Math" w:hAnsi="Cambria Math" w:cs="Arial"/>
                  <w:sz w:val="20"/>
                  <w:szCs w:val="20"/>
                  <w:lang w:val="en-US"/>
                </w:rPr>
                <m:t>-</m:t>
              </m:r>
              <m:sSub>
                <m:sSubPr>
                  <m:ctrlPr>
                    <w:rPr>
                      <w:rFonts w:ascii="Cambria Math" w:hAnsi="Cambria Math" w:cs="Arial"/>
                      <w:iCs/>
                      <w:sz w:val="20"/>
                      <w:szCs w:val="20"/>
                      <w:lang w:val="en-US"/>
                    </w:rPr>
                  </m:ctrlPr>
                </m:sSubPr>
                <m:e>
                  <m:r>
                    <m:rPr>
                      <m:sty m:val="p"/>
                    </m:rPr>
                    <w:rPr>
                      <w:rFonts w:ascii="Cambria Math" w:hAnsi="Cambria Math" w:cs="Arial"/>
                      <w:sz w:val="20"/>
                      <w:szCs w:val="20"/>
                      <w:lang w:val="en-US"/>
                    </w:rPr>
                    <m:t>M</m:t>
                  </m:r>
                </m:e>
                <m:sub>
                  <m:r>
                    <m:rPr>
                      <m:sty m:val="p"/>
                    </m:rPr>
                    <w:rPr>
                      <w:rFonts w:ascii="Cambria Math" w:hAnsi="Cambria Math" w:cs="Arial"/>
                      <w:sz w:val="20"/>
                      <w:szCs w:val="20"/>
                      <w:lang w:val="en-US"/>
                    </w:rPr>
                    <m:t>2</m:t>
                  </m:r>
                </m:sub>
              </m:sSub>
              <m:r>
                <m:rPr>
                  <m:sty m:val="p"/>
                </m:rPr>
                <w:rPr>
                  <w:rFonts w:ascii="Cambria Math" w:hAnsi="Cambria Math" w:cs="Arial"/>
                  <w:sz w:val="20"/>
                  <w:szCs w:val="20"/>
                  <w:lang w:val="en-US"/>
                </w:rPr>
                <m:t>)</m:t>
              </m:r>
            </m:den>
          </m:f>
          <m:r>
            <m:rPr>
              <m:sty m:val="p"/>
            </m:rPr>
            <w:rPr>
              <w:rFonts w:ascii="Cambria Math" w:hAnsi="Cambria Math" w:cs="Arial"/>
              <w:sz w:val="20"/>
              <w:szCs w:val="20"/>
              <w:lang w:val="en-US"/>
            </w:rPr>
            <m:t>*</m:t>
          </m:r>
          <m:r>
            <m:rPr>
              <m:sty m:val="p"/>
            </m:rPr>
            <w:rPr>
              <w:rFonts w:ascii="Cambria Math" w:hAnsi="Cambria Math" w:cs="Arial"/>
              <w:sz w:val="20"/>
              <w:szCs w:val="20"/>
              <w:lang w:val="en-US"/>
            </w:rPr>
            <m:t>100</m:t>
          </m:r>
        </m:oMath>
      </m:oMathPara>
    </w:p>
    <w:p w14:paraId="0638A40B" w14:textId="198AB0AB" w:rsidR="004F2892" w:rsidRPr="00380BA4" w:rsidRDefault="004F2892" w:rsidP="004F2892">
      <w:pPr>
        <w:spacing w:after="0" w:line="360" w:lineRule="auto"/>
        <w:jc w:val="both"/>
        <w:rPr>
          <w:rFonts w:ascii="Arial" w:eastAsiaTheme="minorEastAsia" w:hAnsi="Arial" w:cs="Arial"/>
          <w:sz w:val="20"/>
          <w:szCs w:val="20"/>
          <w:lang w:val="en-US"/>
        </w:rPr>
      </w:pPr>
      <w:r w:rsidRPr="00380BA4">
        <w:rPr>
          <w:rFonts w:ascii="Arial" w:eastAsiaTheme="minorEastAsia" w:hAnsi="Arial" w:cs="Arial"/>
          <w:sz w:val="20"/>
          <w:szCs w:val="20"/>
          <w:lang w:val="en-US"/>
        </w:rPr>
        <w:t>M</w:t>
      </w:r>
      <w:r w:rsidR="009422D6" w:rsidRPr="00380BA4">
        <w:rPr>
          <w:rFonts w:ascii="Arial" w:eastAsiaTheme="minorEastAsia" w:hAnsi="Arial" w:cs="Arial"/>
          <w:sz w:val="20"/>
          <w:szCs w:val="20"/>
          <w:vertAlign w:val="subscript"/>
          <w:lang w:val="en-US"/>
        </w:rPr>
        <w:t>1:</w:t>
      </w:r>
      <w:r w:rsidRPr="00380BA4">
        <w:rPr>
          <w:rFonts w:ascii="Arial" w:eastAsiaTheme="minorEastAsia" w:hAnsi="Arial" w:cs="Arial"/>
          <w:sz w:val="20"/>
          <w:szCs w:val="20"/>
          <w:lang w:val="en-US"/>
        </w:rPr>
        <w:t xml:space="preserve"> Weight of the filter paper sachet containing the powder before oil extraction</w:t>
      </w:r>
    </w:p>
    <w:p w14:paraId="36AB7DD0" w14:textId="1DFFBF95" w:rsidR="004F2892" w:rsidRPr="00380BA4" w:rsidRDefault="004F2892" w:rsidP="004F2892">
      <w:pPr>
        <w:spacing w:after="0" w:line="360" w:lineRule="auto"/>
        <w:jc w:val="both"/>
        <w:rPr>
          <w:rFonts w:ascii="Arial" w:eastAsiaTheme="minorEastAsia" w:hAnsi="Arial" w:cs="Arial"/>
          <w:sz w:val="20"/>
          <w:szCs w:val="20"/>
          <w:lang w:val="en-US"/>
        </w:rPr>
      </w:pPr>
      <w:r w:rsidRPr="00380BA4">
        <w:rPr>
          <w:rFonts w:ascii="Arial" w:eastAsiaTheme="minorEastAsia" w:hAnsi="Arial" w:cs="Arial"/>
          <w:sz w:val="20"/>
          <w:szCs w:val="20"/>
          <w:lang w:val="en-US"/>
        </w:rPr>
        <w:t>M: Weight of the filter paper sachet containing the powder after oil extraction</w:t>
      </w:r>
    </w:p>
    <w:p w14:paraId="094D0742" w14:textId="6AAAE1BB" w:rsidR="004F2892" w:rsidRPr="00380BA4" w:rsidRDefault="004F2892" w:rsidP="004F2892">
      <w:pPr>
        <w:spacing w:after="0" w:line="360" w:lineRule="auto"/>
        <w:jc w:val="both"/>
        <w:rPr>
          <w:rFonts w:ascii="Arial" w:hAnsi="Arial" w:cs="Arial"/>
          <w:sz w:val="18"/>
          <w:szCs w:val="18"/>
          <w:lang w:val="en-US"/>
        </w:rPr>
      </w:pPr>
      <w:r w:rsidRPr="00380BA4">
        <w:rPr>
          <w:rFonts w:ascii="Arial" w:eastAsiaTheme="minorEastAsia" w:hAnsi="Arial" w:cs="Arial"/>
          <w:sz w:val="20"/>
          <w:szCs w:val="20"/>
          <w:lang w:val="en-US"/>
        </w:rPr>
        <w:t>M</w:t>
      </w:r>
      <w:r w:rsidR="009422D6" w:rsidRPr="00380BA4">
        <w:rPr>
          <w:rFonts w:ascii="Arial" w:eastAsiaTheme="minorEastAsia" w:hAnsi="Arial" w:cs="Arial"/>
          <w:sz w:val="20"/>
          <w:szCs w:val="20"/>
          <w:vertAlign w:val="subscript"/>
          <w:lang w:val="en-US"/>
        </w:rPr>
        <w:t>2:</w:t>
      </w:r>
      <w:r w:rsidRPr="00380BA4">
        <w:rPr>
          <w:rFonts w:ascii="Arial" w:eastAsiaTheme="minorEastAsia" w:hAnsi="Arial" w:cs="Arial"/>
          <w:sz w:val="20"/>
          <w:szCs w:val="20"/>
          <w:lang w:val="en-US"/>
        </w:rPr>
        <w:t xml:space="preserve"> Weight of the empty filter paper sachet</w:t>
      </w:r>
    </w:p>
    <w:p w14:paraId="4893294F" w14:textId="18A7A556" w:rsidR="00617A5C" w:rsidRPr="00380BA4" w:rsidRDefault="003B6966" w:rsidP="003B6966">
      <w:pPr>
        <w:pStyle w:val="ListParagraph"/>
        <w:numPr>
          <w:ilvl w:val="2"/>
          <w:numId w:val="3"/>
        </w:numPr>
        <w:spacing w:before="240" w:line="360" w:lineRule="auto"/>
        <w:jc w:val="both"/>
        <w:rPr>
          <w:rFonts w:ascii="Arial" w:hAnsi="Arial" w:cs="Arial"/>
          <w:b/>
          <w:bCs/>
          <w:lang w:val="en-US"/>
        </w:rPr>
      </w:pPr>
      <w:r w:rsidRPr="00380BA4">
        <w:rPr>
          <w:rFonts w:ascii="Arial" w:hAnsi="Arial" w:cs="Arial"/>
          <w:b/>
          <w:bCs/>
          <w:lang w:val="en-US"/>
        </w:rPr>
        <w:t xml:space="preserve">Crude fibers </w:t>
      </w:r>
    </w:p>
    <w:p w14:paraId="7ECFE64B" w14:textId="2583CF0C" w:rsidR="00617A5C" w:rsidRPr="00380BA4" w:rsidRDefault="003B6966" w:rsidP="00583389">
      <w:pPr>
        <w:spacing w:before="240" w:line="360" w:lineRule="auto"/>
        <w:jc w:val="both"/>
        <w:rPr>
          <w:rFonts w:ascii="Arial" w:hAnsi="Arial" w:cs="Arial"/>
          <w:sz w:val="20"/>
          <w:szCs w:val="20"/>
          <w:lang w:val="en-US"/>
        </w:rPr>
      </w:pPr>
      <w:r w:rsidRPr="00380BA4">
        <w:rPr>
          <w:rFonts w:ascii="Arial" w:hAnsi="Arial" w:cs="Arial"/>
          <w:sz w:val="20"/>
          <w:szCs w:val="20"/>
          <w:lang w:val="en-US"/>
        </w:rPr>
        <w:t xml:space="preserve">The crude fiber content of the powders was determined using the </w:t>
      </w:r>
      <w:proofErr w:type="spellStart"/>
      <w:r w:rsidRPr="00380BA4">
        <w:rPr>
          <w:rFonts w:ascii="Arial" w:hAnsi="Arial" w:cs="Arial"/>
          <w:sz w:val="20"/>
          <w:szCs w:val="20"/>
          <w:lang w:val="en-US"/>
        </w:rPr>
        <w:t>Weende</w:t>
      </w:r>
      <w:proofErr w:type="spellEnd"/>
      <w:r w:rsidRPr="00380BA4">
        <w:rPr>
          <w:rFonts w:ascii="Arial" w:hAnsi="Arial" w:cs="Arial"/>
          <w:sz w:val="20"/>
          <w:szCs w:val="20"/>
          <w:lang w:val="en-US"/>
        </w:rPr>
        <w:t xml:space="preserve"> method</w:t>
      </w:r>
      <w:r w:rsidR="00044E0A">
        <w:rPr>
          <w:rFonts w:ascii="Arial" w:hAnsi="Arial" w:cs="Arial"/>
          <w:sz w:val="20"/>
          <w:szCs w:val="20"/>
          <w:lang w:val="en-US"/>
        </w:rPr>
        <w:t xml:space="preserve"> </w:t>
      </w:r>
      <w:r w:rsidR="00044E0A">
        <w:rPr>
          <w:rFonts w:ascii="Arial" w:hAnsi="Arial" w:cs="Arial"/>
          <w:sz w:val="20"/>
          <w:szCs w:val="20"/>
          <w:lang w:val="en-US"/>
        </w:rPr>
        <w:fldChar w:fldCharType="begin" w:fldLock="1"/>
      </w:r>
      <w:r w:rsidR="003400A2">
        <w:rPr>
          <w:rFonts w:ascii="Arial" w:hAnsi="Arial" w:cs="Arial"/>
          <w:sz w:val="20"/>
          <w:szCs w:val="20"/>
          <w:lang w:val="en-US"/>
        </w:rPr>
        <w:instrText>ADDIN CSL_CITATION {"citationItems":[{"id":"ITEM-1","itemData":{"author":[{"dropping-particle":"","family":"Wolff","given":"JP","non-dropping-particle":"","parse-names":false,"suffix":""}],"edition":"Azoulayéd","id":"ITEM-1","issued":{"date-parts":[["1968"]]},"publisher-place":"Paris","title":"Manuel d’analyse des corps gras","type":"book"},"uris":["http://www.mendeley.com/documents/?uuid=824112ad-9227-4f03-a3e1-7b8275e59921"]}],"mendeley":{"formattedCitation":"(Wolff, 1968)","plainTextFormattedCitation":"(Wolff, 1968)","previouslyFormattedCitation":"(Wolff, 1968)"},"properties":{"noteIndex":0},"schema":"https://github.com/citation-style-language/schema/raw/master/csl-citation.json"}</w:instrText>
      </w:r>
      <w:r w:rsidR="00044E0A">
        <w:rPr>
          <w:rFonts w:ascii="Arial" w:hAnsi="Arial" w:cs="Arial"/>
          <w:sz w:val="20"/>
          <w:szCs w:val="20"/>
          <w:lang w:val="en-US"/>
        </w:rPr>
        <w:fldChar w:fldCharType="separate"/>
      </w:r>
      <w:r w:rsidR="00044E0A" w:rsidRPr="00044E0A">
        <w:rPr>
          <w:rFonts w:ascii="Arial" w:hAnsi="Arial" w:cs="Arial"/>
          <w:noProof/>
          <w:sz w:val="20"/>
          <w:szCs w:val="20"/>
          <w:lang w:val="en-US"/>
        </w:rPr>
        <w:t>(Wolff, 1968)</w:t>
      </w:r>
      <w:r w:rsidR="00044E0A">
        <w:rPr>
          <w:rFonts w:ascii="Arial" w:hAnsi="Arial" w:cs="Arial"/>
          <w:sz w:val="20"/>
          <w:szCs w:val="20"/>
          <w:lang w:val="en-US"/>
        </w:rPr>
        <w:fldChar w:fldCharType="end"/>
      </w:r>
      <w:r w:rsidR="00044E0A">
        <w:rPr>
          <w:rFonts w:ascii="Arial" w:hAnsi="Arial" w:cs="Arial"/>
          <w:sz w:val="20"/>
          <w:szCs w:val="20"/>
          <w:lang w:val="en-US"/>
        </w:rPr>
        <w:t>.</w:t>
      </w:r>
      <w:r w:rsidRPr="00380BA4">
        <w:rPr>
          <w:rFonts w:ascii="Arial" w:hAnsi="Arial" w:cs="Arial"/>
          <w:color w:val="FF0000"/>
          <w:sz w:val="20"/>
          <w:szCs w:val="20"/>
          <w:lang w:val="en-US"/>
        </w:rPr>
        <w:t xml:space="preserve"> </w:t>
      </w:r>
      <w:r w:rsidRPr="00380BA4">
        <w:rPr>
          <w:rFonts w:ascii="Arial" w:hAnsi="Arial" w:cs="Arial"/>
          <w:sz w:val="20"/>
          <w:szCs w:val="20"/>
          <w:lang w:val="en-US"/>
        </w:rPr>
        <w:t>Approximately 20 g of powder (M) was introduced into a beaker containing 0.255 N sulfuric acid (H</w:t>
      </w:r>
      <w:r w:rsidRPr="003400A2">
        <w:rPr>
          <w:rFonts w:ascii="Arial" w:hAnsi="Arial" w:cs="Arial"/>
          <w:sz w:val="20"/>
          <w:szCs w:val="20"/>
          <w:vertAlign w:val="subscript"/>
          <w:lang w:val="en-US"/>
        </w:rPr>
        <w:t>2</w:t>
      </w:r>
      <w:r w:rsidRPr="00380BA4">
        <w:rPr>
          <w:rFonts w:ascii="Arial" w:hAnsi="Arial" w:cs="Arial"/>
          <w:sz w:val="20"/>
          <w:szCs w:val="20"/>
          <w:lang w:val="en-US"/>
        </w:rPr>
        <w:t>SO</w:t>
      </w:r>
      <w:r w:rsidRPr="003400A2">
        <w:rPr>
          <w:rFonts w:ascii="Arial" w:hAnsi="Arial" w:cs="Arial"/>
          <w:sz w:val="20"/>
          <w:szCs w:val="20"/>
          <w:vertAlign w:val="subscript"/>
          <w:lang w:val="en-US"/>
        </w:rPr>
        <w:t>4</w:t>
      </w:r>
      <w:r w:rsidRPr="00380BA4">
        <w:rPr>
          <w:rFonts w:ascii="Arial" w:hAnsi="Arial" w:cs="Arial"/>
          <w:sz w:val="20"/>
          <w:szCs w:val="20"/>
          <w:lang w:val="en-US"/>
        </w:rPr>
        <w:t>)</w:t>
      </w:r>
      <w:r w:rsidRPr="00380BA4">
        <w:rPr>
          <w:rFonts w:ascii="Arial" w:hAnsi="Arial" w:cs="Arial"/>
          <w:b/>
          <w:bCs/>
          <w:sz w:val="20"/>
          <w:szCs w:val="20"/>
          <w:lang w:val="en-US"/>
        </w:rPr>
        <w:t xml:space="preserve">. </w:t>
      </w:r>
      <w:r w:rsidRPr="00380BA4">
        <w:rPr>
          <w:rFonts w:ascii="Arial" w:hAnsi="Arial" w:cs="Arial"/>
          <w:sz w:val="20"/>
          <w:szCs w:val="20"/>
          <w:lang w:val="en-US"/>
        </w:rPr>
        <w:t>The mixture was brought to a boil for 30 min and then filtered. To the resulting residue, 0.313 N sodium hydroxide (NaOH) was added, and the entire mixture was boiled again for 30 min</w:t>
      </w:r>
      <w:r w:rsidRPr="00380BA4">
        <w:rPr>
          <w:rFonts w:ascii="Arial" w:hAnsi="Arial" w:cs="Arial"/>
          <w:b/>
          <w:bCs/>
          <w:sz w:val="20"/>
          <w:szCs w:val="20"/>
          <w:lang w:val="en-US"/>
        </w:rPr>
        <w:t xml:space="preserve">. </w:t>
      </w:r>
      <w:r w:rsidRPr="00380BA4">
        <w:rPr>
          <w:rFonts w:ascii="Arial" w:hAnsi="Arial" w:cs="Arial"/>
          <w:sz w:val="20"/>
          <w:szCs w:val="20"/>
          <w:lang w:val="en-US"/>
        </w:rPr>
        <w:t>After filtration, the residue was washed 3 times with hot distilled water and 2 times with acetone</w:t>
      </w:r>
      <w:r w:rsidRPr="00380BA4">
        <w:rPr>
          <w:rFonts w:ascii="Arial" w:hAnsi="Arial" w:cs="Arial"/>
          <w:b/>
          <w:bCs/>
          <w:sz w:val="20"/>
          <w:szCs w:val="20"/>
          <w:lang w:val="en-US"/>
        </w:rPr>
        <w:t xml:space="preserve">. </w:t>
      </w:r>
      <w:r w:rsidRPr="00380BA4">
        <w:rPr>
          <w:rFonts w:ascii="Arial" w:hAnsi="Arial" w:cs="Arial"/>
          <w:sz w:val="20"/>
          <w:szCs w:val="20"/>
          <w:lang w:val="en-US"/>
        </w:rPr>
        <w:t>The insoluble material obtained was dried at 105 ± 2 °C in an oven (</w:t>
      </w:r>
      <w:proofErr w:type="spellStart"/>
      <w:r w:rsidRPr="00380BA4">
        <w:rPr>
          <w:rFonts w:ascii="Arial" w:hAnsi="Arial" w:cs="Arial"/>
          <w:sz w:val="20"/>
          <w:szCs w:val="20"/>
          <w:lang w:val="en-US"/>
        </w:rPr>
        <w:t>Memmert</w:t>
      </w:r>
      <w:proofErr w:type="spellEnd"/>
      <w:r w:rsidRPr="00380BA4">
        <w:rPr>
          <w:rFonts w:ascii="Arial" w:hAnsi="Arial" w:cs="Arial"/>
          <w:sz w:val="20"/>
          <w:szCs w:val="20"/>
          <w:lang w:val="en-US"/>
        </w:rPr>
        <w:t xml:space="preserve">®, D 91,107 </w:t>
      </w:r>
      <w:proofErr w:type="spellStart"/>
      <w:r w:rsidRPr="00380BA4">
        <w:rPr>
          <w:rFonts w:ascii="Arial" w:hAnsi="Arial" w:cs="Arial"/>
          <w:sz w:val="20"/>
          <w:szCs w:val="20"/>
          <w:lang w:val="en-US"/>
        </w:rPr>
        <w:t>Schwabach</w:t>
      </w:r>
      <w:proofErr w:type="spellEnd"/>
      <w:r w:rsidRPr="00380BA4">
        <w:rPr>
          <w:rFonts w:ascii="Arial" w:hAnsi="Arial" w:cs="Arial"/>
          <w:sz w:val="20"/>
          <w:szCs w:val="20"/>
          <w:lang w:val="en-US"/>
        </w:rPr>
        <w:t>, Germany) for 8 h and weighed (M</w:t>
      </w:r>
      <w:r w:rsidRPr="00380BA4">
        <w:rPr>
          <w:rFonts w:ascii="Arial" w:hAnsi="Arial" w:cs="Arial"/>
          <w:sz w:val="20"/>
          <w:szCs w:val="20"/>
          <w:vertAlign w:val="subscript"/>
          <w:lang w:val="en-US"/>
        </w:rPr>
        <w:t>1</w:t>
      </w:r>
      <w:r w:rsidRPr="00380BA4">
        <w:rPr>
          <w:rFonts w:ascii="Arial" w:hAnsi="Arial" w:cs="Arial"/>
          <w:sz w:val="20"/>
          <w:szCs w:val="20"/>
          <w:lang w:val="en-US"/>
        </w:rPr>
        <w:t>). The resulting dry residue was incinerated at 550</w:t>
      </w:r>
      <w:r w:rsidR="006D53B3" w:rsidRPr="00380BA4">
        <w:rPr>
          <w:rFonts w:ascii="Arial" w:hAnsi="Arial" w:cs="Arial"/>
          <w:sz w:val="20"/>
          <w:szCs w:val="20"/>
          <w:lang w:val="en-US"/>
        </w:rPr>
        <w:t xml:space="preserve"> °</w:t>
      </w:r>
      <w:r w:rsidRPr="00380BA4">
        <w:rPr>
          <w:rFonts w:ascii="Arial" w:hAnsi="Arial" w:cs="Arial"/>
          <w:sz w:val="20"/>
          <w:szCs w:val="20"/>
          <w:lang w:val="en-US"/>
        </w:rPr>
        <w:t>C for 3 h in a muffle furnace, and the obtained ashes were weighed (M</w:t>
      </w:r>
      <w:r w:rsidRPr="00380BA4">
        <w:rPr>
          <w:rFonts w:ascii="Arial" w:hAnsi="Arial" w:cs="Arial"/>
          <w:sz w:val="20"/>
          <w:szCs w:val="20"/>
          <w:vertAlign w:val="subscript"/>
          <w:lang w:val="en-US"/>
        </w:rPr>
        <w:t>2</w:t>
      </w:r>
      <w:r w:rsidRPr="00380BA4">
        <w:rPr>
          <w:rFonts w:ascii="Arial" w:hAnsi="Arial" w:cs="Arial"/>
          <w:sz w:val="20"/>
          <w:szCs w:val="20"/>
          <w:lang w:val="en-US"/>
        </w:rPr>
        <w:t>). The Crude fiber content (C</w:t>
      </w:r>
      <w:r w:rsidRPr="00380BA4">
        <w:rPr>
          <w:rFonts w:ascii="Arial" w:hAnsi="Arial" w:cs="Arial"/>
          <w:sz w:val="20"/>
          <w:szCs w:val="20"/>
          <w:vertAlign w:val="subscript"/>
          <w:lang w:val="en-US"/>
        </w:rPr>
        <w:t>F</w:t>
      </w:r>
      <w:r w:rsidRPr="00380BA4">
        <w:rPr>
          <w:rFonts w:ascii="Arial" w:hAnsi="Arial" w:cs="Arial"/>
          <w:sz w:val="20"/>
          <w:szCs w:val="20"/>
          <w:lang w:val="en-US"/>
        </w:rPr>
        <w:t>), expressed in gram per 100 g of dry matter (g/100 g DM), was calculated using the following formula:</w:t>
      </w:r>
    </w:p>
    <w:p w14:paraId="5A2055DE" w14:textId="4BD5DF12" w:rsidR="003B6966" w:rsidRPr="00380BA4" w:rsidRDefault="00C30EAC" w:rsidP="00583389">
      <w:pPr>
        <w:spacing w:before="240" w:line="360" w:lineRule="auto"/>
        <w:jc w:val="both"/>
        <w:rPr>
          <w:rFonts w:ascii="Arial" w:hAnsi="Arial" w:cs="Arial"/>
          <w:lang w:val="en-US"/>
        </w:rPr>
      </w:pPr>
      <m:oMathPara>
        <m:oMath>
          <m:sSub>
            <m:sSubPr>
              <m:ctrlPr>
                <w:rPr>
                  <w:rFonts w:ascii="Cambria Math" w:hAnsi="Cambria Math" w:cs="Arial"/>
                  <w:iCs/>
                  <w:sz w:val="20"/>
                  <w:szCs w:val="20"/>
                  <w:lang w:val="en-US"/>
                </w:rPr>
              </m:ctrlPr>
            </m:sSubPr>
            <m:e>
              <m:r>
                <m:rPr>
                  <m:sty m:val="p"/>
                </m:rPr>
                <w:rPr>
                  <w:rFonts w:ascii="Cambria Math" w:hAnsi="Cambria Math" w:cs="Arial"/>
                  <w:sz w:val="20"/>
                  <w:szCs w:val="20"/>
                  <w:lang w:val="en-US"/>
                </w:rPr>
                <m:t>C</m:t>
              </m:r>
            </m:e>
            <m:sub>
              <m:r>
                <m:rPr>
                  <m:sty m:val="p"/>
                </m:rPr>
                <w:rPr>
                  <w:rFonts w:ascii="Cambria Math" w:hAnsi="Cambria Math" w:cs="Arial"/>
                  <w:sz w:val="20"/>
                  <w:szCs w:val="20"/>
                  <w:lang w:val="en-US"/>
                </w:rPr>
                <m:t>F</m:t>
              </m:r>
            </m:sub>
          </m:sSub>
          <m:r>
            <w:rPr>
              <w:rFonts w:ascii="Cambria Math" w:hAnsi="Cambria Math" w:cs="Arial"/>
              <w:sz w:val="20"/>
              <w:szCs w:val="20"/>
              <w:lang w:val="en-US"/>
            </w:rPr>
            <m:t>=</m:t>
          </m:r>
          <m:f>
            <m:fPr>
              <m:ctrlPr>
                <w:rPr>
                  <w:rFonts w:ascii="Cambria Math" w:hAnsi="Cambria Math" w:cs="Arial"/>
                  <w:iCs/>
                  <w:sz w:val="20"/>
                  <w:szCs w:val="20"/>
                  <w:lang w:val="en-US"/>
                </w:rPr>
              </m:ctrlPr>
            </m:fPr>
            <m:num>
              <m:r>
                <m:rPr>
                  <m:sty m:val="p"/>
                </m:rPr>
                <w:rPr>
                  <w:rFonts w:ascii="Cambria Math" w:hAnsi="Cambria Math" w:cs="Arial"/>
                  <w:sz w:val="20"/>
                  <w:szCs w:val="20"/>
                  <w:lang w:val="en-US"/>
                </w:rPr>
                <m:t>(</m:t>
              </m:r>
              <m:sSub>
                <m:sSubPr>
                  <m:ctrlPr>
                    <w:rPr>
                      <w:rFonts w:ascii="Cambria Math" w:hAnsi="Cambria Math" w:cs="Arial"/>
                      <w:iCs/>
                      <w:sz w:val="20"/>
                      <w:szCs w:val="20"/>
                      <w:lang w:val="en-US"/>
                    </w:rPr>
                  </m:ctrlPr>
                </m:sSubPr>
                <m:e>
                  <m:r>
                    <m:rPr>
                      <m:sty m:val="p"/>
                    </m:rPr>
                    <w:rPr>
                      <w:rFonts w:ascii="Cambria Math" w:hAnsi="Cambria Math" w:cs="Arial"/>
                      <w:sz w:val="20"/>
                      <w:szCs w:val="20"/>
                      <w:lang w:val="en-US"/>
                    </w:rPr>
                    <m:t>M</m:t>
                  </m:r>
                </m:e>
                <m:sub>
                  <m:r>
                    <m:rPr>
                      <m:sty m:val="p"/>
                    </m:rPr>
                    <w:rPr>
                      <w:rFonts w:ascii="Cambria Math" w:hAnsi="Cambria Math" w:cs="Arial"/>
                      <w:sz w:val="20"/>
                      <w:szCs w:val="20"/>
                      <w:lang w:val="en-US"/>
                    </w:rPr>
                    <m:t>1</m:t>
                  </m:r>
                </m:sub>
              </m:sSub>
              <m:r>
                <m:rPr>
                  <m:sty m:val="p"/>
                </m:rPr>
                <w:rPr>
                  <w:rFonts w:ascii="Cambria Math" w:hAnsi="Cambria Math" w:cs="Arial"/>
                  <w:sz w:val="20"/>
                  <w:szCs w:val="20"/>
                  <w:lang w:val="en-US"/>
                </w:rPr>
                <m:t>-</m:t>
              </m:r>
              <m:sSub>
                <m:sSubPr>
                  <m:ctrlPr>
                    <w:rPr>
                      <w:rFonts w:ascii="Cambria Math" w:hAnsi="Cambria Math" w:cs="Arial"/>
                      <w:iCs/>
                      <w:sz w:val="20"/>
                      <w:szCs w:val="20"/>
                      <w:lang w:val="en-US"/>
                    </w:rPr>
                  </m:ctrlPr>
                </m:sSubPr>
                <m:e>
                  <m:r>
                    <m:rPr>
                      <m:sty m:val="p"/>
                    </m:rPr>
                    <w:rPr>
                      <w:rFonts w:ascii="Cambria Math" w:hAnsi="Cambria Math" w:cs="Arial"/>
                      <w:sz w:val="20"/>
                      <w:szCs w:val="20"/>
                      <w:lang w:val="en-US"/>
                    </w:rPr>
                    <m:t>M</m:t>
                  </m:r>
                </m:e>
                <m:sub>
                  <m:r>
                    <m:rPr>
                      <m:sty m:val="p"/>
                    </m:rPr>
                    <w:rPr>
                      <w:rFonts w:ascii="Cambria Math" w:hAnsi="Cambria Math" w:cs="Arial"/>
                      <w:sz w:val="20"/>
                      <w:szCs w:val="20"/>
                      <w:lang w:val="en-US"/>
                    </w:rPr>
                    <m:t>2</m:t>
                  </m:r>
                </m:sub>
              </m:sSub>
              <m:r>
                <m:rPr>
                  <m:sty m:val="p"/>
                </m:rPr>
                <w:rPr>
                  <w:rFonts w:ascii="Cambria Math" w:hAnsi="Cambria Math" w:cs="Arial"/>
                  <w:sz w:val="20"/>
                  <w:szCs w:val="20"/>
                  <w:lang w:val="en-US"/>
                </w:rPr>
                <m:t>)</m:t>
              </m:r>
            </m:num>
            <m:den>
              <m:r>
                <m:rPr>
                  <m:sty m:val="p"/>
                </m:rPr>
                <w:rPr>
                  <w:rFonts w:ascii="Cambria Math" w:hAnsi="Cambria Math" w:cs="Arial"/>
                  <w:sz w:val="20"/>
                  <w:szCs w:val="20"/>
                  <w:lang w:val="en-US"/>
                </w:rPr>
                <m:t>[M*</m:t>
              </m:r>
              <m:d>
                <m:dPr>
                  <m:ctrlPr>
                    <w:rPr>
                      <w:rFonts w:ascii="Cambria Math" w:hAnsi="Cambria Math" w:cs="Arial"/>
                      <w:iCs/>
                      <w:sz w:val="20"/>
                      <w:szCs w:val="20"/>
                      <w:lang w:val="en-US"/>
                    </w:rPr>
                  </m:ctrlPr>
                </m:dPr>
                <m:e>
                  <m:r>
                    <m:rPr>
                      <m:sty m:val="p"/>
                    </m:rPr>
                    <w:rPr>
                      <w:rFonts w:ascii="Cambria Math" w:hAnsi="Cambria Math" w:cs="Arial"/>
                      <w:sz w:val="20"/>
                      <w:szCs w:val="20"/>
                      <w:lang w:val="en-US"/>
                    </w:rPr>
                    <m:t>100-</m:t>
                  </m:r>
                  <m:sSub>
                    <m:sSubPr>
                      <m:ctrlPr>
                        <w:rPr>
                          <w:rFonts w:ascii="Cambria Math" w:hAnsi="Cambria Math" w:cs="Arial"/>
                          <w:iCs/>
                          <w:sz w:val="20"/>
                          <w:szCs w:val="20"/>
                          <w:lang w:val="en-US"/>
                        </w:rPr>
                      </m:ctrlPr>
                    </m:sSubPr>
                    <m:e>
                      <m:r>
                        <m:rPr>
                          <m:sty m:val="p"/>
                        </m:rPr>
                        <w:rPr>
                          <w:rFonts w:ascii="Cambria Math" w:hAnsi="Cambria Math" w:cs="Arial"/>
                          <w:sz w:val="20"/>
                          <w:szCs w:val="20"/>
                          <w:lang w:val="en-US"/>
                        </w:rPr>
                        <m:t>M</m:t>
                      </m:r>
                    </m:e>
                    <m:sub>
                      <m:r>
                        <m:rPr>
                          <m:sty m:val="p"/>
                        </m:rPr>
                        <w:rPr>
                          <w:rFonts w:ascii="Cambria Math" w:hAnsi="Cambria Math" w:cs="Arial"/>
                          <w:sz w:val="20"/>
                          <w:szCs w:val="20"/>
                          <w:lang w:val="en-US"/>
                        </w:rPr>
                        <m:t>c</m:t>
                      </m:r>
                    </m:sub>
                  </m:sSub>
                </m:e>
              </m:d>
              <m:r>
                <m:rPr>
                  <m:sty m:val="p"/>
                </m:rPr>
                <w:rPr>
                  <w:rFonts w:ascii="Cambria Math" w:hAnsi="Cambria Math" w:cs="Arial"/>
                  <w:sz w:val="20"/>
                  <w:szCs w:val="20"/>
                  <w:lang w:val="en-US"/>
                </w:rPr>
                <m:t>]</m:t>
              </m:r>
            </m:den>
          </m:f>
          <m:r>
            <m:rPr>
              <m:sty m:val="p"/>
            </m:rPr>
            <w:rPr>
              <w:rFonts w:ascii="Cambria Math" w:hAnsi="Cambria Math" w:cs="Arial"/>
              <w:sz w:val="20"/>
              <w:szCs w:val="20"/>
              <w:lang w:val="en-US"/>
            </w:rPr>
            <m:t>*</m:t>
          </m:r>
          <m:r>
            <w:rPr>
              <w:rFonts w:ascii="Cambria Math" w:hAnsi="Cambria Math" w:cs="Arial"/>
              <w:sz w:val="20"/>
              <w:szCs w:val="20"/>
              <w:lang w:val="en-US"/>
            </w:rPr>
            <m:t>100</m:t>
          </m:r>
        </m:oMath>
      </m:oMathPara>
    </w:p>
    <w:p w14:paraId="5F899AD0" w14:textId="3EA97C7D" w:rsidR="003B6966" w:rsidRPr="00380BA4" w:rsidRDefault="006D53B3" w:rsidP="00583389">
      <w:pPr>
        <w:spacing w:before="240" w:line="360" w:lineRule="auto"/>
        <w:jc w:val="both"/>
        <w:rPr>
          <w:rFonts w:ascii="Arial" w:hAnsi="Arial" w:cs="Arial"/>
          <w:sz w:val="20"/>
          <w:szCs w:val="20"/>
          <w:lang w:val="en-US"/>
        </w:rPr>
      </w:pPr>
      <w:r w:rsidRPr="00380BA4">
        <w:rPr>
          <w:rFonts w:ascii="Arial" w:hAnsi="Arial" w:cs="Arial"/>
          <w:sz w:val="20"/>
          <w:szCs w:val="20"/>
          <w:lang w:val="en-US"/>
        </w:rPr>
        <w:t>M</w:t>
      </w:r>
      <w:r w:rsidRPr="00380BA4">
        <w:rPr>
          <w:rFonts w:ascii="Arial" w:hAnsi="Arial" w:cs="Arial"/>
          <w:sz w:val="20"/>
          <w:szCs w:val="20"/>
          <w:vertAlign w:val="subscript"/>
          <w:lang w:val="en-US"/>
        </w:rPr>
        <w:t>c</w:t>
      </w:r>
      <w:r w:rsidRPr="00380BA4">
        <w:rPr>
          <w:rFonts w:ascii="Arial" w:hAnsi="Arial" w:cs="Arial"/>
          <w:sz w:val="20"/>
          <w:szCs w:val="20"/>
          <w:lang w:val="en-US"/>
        </w:rPr>
        <w:t>= Moisture content</w:t>
      </w:r>
    </w:p>
    <w:p w14:paraId="49B89006" w14:textId="5353484A" w:rsidR="006D53B3" w:rsidRPr="00380BA4" w:rsidRDefault="006D53B3" w:rsidP="006D53B3">
      <w:pPr>
        <w:pStyle w:val="ListParagraph"/>
        <w:numPr>
          <w:ilvl w:val="1"/>
          <w:numId w:val="3"/>
        </w:numPr>
        <w:spacing w:before="240" w:line="360" w:lineRule="auto"/>
        <w:jc w:val="both"/>
        <w:rPr>
          <w:rFonts w:ascii="Arial" w:hAnsi="Arial" w:cs="Arial"/>
          <w:b/>
          <w:bCs/>
          <w:lang w:val="en-US"/>
        </w:rPr>
      </w:pPr>
      <w:r w:rsidRPr="00380BA4">
        <w:rPr>
          <w:rFonts w:ascii="Arial" w:hAnsi="Arial" w:cs="Arial"/>
          <w:b/>
          <w:bCs/>
          <w:lang w:val="en-US"/>
        </w:rPr>
        <w:t>Determination of mineral content</w:t>
      </w:r>
      <w:r w:rsidR="004F2892" w:rsidRPr="00380BA4">
        <w:rPr>
          <w:rFonts w:ascii="Arial" w:hAnsi="Arial" w:cs="Arial"/>
          <w:b/>
          <w:bCs/>
          <w:lang w:val="en-US"/>
        </w:rPr>
        <w:t>s</w:t>
      </w:r>
    </w:p>
    <w:p w14:paraId="732F9356" w14:textId="6548B51B" w:rsidR="004F2892" w:rsidRPr="00380BA4" w:rsidRDefault="006D53B3" w:rsidP="004F2892">
      <w:pPr>
        <w:spacing w:after="0" w:line="360" w:lineRule="auto"/>
        <w:jc w:val="both"/>
        <w:rPr>
          <w:rFonts w:ascii="Arial" w:eastAsia="Times New Roman" w:hAnsi="Arial" w:cs="Arial"/>
          <w:b/>
          <w:bCs/>
          <w:color w:val="000000"/>
          <w:kern w:val="0"/>
          <w:sz w:val="20"/>
          <w:szCs w:val="20"/>
          <w:lang w:val="en-US" w:eastAsia="fr-FR"/>
          <w14:ligatures w14:val="none"/>
        </w:rPr>
      </w:pPr>
      <w:r w:rsidRPr="00380BA4">
        <w:rPr>
          <w:rFonts w:ascii="Arial" w:eastAsia="Times New Roman" w:hAnsi="Arial" w:cs="Arial"/>
          <w:color w:val="000000"/>
          <w:kern w:val="0"/>
          <w:sz w:val="20"/>
          <w:szCs w:val="20"/>
          <w:lang w:val="en-US" w:eastAsia="fr-FR"/>
          <w14:ligatures w14:val="none"/>
        </w:rPr>
        <w:t xml:space="preserve">The mineral extraction process for calcium (Ca), potassium (K), sodium (Na), copper (Cu), zinc (Zn), and iron (Fe) involves the following steps: Approximately 3 g of the powdered sample are subjected to dry </w:t>
      </w:r>
      <w:proofErr w:type="spellStart"/>
      <w:r w:rsidRPr="00380BA4">
        <w:rPr>
          <w:rFonts w:ascii="Arial" w:eastAsia="Times New Roman" w:hAnsi="Arial" w:cs="Arial"/>
          <w:color w:val="000000"/>
          <w:kern w:val="0"/>
          <w:sz w:val="20"/>
          <w:szCs w:val="20"/>
          <w:lang w:val="en-US" w:eastAsia="fr-FR"/>
          <w14:ligatures w14:val="none"/>
        </w:rPr>
        <w:t>ashing</w:t>
      </w:r>
      <w:proofErr w:type="spellEnd"/>
      <w:r w:rsidRPr="00380BA4">
        <w:rPr>
          <w:rFonts w:ascii="Arial" w:eastAsia="Times New Roman" w:hAnsi="Arial" w:cs="Arial"/>
          <w:color w:val="000000"/>
          <w:kern w:val="0"/>
          <w:sz w:val="20"/>
          <w:szCs w:val="20"/>
          <w:lang w:val="en-US" w:eastAsia="fr-FR"/>
          <w14:ligatures w14:val="none"/>
        </w:rPr>
        <w:t xml:space="preserve"> in a muffle furnace at a temperature of 500 </w:t>
      </w:r>
      <w:r w:rsidR="001356B3" w:rsidRPr="00380BA4">
        <w:rPr>
          <w:rFonts w:ascii="Arial" w:eastAsia="Times New Roman" w:hAnsi="Arial" w:cs="Arial"/>
          <w:color w:val="000000"/>
          <w:kern w:val="0"/>
          <w:sz w:val="20"/>
          <w:szCs w:val="20"/>
          <w:lang w:val="en-US" w:eastAsia="fr-FR"/>
          <w14:ligatures w14:val="none"/>
        </w:rPr>
        <w:t>°</w:t>
      </w:r>
      <w:r w:rsidRPr="00380BA4">
        <w:rPr>
          <w:rFonts w:ascii="Arial" w:eastAsia="Times New Roman" w:hAnsi="Arial" w:cs="Arial"/>
          <w:color w:val="000000"/>
          <w:kern w:val="0"/>
          <w:sz w:val="20"/>
          <w:szCs w:val="20"/>
          <w:lang w:val="en-US" w:eastAsia="fr-FR"/>
          <w14:ligatures w14:val="none"/>
        </w:rPr>
        <w:t xml:space="preserve">C for a duration of </w:t>
      </w:r>
      <w:r w:rsidRPr="00380BA4">
        <w:rPr>
          <w:rFonts w:ascii="Arial" w:eastAsia="Times New Roman" w:hAnsi="Arial" w:cs="Arial"/>
          <w:b/>
          <w:bCs/>
          <w:color w:val="000000"/>
          <w:kern w:val="0"/>
          <w:sz w:val="20"/>
          <w:szCs w:val="20"/>
          <w:lang w:val="en-US" w:eastAsia="fr-FR"/>
          <w14:ligatures w14:val="none"/>
        </w:rPr>
        <w:t>6 h</w:t>
      </w:r>
      <w:r w:rsidRPr="00380BA4">
        <w:rPr>
          <w:rFonts w:ascii="Arial" w:eastAsia="Times New Roman" w:hAnsi="Arial" w:cs="Arial"/>
          <w:color w:val="000000"/>
          <w:kern w:val="0"/>
          <w:sz w:val="20"/>
          <w:szCs w:val="20"/>
          <w:lang w:val="en-US" w:eastAsia="fr-FR"/>
          <w14:ligatures w14:val="none"/>
        </w:rPr>
        <w:t>. This process ensures com</w:t>
      </w:r>
      <w:r w:rsidRPr="00380BA4">
        <w:rPr>
          <w:rFonts w:ascii="Arial" w:eastAsia="Times New Roman" w:hAnsi="Arial" w:cs="Arial"/>
          <w:color w:val="000000"/>
          <w:kern w:val="0"/>
          <w:sz w:val="20"/>
          <w:szCs w:val="20"/>
          <w:lang w:val="en-US" w:eastAsia="fr-FR"/>
          <w14:ligatures w14:val="none"/>
        </w:rPr>
        <w:softHyphen/>
        <w:t>plete combustion, leaving behind the mineral ash. The resulting ash is then diluted using a mixture of dilute hydrochloric acid (HCl) and nitric acid (HNO</w:t>
      </w:r>
      <w:r w:rsidRPr="00380BA4">
        <w:rPr>
          <w:rFonts w:ascii="Arial" w:eastAsia="Times New Roman" w:hAnsi="Arial" w:cs="Arial"/>
          <w:color w:val="000000"/>
          <w:kern w:val="0"/>
          <w:sz w:val="20"/>
          <w:szCs w:val="20"/>
          <w:vertAlign w:val="subscript"/>
          <w:lang w:val="en-US" w:eastAsia="fr-FR"/>
          <w14:ligatures w14:val="none"/>
        </w:rPr>
        <w:t>3</w:t>
      </w:r>
      <w:r w:rsidRPr="00380BA4">
        <w:rPr>
          <w:rFonts w:ascii="Arial" w:eastAsia="Times New Roman" w:hAnsi="Arial" w:cs="Arial"/>
          <w:color w:val="000000"/>
          <w:kern w:val="0"/>
          <w:sz w:val="20"/>
          <w:szCs w:val="20"/>
          <w:lang w:val="en-US" w:eastAsia="fr-FR"/>
          <w14:ligatures w14:val="none"/>
        </w:rPr>
        <w:t>)</w:t>
      </w:r>
      <w:r w:rsidRPr="00380BA4">
        <w:rPr>
          <w:rFonts w:ascii="Arial" w:eastAsia="Times New Roman" w:hAnsi="Arial" w:cs="Arial"/>
          <w:b/>
          <w:bCs/>
          <w:color w:val="000000"/>
          <w:kern w:val="0"/>
          <w:sz w:val="20"/>
          <w:szCs w:val="20"/>
          <w:lang w:val="en-US" w:eastAsia="fr-FR"/>
          <w14:ligatures w14:val="none"/>
        </w:rPr>
        <w:t xml:space="preserve">. </w:t>
      </w:r>
      <w:r w:rsidRPr="00380BA4">
        <w:rPr>
          <w:rFonts w:ascii="Arial" w:eastAsia="Times New Roman" w:hAnsi="Arial" w:cs="Arial"/>
          <w:color w:val="000000"/>
          <w:kern w:val="0"/>
          <w:sz w:val="20"/>
          <w:szCs w:val="20"/>
          <w:lang w:val="en-US" w:eastAsia="fr-FR"/>
          <w14:ligatures w14:val="none"/>
        </w:rPr>
        <w:t>This step prepares the sample for subsequent analysis. The analysis is performed using atomic absorption spectroscopy</w:t>
      </w:r>
      <w:r w:rsidR="003400A2">
        <w:rPr>
          <w:rFonts w:ascii="Arial" w:eastAsia="Times New Roman" w:hAnsi="Arial" w:cs="Arial"/>
          <w:color w:val="000000"/>
          <w:kern w:val="0"/>
          <w:sz w:val="20"/>
          <w:szCs w:val="20"/>
          <w:lang w:val="en-US" w:eastAsia="fr-FR"/>
          <w14:ligatures w14:val="none"/>
        </w:rPr>
        <w:t xml:space="preserve"> </w:t>
      </w:r>
      <w:r w:rsidR="003400A2">
        <w:rPr>
          <w:rFonts w:ascii="Arial" w:eastAsia="Times New Roman" w:hAnsi="Arial" w:cs="Arial"/>
          <w:color w:val="000000"/>
          <w:kern w:val="0"/>
          <w:sz w:val="20"/>
          <w:szCs w:val="20"/>
          <w:lang w:val="en-US" w:eastAsia="fr-FR"/>
          <w14:ligatures w14:val="none"/>
        </w:rPr>
        <w:fldChar w:fldCharType="begin" w:fldLock="1"/>
      </w:r>
      <w:r w:rsidR="003400A2">
        <w:rPr>
          <w:rFonts w:ascii="Arial" w:eastAsia="Times New Roman" w:hAnsi="Arial" w:cs="Arial"/>
          <w:color w:val="000000"/>
          <w:kern w:val="0"/>
          <w:sz w:val="20"/>
          <w:szCs w:val="20"/>
          <w:lang w:val="en-US" w:eastAsia="fr-FR"/>
          <w14:ligatures w14:val="none"/>
        </w:rPr>
        <w:instrText>ADDIN CSL_CITATION {"citationItems":[{"id":"ITEM-1","itemData":{"author":[{"dropping-particle":"","family":"Jones","given":"B J","non-dropping-particle":"","parse-names":false,"suffix":""},{"dropping-particle":"","family":"Venon","given":"C W","non-dropping-particle":"","parse-names":false,"suffix":""}],"edition":"3rd editio","id":"ITEM-1","issued":{"date-parts":[["1990"]]},"publisher":"Soil Science Society of America Book Series 3","title":"Sampling, handling and analyzing plant tissue samples. In: Westerman RL (Ed) Soil Testing and Plant Analysis,","type":"book"},"uris":["http://www.mendeley.com/documents/?uuid=22a17cbc-c409-42de-b131-ee07e3d6fe27"]}],"mendeley":{"formattedCitation":"(Jones &amp; Venon, 1990)","plainTextFormattedCitation":"(Jones &amp; Venon, 1990)","previouslyFormattedCitation":"(Jones &amp; Venon, 1990)"},"properties":{"noteIndex":0},"schema":"https://github.com/citation-style-language/schema/raw/master/csl-citation.json"}</w:instrText>
      </w:r>
      <w:r w:rsidR="003400A2">
        <w:rPr>
          <w:rFonts w:ascii="Arial" w:eastAsia="Times New Roman" w:hAnsi="Arial" w:cs="Arial"/>
          <w:color w:val="000000"/>
          <w:kern w:val="0"/>
          <w:sz w:val="20"/>
          <w:szCs w:val="20"/>
          <w:lang w:val="en-US" w:eastAsia="fr-FR"/>
          <w14:ligatures w14:val="none"/>
        </w:rPr>
        <w:fldChar w:fldCharType="separate"/>
      </w:r>
      <w:r w:rsidR="003400A2" w:rsidRPr="003400A2">
        <w:rPr>
          <w:rFonts w:ascii="Arial" w:eastAsia="Times New Roman" w:hAnsi="Arial" w:cs="Arial"/>
          <w:noProof/>
          <w:color w:val="000000"/>
          <w:kern w:val="0"/>
          <w:sz w:val="20"/>
          <w:szCs w:val="20"/>
          <w:lang w:val="en-US" w:eastAsia="fr-FR"/>
          <w14:ligatures w14:val="none"/>
        </w:rPr>
        <w:t>(Jones &amp; Venon, 1990)</w:t>
      </w:r>
      <w:r w:rsidR="003400A2">
        <w:rPr>
          <w:rFonts w:ascii="Arial" w:eastAsia="Times New Roman" w:hAnsi="Arial" w:cs="Arial"/>
          <w:color w:val="000000"/>
          <w:kern w:val="0"/>
          <w:sz w:val="20"/>
          <w:szCs w:val="20"/>
          <w:lang w:val="en-US" w:eastAsia="fr-FR"/>
          <w14:ligatures w14:val="none"/>
        </w:rPr>
        <w:fldChar w:fldCharType="end"/>
      </w:r>
      <w:r w:rsidR="003400A2">
        <w:rPr>
          <w:rFonts w:ascii="Arial" w:eastAsia="Times New Roman" w:hAnsi="Arial" w:cs="Arial"/>
          <w:color w:val="000000"/>
          <w:kern w:val="0"/>
          <w:sz w:val="20"/>
          <w:szCs w:val="20"/>
          <w:lang w:val="en-US" w:eastAsia="fr-FR"/>
          <w14:ligatures w14:val="none"/>
        </w:rPr>
        <w:t>.</w:t>
      </w:r>
      <w:r w:rsidRPr="00380BA4">
        <w:rPr>
          <w:rFonts w:ascii="Arial" w:eastAsia="Times New Roman" w:hAnsi="Arial" w:cs="Arial"/>
          <w:color w:val="FF0000"/>
          <w:kern w:val="0"/>
          <w:sz w:val="20"/>
          <w:szCs w:val="20"/>
          <w:lang w:val="en-US" w:eastAsia="fr-FR"/>
          <w14:ligatures w14:val="none"/>
        </w:rPr>
        <w:t xml:space="preserve"> </w:t>
      </w:r>
      <w:r w:rsidRPr="00380BA4">
        <w:rPr>
          <w:rFonts w:ascii="Arial" w:eastAsia="Times New Roman" w:hAnsi="Arial" w:cs="Arial"/>
          <w:color w:val="000000"/>
          <w:kern w:val="0"/>
          <w:sz w:val="20"/>
          <w:szCs w:val="20"/>
          <w:lang w:val="en-US" w:eastAsia="fr-FR"/>
          <w14:ligatures w14:val="none"/>
        </w:rPr>
        <w:t xml:space="preserve">Specifically, an atomic absorption spectrophotometer (Model GBC, Sens AA, Dual, manufactured in the USA) is employed. This technique allows for the quantification of each mineral present in the sample. Phosphorus (P) is also extracted using the same dry </w:t>
      </w:r>
      <w:proofErr w:type="spellStart"/>
      <w:r w:rsidRPr="00380BA4">
        <w:rPr>
          <w:rFonts w:ascii="Arial" w:eastAsia="Times New Roman" w:hAnsi="Arial" w:cs="Arial"/>
          <w:color w:val="000000"/>
          <w:kern w:val="0"/>
          <w:sz w:val="20"/>
          <w:szCs w:val="20"/>
          <w:lang w:val="en-US" w:eastAsia="fr-FR"/>
          <w14:ligatures w14:val="none"/>
        </w:rPr>
        <w:t>ashing</w:t>
      </w:r>
      <w:proofErr w:type="spellEnd"/>
      <w:r w:rsidRPr="00380BA4">
        <w:rPr>
          <w:rFonts w:ascii="Arial" w:eastAsia="Times New Roman" w:hAnsi="Arial" w:cs="Arial"/>
          <w:color w:val="000000"/>
          <w:kern w:val="0"/>
          <w:sz w:val="20"/>
          <w:szCs w:val="20"/>
          <w:lang w:val="en-US" w:eastAsia="fr-FR"/>
          <w14:ligatures w14:val="none"/>
        </w:rPr>
        <w:t xml:space="preserve"> method. Subsequently, it is analyzed using the Murphy Riley reagent</w:t>
      </w:r>
      <w:r w:rsidR="003400A2">
        <w:rPr>
          <w:rFonts w:ascii="Arial" w:eastAsia="Times New Roman" w:hAnsi="Arial" w:cs="Arial"/>
          <w:color w:val="000000"/>
          <w:kern w:val="0"/>
          <w:sz w:val="20"/>
          <w:szCs w:val="20"/>
          <w:lang w:val="en-US" w:eastAsia="fr-FR"/>
          <w14:ligatures w14:val="none"/>
        </w:rPr>
        <w:t xml:space="preserve"> </w:t>
      </w:r>
      <w:r w:rsidR="003400A2">
        <w:rPr>
          <w:rFonts w:ascii="Arial" w:eastAsia="Times New Roman" w:hAnsi="Arial" w:cs="Arial"/>
          <w:color w:val="000000"/>
          <w:kern w:val="0"/>
          <w:sz w:val="20"/>
          <w:szCs w:val="20"/>
          <w:lang w:val="en-US" w:eastAsia="fr-FR"/>
          <w14:ligatures w14:val="none"/>
        </w:rPr>
        <w:fldChar w:fldCharType="begin" w:fldLock="1"/>
      </w:r>
      <w:r w:rsidR="003400A2">
        <w:rPr>
          <w:rFonts w:ascii="Arial" w:eastAsia="Times New Roman" w:hAnsi="Arial" w:cs="Arial"/>
          <w:color w:val="000000"/>
          <w:kern w:val="0"/>
          <w:sz w:val="20"/>
          <w:szCs w:val="20"/>
          <w:lang w:val="en-US" w:eastAsia="fr-FR"/>
          <w14:ligatures w14:val="none"/>
        </w:rPr>
        <w:instrText>ADDIN CSL_CITATION {"citationItems":[{"id":"ITEM-1","itemData":{"DOI":"10.1016/S0003-2670(00)88444-5.","author":[{"dropping-particle":"","family":"Murphy","given":"J.","non-dropping-particle":"","parse-names":false,"suffix":""},{"dropping-particle":"","family":"Riley","given":"J.P.","non-dropping-particle":"","parse-names":false,"suffix":""}],"container-title":"Analytica Chimica Acta","id":"ITEM-1","issued":{"date-parts":[["1962"]]},"page":"31-36","title":"A modified single solution method for determination of phosphate in natural waters","type":"article-journal","volume":"27"},"uris":["http://www.mendeley.com/documents/?uuid=51143001-140b-406e-a449-28fdb8b90fa2"]}],"mendeley":{"formattedCitation":"(Murphy &amp; Riley, 1962)","plainTextFormattedCitation":"(Murphy &amp; Riley, 1962)","previouslyFormattedCitation":"(Murphy &amp; Riley, 1962)"},"properties":{"noteIndex":0},"schema":"https://github.com/citation-style-language/schema/raw/master/csl-citation.json"}</w:instrText>
      </w:r>
      <w:r w:rsidR="003400A2">
        <w:rPr>
          <w:rFonts w:ascii="Arial" w:eastAsia="Times New Roman" w:hAnsi="Arial" w:cs="Arial"/>
          <w:color w:val="000000"/>
          <w:kern w:val="0"/>
          <w:sz w:val="20"/>
          <w:szCs w:val="20"/>
          <w:lang w:val="en-US" w:eastAsia="fr-FR"/>
          <w14:ligatures w14:val="none"/>
        </w:rPr>
        <w:fldChar w:fldCharType="separate"/>
      </w:r>
      <w:r w:rsidR="003400A2" w:rsidRPr="003400A2">
        <w:rPr>
          <w:rFonts w:ascii="Arial" w:eastAsia="Times New Roman" w:hAnsi="Arial" w:cs="Arial"/>
          <w:noProof/>
          <w:color w:val="000000"/>
          <w:kern w:val="0"/>
          <w:sz w:val="20"/>
          <w:szCs w:val="20"/>
          <w:lang w:val="en-US" w:eastAsia="fr-FR"/>
          <w14:ligatures w14:val="none"/>
        </w:rPr>
        <w:t>(Murphy &amp; Riley, 1962)</w:t>
      </w:r>
      <w:r w:rsidR="003400A2">
        <w:rPr>
          <w:rFonts w:ascii="Arial" w:eastAsia="Times New Roman" w:hAnsi="Arial" w:cs="Arial"/>
          <w:color w:val="000000"/>
          <w:kern w:val="0"/>
          <w:sz w:val="20"/>
          <w:szCs w:val="20"/>
          <w:lang w:val="en-US" w:eastAsia="fr-FR"/>
          <w14:ligatures w14:val="none"/>
        </w:rPr>
        <w:fldChar w:fldCharType="end"/>
      </w:r>
      <w:r w:rsidRPr="00380BA4">
        <w:rPr>
          <w:rFonts w:ascii="Arial" w:eastAsia="Times New Roman" w:hAnsi="Arial" w:cs="Arial"/>
          <w:color w:val="FF0000"/>
          <w:kern w:val="0"/>
          <w:sz w:val="20"/>
          <w:szCs w:val="20"/>
          <w:lang w:val="en-US" w:eastAsia="fr-FR"/>
          <w14:ligatures w14:val="none"/>
        </w:rPr>
        <w:t xml:space="preserve"> </w:t>
      </w:r>
      <w:r w:rsidRPr="00380BA4">
        <w:rPr>
          <w:rFonts w:ascii="Arial" w:eastAsia="Times New Roman" w:hAnsi="Arial" w:cs="Arial"/>
          <w:color w:val="000000"/>
          <w:kern w:val="0"/>
          <w:sz w:val="20"/>
          <w:szCs w:val="20"/>
          <w:lang w:val="en-US" w:eastAsia="fr-FR"/>
          <w14:ligatures w14:val="none"/>
        </w:rPr>
        <w:t xml:space="preserve">and read </w:t>
      </w:r>
      <w:proofErr w:type="spellStart"/>
      <w:r w:rsidRPr="00380BA4">
        <w:rPr>
          <w:rFonts w:ascii="Arial" w:eastAsia="Times New Roman" w:hAnsi="Arial" w:cs="Arial"/>
          <w:color w:val="000000"/>
          <w:kern w:val="0"/>
          <w:sz w:val="20"/>
          <w:szCs w:val="20"/>
          <w:lang w:val="en-US" w:eastAsia="fr-FR"/>
          <w14:ligatures w14:val="none"/>
        </w:rPr>
        <w:t>colorimetrically</w:t>
      </w:r>
      <w:proofErr w:type="spellEnd"/>
      <w:r w:rsidRPr="00380BA4">
        <w:rPr>
          <w:rFonts w:ascii="Arial" w:eastAsia="Times New Roman" w:hAnsi="Arial" w:cs="Arial"/>
          <w:color w:val="000000"/>
          <w:kern w:val="0"/>
          <w:sz w:val="20"/>
          <w:szCs w:val="20"/>
          <w:lang w:val="en-US" w:eastAsia="fr-FR"/>
          <w14:ligatures w14:val="none"/>
        </w:rPr>
        <w:t>. The results are expressed in milligrams per 100 g of dry matter (mg/100 g DM) and grams per 100 g of dry matter (g/100 g DM) for trace element and macro-element, respectively</w:t>
      </w:r>
      <w:r w:rsidRPr="00380BA4">
        <w:rPr>
          <w:rFonts w:ascii="Arial" w:eastAsia="Times New Roman" w:hAnsi="Arial" w:cs="Arial"/>
          <w:b/>
          <w:bCs/>
          <w:color w:val="000000"/>
          <w:kern w:val="0"/>
          <w:sz w:val="20"/>
          <w:szCs w:val="20"/>
          <w:lang w:val="en-US" w:eastAsia="fr-FR"/>
          <w14:ligatures w14:val="none"/>
        </w:rPr>
        <w:t>.</w:t>
      </w:r>
    </w:p>
    <w:p w14:paraId="0838DEA2" w14:textId="77777777" w:rsidR="001356B3" w:rsidRPr="00380BA4" w:rsidRDefault="001356B3" w:rsidP="001356B3">
      <w:pPr>
        <w:pStyle w:val="ListParagraph"/>
        <w:numPr>
          <w:ilvl w:val="1"/>
          <w:numId w:val="3"/>
        </w:numPr>
        <w:spacing w:line="360" w:lineRule="auto"/>
        <w:jc w:val="both"/>
        <w:rPr>
          <w:rFonts w:ascii="Arial" w:hAnsi="Arial" w:cs="Arial"/>
          <w:b/>
          <w:bCs/>
          <w:sz w:val="24"/>
          <w:szCs w:val="24"/>
          <w:lang w:val="en-US"/>
        </w:rPr>
      </w:pPr>
      <w:r w:rsidRPr="00380BA4">
        <w:rPr>
          <w:rFonts w:ascii="Arial" w:hAnsi="Arial" w:cs="Arial"/>
          <w:b/>
          <w:bCs/>
          <w:sz w:val="24"/>
          <w:szCs w:val="24"/>
          <w:lang w:val="en-US"/>
        </w:rPr>
        <w:lastRenderedPageBreak/>
        <w:t>Preparation of powder extracts</w:t>
      </w:r>
    </w:p>
    <w:p w14:paraId="08C19B63" w14:textId="77777777" w:rsidR="001356B3" w:rsidRPr="00380BA4" w:rsidRDefault="001356B3" w:rsidP="001356B3">
      <w:pPr>
        <w:spacing w:before="240" w:line="360" w:lineRule="auto"/>
        <w:jc w:val="both"/>
        <w:rPr>
          <w:rFonts w:ascii="Arial" w:hAnsi="Arial" w:cs="Arial"/>
          <w:sz w:val="20"/>
          <w:szCs w:val="20"/>
          <w:lang w:val="en-US"/>
        </w:rPr>
      </w:pPr>
      <w:r w:rsidRPr="00380BA4">
        <w:rPr>
          <w:rFonts w:ascii="Arial" w:hAnsi="Arial" w:cs="Arial"/>
          <w:sz w:val="20"/>
          <w:szCs w:val="20"/>
          <w:lang w:val="en-US"/>
        </w:rPr>
        <w:t xml:space="preserve">Twenty-two milliliters (22 ml) of a solvent mixture Water/Ethanol 3:7 (v/v) were added to 1 g of powder, and the mixture was subjected to ultrasonic bath for 30 mins, followed by shaking for 15 mins. This process was repeated twice to maximize the extraction of secondary metabolites. The resulting solution was centrifuged for 10 mins at a speed of 13,400 revolutions per min, and the supernatant was collected, evaporated under reduced pressure, the freeze-drying. </w:t>
      </w:r>
    </w:p>
    <w:p w14:paraId="16D86F77" w14:textId="5FF19E50" w:rsidR="001356B3" w:rsidRPr="00380BA4" w:rsidRDefault="001356B3" w:rsidP="006A76B2">
      <w:pPr>
        <w:pStyle w:val="ListParagraph"/>
        <w:numPr>
          <w:ilvl w:val="1"/>
          <w:numId w:val="3"/>
        </w:numPr>
        <w:spacing w:after="0" w:line="276" w:lineRule="auto"/>
        <w:jc w:val="both"/>
        <w:rPr>
          <w:rFonts w:ascii="Arial" w:eastAsia="Times New Roman" w:hAnsi="Arial" w:cs="Arial"/>
          <w:b/>
          <w:bCs/>
          <w:color w:val="000000"/>
          <w:kern w:val="0"/>
          <w:lang w:val="en-US" w:eastAsia="fr-FR"/>
          <w14:ligatures w14:val="none"/>
        </w:rPr>
      </w:pPr>
      <w:r w:rsidRPr="00380BA4">
        <w:rPr>
          <w:rFonts w:ascii="Arial" w:eastAsia="Times New Roman" w:hAnsi="Arial" w:cs="Arial"/>
          <w:b/>
          <w:bCs/>
          <w:color w:val="000000"/>
          <w:kern w:val="0"/>
          <w:lang w:val="en-US" w:eastAsia="fr-FR"/>
          <w14:ligatures w14:val="none"/>
        </w:rPr>
        <w:t>Determination of bioactive compound content</w:t>
      </w:r>
      <w:r w:rsidR="004F2892" w:rsidRPr="00380BA4">
        <w:rPr>
          <w:rFonts w:ascii="Arial" w:eastAsia="Times New Roman" w:hAnsi="Arial" w:cs="Arial"/>
          <w:b/>
          <w:bCs/>
          <w:color w:val="000000"/>
          <w:kern w:val="0"/>
          <w:lang w:val="en-US" w:eastAsia="fr-FR"/>
          <w14:ligatures w14:val="none"/>
        </w:rPr>
        <w:t>s</w:t>
      </w:r>
      <w:r w:rsidRPr="00380BA4">
        <w:rPr>
          <w:rFonts w:ascii="Arial" w:eastAsia="Times New Roman" w:hAnsi="Arial" w:cs="Arial"/>
          <w:b/>
          <w:bCs/>
          <w:color w:val="000000"/>
          <w:kern w:val="0"/>
          <w:lang w:val="en-US" w:eastAsia="fr-FR"/>
          <w14:ligatures w14:val="none"/>
        </w:rPr>
        <w:t xml:space="preserve"> </w:t>
      </w:r>
    </w:p>
    <w:p w14:paraId="7DBE260A" w14:textId="77777777" w:rsidR="001356B3" w:rsidRPr="00380BA4" w:rsidRDefault="001356B3" w:rsidP="00950DB5">
      <w:pPr>
        <w:spacing w:after="0" w:line="240" w:lineRule="auto"/>
        <w:jc w:val="both"/>
        <w:rPr>
          <w:rFonts w:ascii="Arial" w:eastAsia="Times New Roman" w:hAnsi="Arial" w:cs="Arial"/>
          <w:b/>
          <w:bCs/>
          <w:color w:val="000000"/>
          <w:kern w:val="0"/>
          <w:lang w:val="en-US" w:eastAsia="fr-FR"/>
          <w14:ligatures w14:val="none"/>
        </w:rPr>
      </w:pPr>
    </w:p>
    <w:p w14:paraId="07F6BAD3" w14:textId="3407894C" w:rsidR="00950DB5" w:rsidRPr="00380BA4" w:rsidRDefault="00950DB5" w:rsidP="006A76B2">
      <w:pPr>
        <w:pStyle w:val="ListParagraph"/>
        <w:numPr>
          <w:ilvl w:val="2"/>
          <w:numId w:val="3"/>
        </w:numPr>
        <w:spacing w:after="0" w:line="276" w:lineRule="auto"/>
        <w:jc w:val="both"/>
        <w:rPr>
          <w:rFonts w:ascii="Arial" w:eastAsia="Times New Roman" w:hAnsi="Arial" w:cs="Arial"/>
          <w:b/>
          <w:bCs/>
          <w:color w:val="000000"/>
          <w:kern w:val="0"/>
          <w:lang w:val="en-US" w:eastAsia="fr-FR"/>
          <w14:ligatures w14:val="none"/>
        </w:rPr>
      </w:pPr>
      <w:r w:rsidRPr="00380BA4">
        <w:rPr>
          <w:rFonts w:ascii="Arial" w:eastAsia="Times New Roman" w:hAnsi="Arial" w:cs="Arial"/>
          <w:b/>
          <w:bCs/>
          <w:color w:val="000000"/>
          <w:kern w:val="0"/>
          <w:lang w:val="en-US" w:eastAsia="fr-FR"/>
          <w14:ligatures w14:val="none"/>
        </w:rPr>
        <w:t xml:space="preserve">Total polyphenol </w:t>
      </w:r>
    </w:p>
    <w:p w14:paraId="65905286" w14:textId="77777777" w:rsidR="00950DB5" w:rsidRDefault="00950DB5" w:rsidP="00950DB5">
      <w:pPr>
        <w:spacing w:after="0" w:line="240" w:lineRule="auto"/>
        <w:jc w:val="both"/>
        <w:rPr>
          <w:rFonts w:ascii="Times New Roman" w:eastAsia="Times New Roman" w:hAnsi="Times New Roman" w:cs="Times New Roman"/>
          <w:color w:val="000000"/>
          <w:kern w:val="0"/>
          <w:lang w:val="en-US" w:eastAsia="fr-FR"/>
          <w14:ligatures w14:val="none"/>
        </w:rPr>
      </w:pPr>
    </w:p>
    <w:p w14:paraId="357819A8" w14:textId="02E08C95" w:rsidR="006A76B2" w:rsidRPr="00380BA4" w:rsidRDefault="006A76B2" w:rsidP="006A76B2">
      <w:pPr>
        <w:spacing w:line="360" w:lineRule="auto"/>
        <w:jc w:val="both"/>
        <w:rPr>
          <w:rFonts w:ascii="Arial" w:hAnsi="Arial" w:cs="Arial"/>
          <w:sz w:val="20"/>
          <w:szCs w:val="20"/>
          <w:lang w:val="en-US"/>
        </w:rPr>
      </w:pPr>
      <w:r w:rsidRPr="00380BA4">
        <w:rPr>
          <w:rFonts w:ascii="Arial" w:hAnsi="Arial" w:cs="Arial"/>
          <w:sz w:val="20"/>
          <w:szCs w:val="20"/>
          <w:lang w:val="en-US"/>
        </w:rPr>
        <w:t xml:space="preserve">The determination of total polyphenols was performed by spectrophotometry, using the colorimetric method with the </w:t>
      </w:r>
      <w:proofErr w:type="spellStart"/>
      <w:r w:rsidRPr="00380BA4">
        <w:rPr>
          <w:rFonts w:ascii="Arial" w:hAnsi="Arial" w:cs="Arial"/>
          <w:sz w:val="20"/>
          <w:szCs w:val="20"/>
          <w:lang w:val="en-US"/>
        </w:rPr>
        <w:t>Folin-Ciocalteu</w:t>
      </w:r>
      <w:proofErr w:type="spellEnd"/>
      <w:r w:rsidRPr="00380BA4">
        <w:rPr>
          <w:rFonts w:ascii="Arial" w:hAnsi="Arial" w:cs="Arial"/>
          <w:sz w:val="20"/>
          <w:szCs w:val="20"/>
          <w:lang w:val="en-US"/>
        </w:rPr>
        <w:t xml:space="preserve"> reagent</w:t>
      </w:r>
      <w:r w:rsidR="003400A2">
        <w:rPr>
          <w:rFonts w:ascii="Arial" w:hAnsi="Arial" w:cs="Arial"/>
          <w:sz w:val="20"/>
          <w:szCs w:val="20"/>
          <w:lang w:val="en-US"/>
        </w:rPr>
        <w:t xml:space="preserve"> </w:t>
      </w:r>
      <w:r w:rsidR="003400A2">
        <w:rPr>
          <w:rFonts w:ascii="Arial" w:hAnsi="Arial" w:cs="Arial"/>
          <w:sz w:val="20"/>
          <w:szCs w:val="20"/>
          <w:lang w:val="en-US"/>
        </w:rPr>
        <w:fldChar w:fldCharType="begin" w:fldLock="1"/>
      </w:r>
      <w:r w:rsidR="009A02E1">
        <w:rPr>
          <w:rFonts w:ascii="Arial" w:hAnsi="Arial" w:cs="Arial"/>
          <w:sz w:val="20"/>
          <w:szCs w:val="20"/>
          <w:lang w:val="en-US"/>
        </w:rPr>
        <w:instrText>ADDIN CSL_CITATION {"citationItems":[{"id":"ITEM-1","itemData":{"author":[{"dropping-particle":"","family":"Singleton","given":"Vernon L","non-dropping-particle":"","parse-names":false,"suffix":""},{"dropping-particle":"","family":"Orthofer","given":"Rudolf","non-dropping-particle":"","parse-names":false,"suffix":""},{"dropping-particle":"","family":"Lamuela-Raventos","given":"Rosa M","non-dropping-particle":"","parse-names":false,"suffix":""}],"container-title":"Methods in Enzymology","id":"ITEM-1","issue":"1974","issued":{"date-parts":[["1999"]]},"page":"152-178","title":"Analysis of Total Phenols and Other Oxidation Substrates and Antioxidants by Means of Folin-Ciocalteu Reagent","type":"article-journal","volume":"299"},"uris":["http://www.mendeley.com/documents/?uuid=6d85f72c-e27a-4291-acae-29ea3ab5c19d"]}],"mendeley":{"formattedCitation":"(Singleton et al., 1999)","plainTextFormattedCitation":"(Singleton et al., 1999)","previouslyFormattedCitation":"(Singleton et al., 1999)"},"properties":{"noteIndex":0},"schema":"https://github.com/citation-style-language/schema/raw/master/csl-citation.json"}</w:instrText>
      </w:r>
      <w:r w:rsidR="003400A2">
        <w:rPr>
          <w:rFonts w:ascii="Arial" w:hAnsi="Arial" w:cs="Arial"/>
          <w:sz w:val="20"/>
          <w:szCs w:val="20"/>
          <w:lang w:val="en-US"/>
        </w:rPr>
        <w:fldChar w:fldCharType="separate"/>
      </w:r>
      <w:r w:rsidR="00085CF4" w:rsidRPr="00085CF4">
        <w:rPr>
          <w:rFonts w:ascii="Arial" w:hAnsi="Arial" w:cs="Arial"/>
          <w:noProof/>
          <w:sz w:val="20"/>
          <w:szCs w:val="20"/>
          <w:lang w:val="en-US"/>
        </w:rPr>
        <w:t>(Singleton et al., 1999)</w:t>
      </w:r>
      <w:r w:rsidR="003400A2">
        <w:rPr>
          <w:rFonts w:ascii="Arial" w:hAnsi="Arial" w:cs="Arial"/>
          <w:sz w:val="20"/>
          <w:szCs w:val="20"/>
          <w:lang w:val="en-US"/>
        </w:rPr>
        <w:fldChar w:fldCharType="end"/>
      </w:r>
      <w:r w:rsidR="003400A2">
        <w:rPr>
          <w:rFonts w:ascii="Arial" w:hAnsi="Arial" w:cs="Arial"/>
          <w:sz w:val="20"/>
          <w:szCs w:val="20"/>
          <w:lang w:val="en-US"/>
        </w:rPr>
        <w:t xml:space="preserve">. </w:t>
      </w:r>
      <w:r w:rsidRPr="00380BA4">
        <w:rPr>
          <w:rFonts w:ascii="Arial" w:hAnsi="Arial" w:cs="Arial"/>
          <w:sz w:val="20"/>
          <w:szCs w:val="20"/>
          <w:lang w:val="en-US"/>
        </w:rPr>
        <w:t xml:space="preserve">This assay is based on the quantification of the total concentration of hydroxyl groups present in the extract. The protocol used is based on that described by </w:t>
      </w:r>
      <w:r w:rsidR="003400A2">
        <w:rPr>
          <w:rFonts w:ascii="Arial" w:hAnsi="Arial" w:cs="Arial"/>
          <w:sz w:val="20"/>
          <w:szCs w:val="20"/>
          <w:lang w:val="en-US"/>
        </w:rPr>
        <w:fldChar w:fldCharType="begin" w:fldLock="1"/>
      </w:r>
      <w:r w:rsidR="009A02E1">
        <w:rPr>
          <w:rFonts w:ascii="Arial" w:hAnsi="Arial" w:cs="Arial"/>
          <w:sz w:val="20"/>
          <w:szCs w:val="20"/>
          <w:lang w:val="en-US"/>
        </w:rPr>
        <w:instrText>ADDIN CSL_CITATION {"citationItems":[{"id":"ITEM-1","itemData":{"author":[{"dropping-particle":"","family":"Singleton","given":"Vernon L","non-dropping-particle":"","parse-names":false,"suffix":""},{"dropping-particle":"","family":"Rossi","given":"J A","non-dropping-particle":"","parse-names":false,"suffix":""}],"container-title":"Am. J. Enol. Vitic","id":"ITEM-1","issued":{"date-parts":[["1965"]]},"page":"144-158","title":"Colorimetry of total phenolics with phosphomolybdicphosphotungstic acid reagents","type":"article-journal","volume":"16"},"uris":["http://www.mendeley.com/documents/?uuid=5b39b4e1-0e37-4b2b-82a3-92da26bc69f7"]}],"mendeley":{"formattedCitation":"(Singleton &amp; Rossi, 1965)","plainTextFormattedCitation":"(Singleton &amp; Rossi, 1965)","previouslyFormattedCitation":"(Singleton &amp; Rossi, 1965)"},"properties":{"noteIndex":0},"schema":"https://github.com/citation-style-language/schema/raw/master/csl-citation.json"}</w:instrText>
      </w:r>
      <w:r w:rsidR="003400A2">
        <w:rPr>
          <w:rFonts w:ascii="Arial" w:hAnsi="Arial" w:cs="Arial"/>
          <w:sz w:val="20"/>
          <w:szCs w:val="20"/>
          <w:lang w:val="en-US"/>
        </w:rPr>
        <w:fldChar w:fldCharType="separate"/>
      </w:r>
      <w:r w:rsidR="00085CF4" w:rsidRPr="00085CF4">
        <w:rPr>
          <w:rFonts w:ascii="Arial" w:hAnsi="Arial" w:cs="Arial"/>
          <w:noProof/>
          <w:sz w:val="20"/>
          <w:szCs w:val="20"/>
          <w:lang w:val="en-US"/>
        </w:rPr>
        <w:t>(Singleton &amp; Rossi, 1965)</w:t>
      </w:r>
      <w:r w:rsidR="003400A2">
        <w:rPr>
          <w:rFonts w:ascii="Arial" w:hAnsi="Arial" w:cs="Arial"/>
          <w:sz w:val="20"/>
          <w:szCs w:val="20"/>
          <w:lang w:val="en-US"/>
        </w:rPr>
        <w:fldChar w:fldCharType="end"/>
      </w:r>
      <w:r w:rsidR="003400A2">
        <w:rPr>
          <w:rFonts w:ascii="Arial" w:hAnsi="Arial" w:cs="Arial"/>
          <w:sz w:val="20"/>
          <w:szCs w:val="20"/>
          <w:lang w:val="en-US"/>
        </w:rPr>
        <w:t>,</w:t>
      </w:r>
      <w:r w:rsidRPr="00380BA4">
        <w:rPr>
          <w:rFonts w:ascii="Arial" w:hAnsi="Arial" w:cs="Arial"/>
          <w:sz w:val="20"/>
          <w:szCs w:val="20"/>
          <w:lang w:val="en-US"/>
        </w:rPr>
        <w:t xml:space="preserve"> with some modifications. Briefly, in glass hemolysis tubes, a volume of 500 µl of each extract was added, along with a mixture of 1 ml of </w:t>
      </w:r>
      <w:proofErr w:type="spellStart"/>
      <w:r w:rsidRPr="00380BA4">
        <w:rPr>
          <w:rFonts w:ascii="Arial" w:hAnsi="Arial" w:cs="Arial"/>
          <w:sz w:val="20"/>
          <w:szCs w:val="20"/>
          <w:lang w:val="en-US"/>
        </w:rPr>
        <w:t>Folin-Ciocalteu</w:t>
      </w:r>
      <w:proofErr w:type="spellEnd"/>
      <w:r w:rsidRPr="00380BA4">
        <w:rPr>
          <w:rFonts w:ascii="Arial" w:hAnsi="Arial" w:cs="Arial"/>
          <w:sz w:val="20"/>
          <w:szCs w:val="20"/>
          <w:lang w:val="en-US"/>
        </w:rPr>
        <w:t xml:space="preserve"> reagent diluted 10 times, and 800 µl of a 7.5% sodium carbonate solution (added 4 minutes later). The tubes were shaken and kept for 30 minutes. The absorbance was measured at 765 nm. A calibration curve was prepared in parallel under the same operating conditions using gallic acid at different concentrations (0 to </w:t>
      </w:r>
      <w:r w:rsidR="008E46ED" w:rsidRPr="00380BA4">
        <w:rPr>
          <w:rFonts w:ascii="Arial" w:hAnsi="Arial" w:cs="Arial"/>
          <w:sz w:val="20"/>
          <w:szCs w:val="20"/>
          <w:lang w:val="en-US"/>
        </w:rPr>
        <w:t>1000µg/ml</w:t>
      </w:r>
      <w:r w:rsidRPr="00380BA4">
        <w:rPr>
          <w:rFonts w:ascii="Arial" w:hAnsi="Arial" w:cs="Arial"/>
          <w:sz w:val="20"/>
          <w:szCs w:val="20"/>
          <w:lang w:val="en-US"/>
        </w:rPr>
        <w:t>).</w:t>
      </w:r>
    </w:p>
    <w:p w14:paraId="44BC7374" w14:textId="77777777" w:rsidR="006A76B2" w:rsidRPr="00380BA4" w:rsidRDefault="00950DB5" w:rsidP="006A76B2">
      <w:pPr>
        <w:pStyle w:val="ListParagraph"/>
        <w:numPr>
          <w:ilvl w:val="2"/>
          <w:numId w:val="3"/>
        </w:numPr>
        <w:spacing w:after="0" w:line="276" w:lineRule="auto"/>
        <w:jc w:val="both"/>
        <w:rPr>
          <w:rFonts w:ascii="Arial" w:eastAsia="Times New Roman" w:hAnsi="Arial" w:cs="Arial"/>
          <w:b/>
          <w:bCs/>
          <w:color w:val="000000"/>
          <w:kern w:val="0"/>
          <w:sz w:val="20"/>
          <w:szCs w:val="20"/>
          <w:lang w:val="en-US" w:eastAsia="fr-FR"/>
          <w14:ligatures w14:val="none"/>
        </w:rPr>
      </w:pPr>
      <w:r w:rsidRPr="00380BA4">
        <w:rPr>
          <w:rFonts w:ascii="Arial" w:eastAsia="Times New Roman" w:hAnsi="Arial" w:cs="Arial"/>
          <w:b/>
          <w:bCs/>
          <w:color w:val="000000"/>
          <w:kern w:val="0"/>
          <w:sz w:val="20"/>
          <w:szCs w:val="20"/>
          <w:lang w:val="en-US" w:eastAsia="fr-FR"/>
          <w14:ligatures w14:val="none"/>
        </w:rPr>
        <w:t xml:space="preserve">Total </w:t>
      </w:r>
      <w:r w:rsidR="006A76B2" w:rsidRPr="00380BA4">
        <w:rPr>
          <w:rFonts w:ascii="Arial" w:eastAsia="Times New Roman" w:hAnsi="Arial" w:cs="Arial"/>
          <w:b/>
          <w:bCs/>
          <w:color w:val="000000"/>
          <w:kern w:val="0"/>
          <w:sz w:val="20"/>
          <w:szCs w:val="20"/>
          <w:lang w:val="en-US" w:eastAsia="fr-FR"/>
          <w14:ligatures w14:val="none"/>
        </w:rPr>
        <w:t xml:space="preserve">flavonoids </w:t>
      </w:r>
    </w:p>
    <w:p w14:paraId="6709E46D" w14:textId="2605B9FA" w:rsidR="00950DB5" w:rsidRPr="00380BA4" w:rsidRDefault="00950DB5" w:rsidP="006A76B2">
      <w:pPr>
        <w:spacing w:after="0" w:line="360" w:lineRule="auto"/>
        <w:jc w:val="both"/>
        <w:rPr>
          <w:rFonts w:ascii="Arial" w:eastAsia="Times New Roman" w:hAnsi="Arial" w:cs="Arial"/>
          <w:b/>
          <w:bCs/>
          <w:color w:val="000000"/>
          <w:kern w:val="0"/>
          <w:sz w:val="20"/>
          <w:szCs w:val="20"/>
          <w:lang w:val="en-US" w:eastAsia="fr-FR"/>
          <w14:ligatures w14:val="none"/>
        </w:rPr>
      </w:pPr>
      <w:r w:rsidRPr="00380BA4">
        <w:rPr>
          <w:rFonts w:ascii="Arial" w:eastAsia="Times New Roman" w:hAnsi="Arial" w:cs="Arial"/>
          <w:b/>
          <w:bCs/>
          <w:color w:val="000000"/>
          <w:kern w:val="0"/>
          <w:sz w:val="20"/>
          <w:szCs w:val="20"/>
          <w:lang w:val="en-US" w:eastAsia="fr-FR"/>
          <w14:ligatures w14:val="none"/>
        </w:rPr>
        <w:t xml:space="preserve"> </w:t>
      </w:r>
    </w:p>
    <w:p w14:paraId="5236201A" w14:textId="33D89FB9" w:rsidR="006A76B2" w:rsidRPr="00380BA4" w:rsidRDefault="006A76B2" w:rsidP="006A76B2">
      <w:pPr>
        <w:spacing w:line="360" w:lineRule="auto"/>
        <w:jc w:val="both"/>
        <w:rPr>
          <w:rFonts w:ascii="Arial" w:hAnsi="Arial" w:cs="Arial"/>
          <w:sz w:val="20"/>
          <w:szCs w:val="20"/>
          <w:lang w:val="en-US"/>
        </w:rPr>
      </w:pPr>
      <w:r w:rsidRPr="00380BA4">
        <w:rPr>
          <w:rFonts w:ascii="Arial" w:hAnsi="Arial" w:cs="Arial"/>
          <w:sz w:val="20"/>
          <w:szCs w:val="20"/>
          <w:lang w:val="en-US"/>
        </w:rPr>
        <w:t>The determination of flavonoids was performed using a method based on the formation of a very stable complex between aluminum chloride and the oxygen atoms present on carbons 4 and 5 of flavonoids. The protocol used is based on that described by</w:t>
      </w:r>
      <w:r w:rsidR="003253AB">
        <w:rPr>
          <w:rFonts w:ascii="Arial" w:hAnsi="Arial" w:cs="Arial"/>
          <w:sz w:val="20"/>
          <w:szCs w:val="20"/>
          <w:lang w:val="en-US"/>
        </w:rPr>
        <w:t xml:space="preserve"> </w:t>
      </w:r>
      <w:r w:rsidR="003253AB">
        <w:rPr>
          <w:rFonts w:ascii="Arial" w:hAnsi="Arial" w:cs="Arial"/>
          <w:sz w:val="20"/>
          <w:szCs w:val="20"/>
          <w:lang w:val="en-US"/>
        </w:rPr>
        <w:fldChar w:fldCharType="begin" w:fldLock="1"/>
      </w:r>
      <w:r w:rsidR="003253AB">
        <w:rPr>
          <w:rFonts w:ascii="Arial" w:hAnsi="Arial" w:cs="Arial"/>
          <w:sz w:val="20"/>
          <w:szCs w:val="20"/>
          <w:lang w:val="en-US"/>
        </w:rPr>
        <w:instrText>ADDIN CSL_CITATION {"citationItems":[{"id":"ITEM-1","itemData":{"author":[{"dropping-particle":"","family":"Zhishen","given":"Jia","non-dropping-particle":"","parse-names":false,"suffix":""},{"dropping-particle":"","family":"Mengcheng","given":"Tang","non-dropping-particle":"","parse-names":false,"suffix":""},{"dropping-particle":"","family":"Jianming","given":"Wu","non-dropping-particle":"","parse-names":false,"suffix":""}],"container-title":"Food Chemistry","id":"ITEM-1","issued":{"date-parts":[["1999"]]},"page":"555-559","title":"Food Chemistry The determination of flavonoid contents in mulberry and their scavenging effects on superoxide radicals","type":"article-journal","volume":"64"},"uris":["http://www.mendeley.com/documents/?uuid=0c0f5c89-5a13-49e2-aff6-7d59b6af3bab"]}],"mendeley":{"formattedCitation":"(Zhishen et al., 1999)","manualFormatting":"Zhishen et al. (1999)","plainTextFormattedCitation":"(Zhishen et al., 1999)","previouslyFormattedCitation":"(Zhishen et al., 1999)"},"properties":{"noteIndex":0},"schema":"https://github.com/citation-style-language/schema/raw/master/csl-citation.json"}</w:instrText>
      </w:r>
      <w:r w:rsidR="003253AB">
        <w:rPr>
          <w:rFonts w:ascii="Arial" w:hAnsi="Arial" w:cs="Arial"/>
          <w:sz w:val="20"/>
          <w:szCs w:val="20"/>
          <w:lang w:val="en-US"/>
        </w:rPr>
        <w:fldChar w:fldCharType="separate"/>
      </w:r>
      <w:r w:rsidR="003253AB" w:rsidRPr="003253AB">
        <w:rPr>
          <w:rFonts w:ascii="Arial" w:hAnsi="Arial" w:cs="Arial"/>
          <w:noProof/>
          <w:sz w:val="20"/>
          <w:szCs w:val="20"/>
          <w:lang w:val="en-US"/>
        </w:rPr>
        <w:t>Zhishen et al.</w:t>
      </w:r>
      <w:r w:rsidR="003253AB">
        <w:rPr>
          <w:rFonts w:ascii="Arial" w:hAnsi="Arial" w:cs="Arial"/>
          <w:noProof/>
          <w:sz w:val="20"/>
          <w:szCs w:val="20"/>
          <w:lang w:val="en-US"/>
        </w:rPr>
        <w:t xml:space="preserve"> (</w:t>
      </w:r>
      <w:r w:rsidR="003253AB" w:rsidRPr="003253AB">
        <w:rPr>
          <w:rFonts w:ascii="Arial" w:hAnsi="Arial" w:cs="Arial"/>
          <w:noProof/>
          <w:sz w:val="20"/>
          <w:szCs w:val="20"/>
          <w:lang w:val="en-US"/>
        </w:rPr>
        <w:t>1999)</w:t>
      </w:r>
      <w:r w:rsidR="003253AB">
        <w:rPr>
          <w:rFonts w:ascii="Arial" w:hAnsi="Arial" w:cs="Arial"/>
          <w:sz w:val="20"/>
          <w:szCs w:val="20"/>
          <w:lang w:val="en-US"/>
        </w:rPr>
        <w:fldChar w:fldCharType="end"/>
      </w:r>
      <w:r w:rsidRPr="00380BA4">
        <w:rPr>
          <w:rFonts w:ascii="Arial" w:hAnsi="Arial" w:cs="Arial"/>
          <w:sz w:val="20"/>
          <w:szCs w:val="20"/>
          <w:lang w:val="en-US"/>
        </w:rPr>
        <w:t xml:space="preserve"> </w:t>
      </w:r>
      <w:r w:rsidR="003253AB">
        <w:rPr>
          <w:rFonts w:ascii="Arial" w:hAnsi="Arial" w:cs="Arial"/>
          <w:sz w:val="20"/>
          <w:szCs w:val="20"/>
          <w:lang w:val="en-US"/>
        </w:rPr>
        <w:t xml:space="preserve">and </w:t>
      </w:r>
      <w:r w:rsidR="003253AB">
        <w:rPr>
          <w:rFonts w:ascii="Arial" w:hAnsi="Arial" w:cs="Arial"/>
          <w:sz w:val="20"/>
          <w:szCs w:val="20"/>
          <w:lang w:val="en-US"/>
        </w:rPr>
        <w:fldChar w:fldCharType="begin" w:fldLock="1"/>
      </w:r>
      <w:r w:rsidR="003253AB">
        <w:rPr>
          <w:rFonts w:ascii="Arial" w:hAnsi="Arial" w:cs="Arial"/>
          <w:sz w:val="20"/>
          <w:szCs w:val="20"/>
          <w:lang w:val="en-US"/>
        </w:rPr>
        <w:instrText>ADDIN CSL_CITATION {"citationItems":[{"id":"ITEM-1","itemData":{"author":[{"dropping-particle":"","family":"Chun","given":"DK","non-dropping-particle":"","parse-names":false,"suffix":""},{"dropping-particle":"","family":"Kim","given":"Y.","non-dropping-particle":"","parse-names":false,"suffix":""},{"dropping-particle":"","family":"Moon","given":"H.","non-dropping-particle":"","parse-names":false,"suffix":""},{"dropping-particle":"","family":"Lee","given":"C.","non-dropping-particle":"","parse-names":false,"suffix":""}],"container-title":"Journal of Agricultural and Food Chemistry","id":"ITEM-1","issue":"6509","issued":{"date-parts":[["2003"]]},"title":"Quantification of phenolics and their antioxydant capacity in fresh plums","type":"article-journal","volume":"51"},"uris":["http://www.mendeley.com/documents/?uuid=8004ead1-8579-4c1a-bc45-4883ab449d39"]}],"mendeley":{"formattedCitation":"(Chun et al., 2003)","manualFormatting":"Chun et al. (2003)","plainTextFormattedCitation":"(Chun et al., 2003)","previouslyFormattedCitation":"(Chun et al., 2003)"},"properties":{"noteIndex":0},"schema":"https://github.com/citation-style-language/schema/raw/master/csl-citation.json"}</w:instrText>
      </w:r>
      <w:r w:rsidR="003253AB">
        <w:rPr>
          <w:rFonts w:ascii="Arial" w:hAnsi="Arial" w:cs="Arial"/>
          <w:sz w:val="20"/>
          <w:szCs w:val="20"/>
          <w:lang w:val="en-US"/>
        </w:rPr>
        <w:fldChar w:fldCharType="separate"/>
      </w:r>
      <w:r w:rsidR="003253AB" w:rsidRPr="003253AB">
        <w:rPr>
          <w:rFonts w:ascii="Arial" w:hAnsi="Arial" w:cs="Arial"/>
          <w:noProof/>
          <w:sz w:val="20"/>
          <w:szCs w:val="20"/>
          <w:lang w:val="en-US"/>
        </w:rPr>
        <w:t>Chun et al.</w:t>
      </w:r>
      <w:r w:rsidR="003253AB">
        <w:rPr>
          <w:rFonts w:ascii="Arial" w:hAnsi="Arial" w:cs="Arial"/>
          <w:noProof/>
          <w:sz w:val="20"/>
          <w:szCs w:val="20"/>
          <w:lang w:val="en-US"/>
        </w:rPr>
        <w:t xml:space="preserve"> (</w:t>
      </w:r>
      <w:r w:rsidR="003253AB" w:rsidRPr="003253AB">
        <w:rPr>
          <w:rFonts w:ascii="Arial" w:hAnsi="Arial" w:cs="Arial"/>
          <w:noProof/>
          <w:sz w:val="20"/>
          <w:szCs w:val="20"/>
          <w:lang w:val="en-US"/>
        </w:rPr>
        <w:t>2003)</w:t>
      </w:r>
      <w:r w:rsidR="003253AB">
        <w:rPr>
          <w:rFonts w:ascii="Arial" w:hAnsi="Arial" w:cs="Arial"/>
          <w:sz w:val="20"/>
          <w:szCs w:val="20"/>
          <w:lang w:val="en-US"/>
        </w:rPr>
        <w:fldChar w:fldCharType="end"/>
      </w:r>
      <w:r w:rsidR="003253AB">
        <w:rPr>
          <w:rFonts w:ascii="Arial" w:hAnsi="Arial" w:cs="Arial"/>
          <w:sz w:val="20"/>
          <w:szCs w:val="20"/>
          <w:lang w:val="en-US"/>
        </w:rPr>
        <w:t>,</w:t>
      </w:r>
      <w:r w:rsidRPr="00380BA4">
        <w:rPr>
          <w:rFonts w:ascii="Arial" w:hAnsi="Arial" w:cs="Arial"/>
          <w:color w:val="FF0000"/>
          <w:sz w:val="20"/>
          <w:szCs w:val="20"/>
          <w:lang w:val="en-US"/>
        </w:rPr>
        <w:t xml:space="preserve"> </w:t>
      </w:r>
      <w:r w:rsidRPr="00380BA4">
        <w:rPr>
          <w:rFonts w:ascii="Arial" w:hAnsi="Arial" w:cs="Arial"/>
          <w:sz w:val="20"/>
          <w:szCs w:val="20"/>
          <w:lang w:val="en-US"/>
        </w:rPr>
        <w:t>with some modifications. In a glass hemolysis tube, 500 µl of extract, or standard, or distilled water for the control, were added to 200 µl of 5% NaNO</w:t>
      </w:r>
      <w:r w:rsidRPr="00380BA4">
        <w:rPr>
          <w:rFonts w:ascii="Arial" w:hAnsi="Arial" w:cs="Arial"/>
          <w:sz w:val="20"/>
          <w:szCs w:val="20"/>
          <w:vertAlign w:val="subscript"/>
          <w:lang w:val="en-US"/>
        </w:rPr>
        <w:t>2</w:t>
      </w:r>
      <w:r w:rsidRPr="00380BA4">
        <w:rPr>
          <w:rFonts w:ascii="Arial" w:hAnsi="Arial" w:cs="Arial"/>
          <w:sz w:val="20"/>
          <w:szCs w:val="20"/>
          <w:lang w:val="en-US"/>
        </w:rPr>
        <w:t>. After 5 minutes, 200 µl of 10% AlCl</w:t>
      </w:r>
      <w:r w:rsidRPr="00380BA4">
        <w:rPr>
          <w:rFonts w:ascii="Arial" w:hAnsi="Arial" w:cs="Arial"/>
          <w:sz w:val="20"/>
          <w:szCs w:val="20"/>
          <w:vertAlign w:val="subscript"/>
          <w:lang w:val="en-US"/>
        </w:rPr>
        <w:t>3</w:t>
      </w:r>
      <w:r w:rsidRPr="00380BA4">
        <w:rPr>
          <w:rFonts w:ascii="Arial" w:hAnsi="Arial" w:cs="Arial"/>
          <w:sz w:val="20"/>
          <w:szCs w:val="20"/>
          <w:lang w:val="en-US"/>
        </w:rPr>
        <w:t xml:space="preserve"> was added, and the mixture was vigorously stirred. After 6 minutes, a volume of 1000 µl of 1 M NaOH was added to the mixture. The absorbance was read immediately at 510 nm against the control. A methanolic solution of quercetin was prepared. Stock solutions were prepared from the mother solution at different concentrations ranging from 0 to 1</w:t>
      </w:r>
      <w:r w:rsidR="008E46ED" w:rsidRPr="00380BA4">
        <w:rPr>
          <w:rFonts w:ascii="Arial" w:hAnsi="Arial" w:cs="Arial"/>
          <w:sz w:val="20"/>
          <w:szCs w:val="20"/>
          <w:lang w:val="en-US"/>
        </w:rPr>
        <w:t>000µ</w:t>
      </w:r>
      <w:r w:rsidRPr="00380BA4">
        <w:rPr>
          <w:rFonts w:ascii="Arial" w:hAnsi="Arial" w:cs="Arial"/>
          <w:sz w:val="20"/>
          <w:szCs w:val="20"/>
          <w:lang w:val="en-US"/>
        </w:rPr>
        <w:t>g/ml to create the calibration curve.</w:t>
      </w:r>
    </w:p>
    <w:p w14:paraId="52A7D692" w14:textId="658694AD" w:rsidR="006A76B2" w:rsidRPr="00380BA4" w:rsidRDefault="006A76B2" w:rsidP="006A76B2">
      <w:pPr>
        <w:pStyle w:val="ListParagraph"/>
        <w:numPr>
          <w:ilvl w:val="2"/>
          <w:numId w:val="3"/>
        </w:numPr>
        <w:spacing w:line="360" w:lineRule="auto"/>
        <w:jc w:val="both"/>
        <w:rPr>
          <w:rFonts w:ascii="Arial" w:hAnsi="Arial" w:cs="Arial"/>
          <w:b/>
          <w:bCs/>
          <w:sz w:val="20"/>
          <w:szCs w:val="20"/>
          <w:lang w:val="en-US"/>
        </w:rPr>
      </w:pPr>
      <w:r w:rsidRPr="00380BA4">
        <w:rPr>
          <w:rFonts w:ascii="Arial" w:hAnsi="Arial" w:cs="Arial"/>
          <w:b/>
          <w:bCs/>
          <w:sz w:val="20"/>
          <w:szCs w:val="20"/>
          <w:lang w:val="en-US"/>
        </w:rPr>
        <w:t xml:space="preserve">Condensed tannins </w:t>
      </w:r>
    </w:p>
    <w:p w14:paraId="0CF27913" w14:textId="6779AF8D" w:rsidR="001356B3" w:rsidRPr="00380BA4" w:rsidRDefault="006A76B2" w:rsidP="006A76B2">
      <w:pPr>
        <w:spacing w:line="360" w:lineRule="auto"/>
        <w:jc w:val="both"/>
        <w:rPr>
          <w:rFonts w:ascii="Arial" w:hAnsi="Arial" w:cs="Arial"/>
          <w:sz w:val="20"/>
          <w:szCs w:val="20"/>
          <w:lang w:val="en-US"/>
        </w:rPr>
      </w:pPr>
      <w:r w:rsidRPr="00380BA4">
        <w:rPr>
          <w:rFonts w:ascii="Arial" w:hAnsi="Arial" w:cs="Arial"/>
          <w:sz w:val="20"/>
          <w:szCs w:val="20"/>
          <w:lang w:val="en-US"/>
        </w:rPr>
        <w:t>This assay was performed using the vanillin method combined with hydrochloric acid. This method relies on the reaction of vanillin with the terminal flavonoid group of condensed tannins, resulting in the formation of red complexes</w:t>
      </w:r>
      <w:r w:rsidR="003253AB">
        <w:rPr>
          <w:rFonts w:ascii="Arial" w:hAnsi="Arial" w:cs="Arial"/>
          <w:sz w:val="20"/>
          <w:szCs w:val="20"/>
          <w:lang w:val="en-US"/>
        </w:rPr>
        <w:t xml:space="preserve"> </w:t>
      </w:r>
      <w:r w:rsidR="003253AB">
        <w:rPr>
          <w:rFonts w:ascii="Arial" w:hAnsi="Arial" w:cs="Arial"/>
          <w:sz w:val="20"/>
          <w:szCs w:val="20"/>
          <w:lang w:val="en-US"/>
        </w:rPr>
        <w:fldChar w:fldCharType="begin" w:fldLock="1"/>
      </w:r>
      <w:r w:rsidR="00E3165B">
        <w:rPr>
          <w:rFonts w:ascii="Arial" w:hAnsi="Arial" w:cs="Arial"/>
          <w:sz w:val="20"/>
          <w:szCs w:val="20"/>
          <w:lang w:val="en-US"/>
        </w:rPr>
        <w:instrText>ADDIN CSL_CITATION {"citationItems":[{"id":"ITEM-1","itemData":{"author":[{"dropping-particle":"","family":"Schofield","given":"P","non-dropping-particle":"","parse-names":false,"suffix":""},{"dropping-particle":"","family":"Mbugua","given":"D M","non-dropping-particle":"","parse-names":false,"suffix":""},{"dropping-particle":"","family":"Pell","given":"A N","non-dropping-particle":"","parse-names":false,"suffix":""}],"container-title":"Animal Feed Science and Technology","id":"ITEM-1","issued":{"date-parts":[["2001"]]},"page":"21-40","title":"Analysis of condensed tannins : a review","type":"article-journal","volume":"91"},"uris":["http://www.mendeley.com/documents/?uuid=ad9d7dc5-51c2-4eeb-ab37-8ab9710e916d"]}],"mendeley":{"formattedCitation":"(Schofield et al., 2001)","manualFormatting":"(Schofield et al., 2001;","plainTextFormattedCitation":"(Schofield et al., 2001)","previouslyFormattedCitation":"(Schofield et al., 2001)"},"properties":{"noteIndex":0},"schema":"https://github.com/citation-style-language/schema/raw/master/csl-citation.json"}</w:instrText>
      </w:r>
      <w:r w:rsidR="003253AB">
        <w:rPr>
          <w:rFonts w:ascii="Arial" w:hAnsi="Arial" w:cs="Arial"/>
          <w:sz w:val="20"/>
          <w:szCs w:val="20"/>
          <w:lang w:val="en-US"/>
        </w:rPr>
        <w:fldChar w:fldCharType="separate"/>
      </w:r>
      <w:r w:rsidR="003253AB" w:rsidRPr="003253AB">
        <w:rPr>
          <w:rFonts w:ascii="Arial" w:hAnsi="Arial" w:cs="Arial"/>
          <w:noProof/>
          <w:sz w:val="20"/>
          <w:szCs w:val="20"/>
          <w:lang w:val="en-US"/>
        </w:rPr>
        <w:t>(Schofield et al., 2001</w:t>
      </w:r>
      <w:r w:rsidR="00E3165B">
        <w:rPr>
          <w:rFonts w:ascii="Arial" w:hAnsi="Arial" w:cs="Arial"/>
          <w:noProof/>
          <w:sz w:val="20"/>
          <w:szCs w:val="20"/>
          <w:lang w:val="en-US"/>
        </w:rPr>
        <w:t>;</w:t>
      </w:r>
      <w:r w:rsidR="003253AB">
        <w:rPr>
          <w:rFonts w:ascii="Arial" w:hAnsi="Arial" w:cs="Arial"/>
          <w:sz w:val="20"/>
          <w:szCs w:val="20"/>
          <w:lang w:val="en-US"/>
        </w:rPr>
        <w:fldChar w:fldCharType="end"/>
      </w:r>
      <w:r w:rsidR="00E3165B">
        <w:rPr>
          <w:rFonts w:ascii="Arial" w:hAnsi="Arial" w:cs="Arial"/>
          <w:sz w:val="20"/>
          <w:szCs w:val="20"/>
          <w:lang w:val="en-US"/>
        </w:rPr>
        <w:t xml:space="preserve"> </w:t>
      </w:r>
      <w:r w:rsidR="003253AB">
        <w:rPr>
          <w:rFonts w:ascii="Arial" w:hAnsi="Arial" w:cs="Arial"/>
          <w:sz w:val="20"/>
          <w:szCs w:val="20"/>
          <w:lang w:val="en-US"/>
        </w:rPr>
        <w:fldChar w:fldCharType="begin" w:fldLock="1"/>
      </w:r>
      <w:r w:rsidR="00E3165B">
        <w:rPr>
          <w:rFonts w:ascii="Arial" w:hAnsi="Arial" w:cs="Arial"/>
          <w:sz w:val="20"/>
          <w:szCs w:val="20"/>
          <w:lang w:val="en-US"/>
        </w:rPr>
        <w:instrText>ADDIN CSL_CITATION {"citationItems":[{"id":"ITEM-1","itemData":{"ISBN":"1588299937","abstract":"Annotation Plant Secondary Metabolites provides reliable assays to meet the challenge of fulfilling the huge demand for feed. It details plant-animal interactions and presents methodologies that may also be used to determine plant secondary metabolites in human food. In addition, the volume contains methods for analysis of some important plant secondary metabolites, which are written in a recipe-like format designed for direct practical use. Trypsin inhibitor -- Chymotrypsin inhibitor -- [alpha]-Amylase inhibitor -- Phytohemagglutin/lectin -- Phytic acid -- Oxalic acid -- Nitrate and nitrite -- L-mimosine ([beta]-(3hydroxy-4-pyridone-1-yl)- L-alanine) -- Canavanine -- L-DOPA (L-3, 4-dihydroxyphenylalanine) -- Glucosinolates -- Cyanogenic glucosides/cyanogens -- Tannins -- Gossypol -- Chlorogenic acid -- Saponins -- Phorbol esters -- Alkaloids.","author":[{"dropping-particle":"","family":"Makkar","given":"Harinder P. S.","non-dropping-particle":"","parse-names":false,"suffix":""},{"dropping-particle":"","family":"Siddhuraju","given":"P.","non-dropping-particle":"","parse-names":false,"suffix":""},{"dropping-particle":"","family":"Becker","given":"Klaus.","non-dropping-particle":"","parse-names":false,"suffix":""}],"id":"ITEM-1","issued":{"date-parts":[["2007"]]},"number-of-pages":"130","publisher":"Humana Press Inc., Totowa, New Jersey 07512","title":"Plant secondary metabolites","type":"book"},"uris":["http://www.mendeley.com/documents/?uuid=ba2188ec-2aa6-3854-b5d2-942a114c7dc8"]}],"mendeley":{"formattedCitation":"(Makkar et al., 2007)","manualFormatting":"Makkar et al., 2007)","plainTextFormattedCitation":"(Makkar et al., 2007)","previouslyFormattedCitation":"(Makkar et al., 2007)"},"properties":{"noteIndex":0},"schema":"https://github.com/citation-style-language/schema/raw/master/csl-citation.json"}</w:instrText>
      </w:r>
      <w:r w:rsidR="003253AB">
        <w:rPr>
          <w:rFonts w:ascii="Arial" w:hAnsi="Arial" w:cs="Arial"/>
          <w:sz w:val="20"/>
          <w:szCs w:val="20"/>
          <w:lang w:val="en-US"/>
        </w:rPr>
        <w:fldChar w:fldCharType="separate"/>
      </w:r>
      <w:r w:rsidR="003253AB" w:rsidRPr="003253AB">
        <w:rPr>
          <w:rFonts w:ascii="Arial" w:hAnsi="Arial" w:cs="Arial"/>
          <w:noProof/>
          <w:sz w:val="20"/>
          <w:szCs w:val="20"/>
          <w:lang w:val="en-US"/>
        </w:rPr>
        <w:t>Makkar et al., 2007)</w:t>
      </w:r>
      <w:r w:rsidR="003253AB">
        <w:rPr>
          <w:rFonts w:ascii="Arial" w:hAnsi="Arial" w:cs="Arial"/>
          <w:sz w:val="20"/>
          <w:szCs w:val="20"/>
          <w:lang w:val="en-US"/>
        </w:rPr>
        <w:fldChar w:fldCharType="end"/>
      </w:r>
      <w:r w:rsidR="003253AB">
        <w:rPr>
          <w:rFonts w:ascii="Arial" w:hAnsi="Arial" w:cs="Arial"/>
          <w:sz w:val="20"/>
          <w:szCs w:val="20"/>
          <w:lang w:val="en-US"/>
        </w:rPr>
        <w:t>.</w:t>
      </w:r>
      <w:r w:rsidRPr="00380BA4">
        <w:rPr>
          <w:rFonts w:ascii="Arial" w:hAnsi="Arial" w:cs="Arial"/>
          <w:color w:val="FF0000"/>
          <w:sz w:val="20"/>
          <w:szCs w:val="20"/>
          <w:lang w:val="en-US"/>
        </w:rPr>
        <w:t xml:space="preserve"> </w:t>
      </w:r>
      <w:r w:rsidRPr="00380BA4">
        <w:rPr>
          <w:rFonts w:ascii="Arial" w:hAnsi="Arial" w:cs="Arial"/>
          <w:sz w:val="20"/>
          <w:szCs w:val="20"/>
          <w:lang w:val="en-US"/>
        </w:rPr>
        <w:t xml:space="preserve">This phenomenon is explained by the property of tannins to convert into red-colored </w:t>
      </w:r>
      <w:proofErr w:type="spellStart"/>
      <w:r w:rsidRPr="00380BA4">
        <w:rPr>
          <w:rFonts w:ascii="Arial" w:hAnsi="Arial" w:cs="Arial"/>
          <w:sz w:val="20"/>
          <w:szCs w:val="20"/>
          <w:lang w:val="en-US"/>
        </w:rPr>
        <w:t>anthocyanidols</w:t>
      </w:r>
      <w:proofErr w:type="spellEnd"/>
      <w:r w:rsidRPr="00380BA4">
        <w:rPr>
          <w:rFonts w:ascii="Arial" w:hAnsi="Arial" w:cs="Arial"/>
          <w:sz w:val="20"/>
          <w:szCs w:val="20"/>
          <w:lang w:val="en-US"/>
        </w:rPr>
        <w:t xml:space="preserve"> upon reaction with vanillin</w:t>
      </w:r>
      <w:r w:rsidR="000715FE">
        <w:rPr>
          <w:rFonts w:ascii="Arial" w:hAnsi="Arial" w:cs="Arial"/>
          <w:sz w:val="20"/>
          <w:szCs w:val="20"/>
          <w:lang w:val="en-US"/>
        </w:rPr>
        <w:t xml:space="preserve"> </w:t>
      </w:r>
      <w:r w:rsidR="000715FE">
        <w:rPr>
          <w:rFonts w:ascii="Arial" w:hAnsi="Arial" w:cs="Arial"/>
          <w:sz w:val="20"/>
          <w:szCs w:val="20"/>
          <w:lang w:val="en-US"/>
        </w:rPr>
        <w:fldChar w:fldCharType="begin" w:fldLock="1"/>
      </w:r>
      <w:r w:rsidR="00085CF4">
        <w:rPr>
          <w:rFonts w:ascii="Arial" w:hAnsi="Arial" w:cs="Arial"/>
          <w:sz w:val="20"/>
          <w:szCs w:val="20"/>
          <w:lang w:val="en-US"/>
        </w:rPr>
        <w:instrText>ADDIN CSL_CITATION {"citationItems":[{"id":"ITEM-1","itemData":{"DOI":"10.1021/jf980366j","ISSN":"00218561","abstract":"Several parameters mostly affecting the precision and accuracy of vanillin assay were reexamined and optimized. The reexamination was performed both by vanillin reaction with catechins and by vanillin reaction with purified proanthocyanidins. In addition to the acid nature and concentration, the reaction time, the temperature, and the vanillin concentration, other factors such as the water content, the presence of interfering substances, and the standard utilized, for both vanillin reaction with catechins and vanillin reaction with proanthocyanidins, were also important. However, the kinetics of the two types of reactions were markedly different. For estimating accurately catechins or proanthocyanidins that exist simultaneously in plant tissues, it is necessary to preliminarily separate them from each other.","author":[{"dropping-particle":"","family":"Sun","given":"Baoshan","non-dropping-particle":"","parse-names":false,"suffix":""},{"dropping-particle":"","family":"Ricardo-da-Silva","given":"Jorge M.","non-dropping-particle":"","parse-names":false,"suffix":""},{"dropping-particle":"","family":"Spranger","given":"Isabel","non-dropping-particle":"","parse-names":false,"suffix":""}],"container-title":"Journal of Agricultural and Food Chemistry","id":"ITEM-1","issue":"10","issued":{"date-parts":[["1998"]]},"page":"4267-4274","title":"Critical Factors of Vanillin Assay for Catechins and Proanthocyanidins","type":"article-journal","volume":"46"},"uris":["http://www.mendeley.com/documents/?uuid=eacb93bf-d6c8-4da5-bb8e-772a479d6ae2"]}],"mendeley":{"formattedCitation":"(Sun et al., 1998)","plainTextFormattedCitation":"(Sun et al., 1998)","previouslyFormattedCitation":"(Sun et al., 1998)"},"properties":{"noteIndex":0},"schema":"https://github.com/citation-style-language/schema/raw/master/csl-citation.json"}</w:instrText>
      </w:r>
      <w:r w:rsidR="000715FE">
        <w:rPr>
          <w:rFonts w:ascii="Arial" w:hAnsi="Arial" w:cs="Arial"/>
          <w:sz w:val="20"/>
          <w:szCs w:val="20"/>
          <w:lang w:val="en-US"/>
        </w:rPr>
        <w:fldChar w:fldCharType="separate"/>
      </w:r>
      <w:r w:rsidR="000715FE" w:rsidRPr="000715FE">
        <w:rPr>
          <w:rFonts w:ascii="Arial" w:hAnsi="Arial" w:cs="Arial"/>
          <w:noProof/>
          <w:sz w:val="20"/>
          <w:szCs w:val="20"/>
          <w:lang w:val="en-US"/>
        </w:rPr>
        <w:t>(Sun et al., 1998)</w:t>
      </w:r>
      <w:r w:rsidR="000715FE">
        <w:rPr>
          <w:rFonts w:ascii="Arial" w:hAnsi="Arial" w:cs="Arial"/>
          <w:sz w:val="20"/>
          <w:szCs w:val="20"/>
          <w:lang w:val="en-US"/>
        </w:rPr>
        <w:fldChar w:fldCharType="end"/>
      </w:r>
      <w:r w:rsidR="000715FE">
        <w:rPr>
          <w:rFonts w:ascii="Arial" w:hAnsi="Arial" w:cs="Arial"/>
          <w:sz w:val="20"/>
          <w:szCs w:val="20"/>
          <w:lang w:val="en-US"/>
        </w:rPr>
        <w:t>.</w:t>
      </w:r>
      <w:r w:rsidRPr="00380BA4">
        <w:rPr>
          <w:rFonts w:ascii="Arial" w:hAnsi="Arial" w:cs="Arial"/>
          <w:color w:val="FF0000"/>
          <w:sz w:val="20"/>
          <w:szCs w:val="20"/>
          <w:lang w:val="en-US"/>
        </w:rPr>
        <w:t xml:space="preserve"> </w:t>
      </w:r>
      <w:r w:rsidRPr="00380BA4">
        <w:rPr>
          <w:rFonts w:ascii="Arial" w:hAnsi="Arial" w:cs="Arial"/>
          <w:sz w:val="20"/>
          <w:szCs w:val="20"/>
          <w:lang w:val="en-US"/>
        </w:rPr>
        <w:t>The content of condensed tannins was determined using the vanillin method described by</w:t>
      </w:r>
      <w:r w:rsidR="003253AB">
        <w:rPr>
          <w:rFonts w:ascii="Arial" w:hAnsi="Arial" w:cs="Arial"/>
          <w:sz w:val="20"/>
          <w:szCs w:val="20"/>
          <w:lang w:val="en-US"/>
        </w:rPr>
        <w:t xml:space="preserve"> </w:t>
      </w:r>
      <w:r w:rsidR="003253AB">
        <w:rPr>
          <w:rFonts w:ascii="Arial" w:hAnsi="Arial" w:cs="Arial"/>
          <w:sz w:val="20"/>
          <w:szCs w:val="20"/>
          <w:lang w:val="en-US"/>
        </w:rPr>
        <w:fldChar w:fldCharType="begin" w:fldLock="1"/>
      </w:r>
      <w:r w:rsidR="000715FE">
        <w:rPr>
          <w:rFonts w:ascii="Arial" w:hAnsi="Arial" w:cs="Arial"/>
          <w:sz w:val="20"/>
          <w:szCs w:val="20"/>
          <w:lang w:val="en-US"/>
        </w:rPr>
        <w:instrText>ADDIN CSL_CITATION {"citationItems":[{"id":"ITEM-1","itemData":{"author":[{"dropping-particle":"","family":"Julkunen-Tiitto","given":"Riitta","non-dropping-particle":"","parse-names":false,"suffix":""}],"container-title":"Journal of Agricultural and Food Chemistry","id":"ITEM-1","issue":"92","issued":{"date-parts":[["1985"]]},"page":"448","title":"Phenolic Constituents in the Leaves of Northern Willows: Methods for the Analysis of Certain Phenolics","type":"article-journal","volume":"33"},"uris":["http://www.mendeley.com/documents/?uuid=31dd1449-3b1f-4d0e-a6f3-3ebe633a6aa7"]}],"mendeley":{"formattedCitation":"(Julkunen-Tiitto, 1985)","manualFormatting":"Julkunen-Tiitto (1985)","plainTextFormattedCitation":"(Julkunen-Tiitto, 1985)","previouslyFormattedCitation":"(Julkunen-Tiitto, 1985)"},"properties":{"noteIndex":0},"schema":"https://github.com/citation-style-language/schema/raw/master/csl-citation.json"}</w:instrText>
      </w:r>
      <w:r w:rsidR="003253AB">
        <w:rPr>
          <w:rFonts w:ascii="Arial" w:hAnsi="Arial" w:cs="Arial"/>
          <w:sz w:val="20"/>
          <w:szCs w:val="20"/>
          <w:lang w:val="en-US"/>
        </w:rPr>
        <w:fldChar w:fldCharType="separate"/>
      </w:r>
      <w:r w:rsidR="003253AB" w:rsidRPr="003253AB">
        <w:rPr>
          <w:rFonts w:ascii="Arial" w:hAnsi="Arial" w:cs="Arial"/>
          <w:noProof/>
          <w:sz w:val="20"/>
          <w:szCs w:val="20"/>
          <w:lang w:val="en-US"/>
        </w:rPr>
        <w:t>Julkunen-Tiitto</w:t>
      </w:r>
      <w:r w:rsidR="00E66301">
        <w:rPr>
          <w:rFonts w:ascii="Arial" w:hAnsi="Arial" w:cs="Arial"/>
          <w:noProof/>
          <w:sz w:val="20"/>
          <w:szCs w:val="20"/>
          <w:lang w:val="en-US"/>
        </w:rPr>
        <w:t xml:space="preserve"> </w:t>
      </w:r>
      <w:r w:rsidR="003253AB">
        <w:rPr>
          <w:rFonts w:ascii="Arial" w:hAnsi="Arial" w:cs="Arial"/>
          <w:noProof/>
          <w:sz w:val="20"/>
          <w:szCs w:val="20"/>
          <w:lang w:val="en-US"/>
        </w:rPr>
        <w:t>(</w:t>
      </w:r>
      <w:r w:rsidR="003253AB" w:rsidRPr="003253AB">
        <w:rPr>
          <w:rFonts w:ascii="Arial" w:hAnsi="Arial" w:cs="Arial"/>
          <w:noProof/>
          <w:sz w:val="20"/>
          <w:szCs w:val="20"/>
          <w:lang w:val="en-US"/>
        </w:rPr>
        <w:t>1985)</w:t>
      </w:r>
      <w:r w:rsidR="003253AB">
        <w:rPr>
          <w:rFonts w:ascii="Arial" w:hAnsi="Arial" w:cs="Arial"/>
          <w:sz w:val="20"/>
          <w:szCs w:val="20"/>
          <w:lang w:val="en-US"/>
        </w:rPr>
        <w:fldChar w:fldCharType="end"/>
      </w:r>
      <w:r w:rsidR="003253AB">
        <w:rPr>
          <w:rFonts w:ascii="Arial" w:hAnsi="Arial" w:cs="Arial"/>
          <w:sz w:val="20"/>
          <w:szCs w:val="20"/>
          <w:lang w:val="en-US"/>
        </w:rPr>
        <w:t>.</w:t>
      </w:r>
      <w:r w:rsidRPr="00380BA4">
        <w:rPr>
          <w:rFonts w:ascii="Arial" w:hAnsi="Arial" w:cs="Arial"/>
          <w:sz w:val="20"/>
          <w:szCs w:val="20"/>
          <w:lang w:val="en-US"/>
        </w:rPr>
        <w:t xml:space="preserve">A volume of 500 µl of each extract was added to 1500 µl of the 4% vanillin/methanol solution and then mixed vigorously. Next, a volume of 750 µl of concentrated hydrochloric acid (HCl) was added. The resulting mixture was allowed to react at room temperature for </w:t>
      </w:r>
      <w:r w:rsidRPr="00380BA4">
        <w:rPr>
          <w:rFonts w:ascii="Arial" w:hAnsi="Arial" w:cs="Arial"/>
          <w:sz w:val="20"/>
          <w:szCs w:val="20"/>
          <w:lang w:val="en-US"/>
        </w:rPr>
        <w:lastRenderedPageBreak/>
        <w:t xml:space="preserve">20 minutes. The absorbance was measured at 550 nm against a blank. Different concentrations ranging from 0 to </w:t>
      </w:r>
      <w:r w:rsidR="008E46ED" w:rsidRPr="00380BA4">
        <w:rPr>
          <w:rFonts w:ascii="Arial" w:hAnsi="Arial" w:cs="Arial"/>
          <w:sz w:val="20"/>
          <w:szCs w:val="20"/>
          <w:lang w:val="en-US"/>
        </w:rPr>
        <w:t xml:space="preserve">1000µg/ml </w:t>
      </w:r>
      <w:r w:rsidRPr="00380BA4">
        <w:rPr>
          <w:rFonts w:ascii="Arial" w:hAnsi="Arial" w:cs="Arial"/>
          <w:sz w:val="20"/>
          <w:szCs w:val="20"/>
          <w:lang w:val="en-US"/>
        </w:rPr>
        <w:t>prepared from a stock solution of catechin were used to create the calibration curve.</w:t>
      </w:r>
    </w:p>
    <w:p w14:paraId="4F916060" w14:textId="77777777" w:rsidR="006D53B3" w:rsidRPr="006D53B3" w:rsidRDefault="006D53B3" w:rsidP="006D53B3">
      <w:pPr>
        <w:spacing w:after="0" w:line="240" w:lineRule="auto"/>
        <w:rPr>
          <w:rFonts w:ascii="CharisSIL" w:eastAsia="Times New Roman" w:hAnsi="CharisSIL" w:cs="Times New Roman"/>
          <w:color w:val="000000"/>
          <w:kern w:val="0"/>
          <w:sz w:val="16"/>
          <w:szCs w:val="16"/>
          <w:lang w:val="en-US" w:eastAsia="fr-FR"/>
          <w14:ligatures w14:val="none"/>
        </w:rPr>
      </w:pPr>
    </w:p>
    <w:p w14:paraId="61633E81" w14:textId="60F689FC" w:rsidR="009A731B" w:rsidRPr="00380BA4" w:rsidRDefault="009A731B" w:rsidP="009A731B">
      <w:pPr>
        <w:pStyle w:val="NormalWeb"/>
        <w:numPr>
          <w:ilvl w:val="1"/>
          <w:numId w:val="3"/>
        </w:numPr>
        <w:spacing w:before="0" w:beforeAutospacing="0" w:line="360" w:lineRule="auto"/>
        <w:rPr>
          <w:rFonts w:ascii="Arial" w:hAnsi="Arial" w:cs="Arial"/>
          <w:b/>
          <w:bCs/>
          <w:color w:val="000000" w:themeColor="text1"/>
          <w:sz w:val="22"/>
          <w:szCs w:val="22"/>
          <w:lang w:val="en-US"/>
        </w:rPr>
      </w:pPr>
      <w:r w:rsidRPr="00380BA4">
        <w:rPr>
          <w:rFonts w:ascii="Arial" w:hAnsi="Arial" w:cs="Arial"/>
          <w:b/>
          <w:bCs/>
          <w:color w:val="000000" w:themeColor="text1"/>
          <w:sz w:val="22"/>
          <w:szCs w:val="22"/>
          <w:lang w:val="en-US"/>
        </w:rPr>
        <w:t xml:space="preserve">Evaluation of GLUT4 translocation </w:t>
      </w:r>
      <w:r w:rsidR="000452B1" w:rsidRPr="00380BA4">
        <w:rPr>
          <w:rFonts w:ascii="Arial" w:hAnsi="Arial" w:cs="Arial"/>
          <w:b/>
          <w:bCs/>
          <w:color w:val="000000" w:themeColor="text1"/>
          <w:sz w:val="22"/>
          <w:szCs w:val="22"/>
          <w:lang w:val="en-US"/>
        </w:rPr>
        <w:t>activity</w:t>
      </w:r>
    </w:p>
    <w:p w14:paraId="3761C6FC" w14:textId="77777777" w:rsidR="009A731B" w:rsidRPr="00380BA4" w:rsidRDefault="009A731B" w:rsidP="009A731B">
      <w:pPr>
        <w:pStyle w:val="NormalWeb"/>
        <w:spacing w:before="0" w:beforeAutospacing="0" w:line="360" w:lineRule="auto"/>
        <w:rPr>
          <w:rFonts w:ascii="Arial" w:hAnsi="Arial" w:cs="Arial"/>
          <w:sz w:val="20"/>
          <w:szCs w:val="20"/>
          <w:lang w:val="en-US"/>
        </w:rPr>
      </w:pPr>
      <w:r w:rsidRPr="00380BA4">
        <w:rPr>
          <w:rFonts w:ascii="Arial" w:hAnsi="Arial" w:cs="Arial"/>
          <w:color w:val="000000" w:themeColor="text1"/>
          <w:sz w:val="20"/>
          <w:szCs w:val="20"/>
          <w:lang w:val="en-US"/>
        </w:rPr>
        <w:t xml:space="preserve">GLUT4-myc-GFP cells were cultivated in 96-well imaging plates overnight to avoid light disturbances. The cell culture medium was aspirated, and after washing the cells with HBSS, it was replaced with HBSS for 3 h. The cells were incubated with insulin or the dissolved samples at different concentrations (extracts, fractions, and pure compounds) in KRPH buffer and imaged on an Olympus IX-81 inverted microscope in </w:t>
      </w:r>
      <w:r w:rsidRPr="00380BA4">
        <w:rPr>
          <w:rFonts w:ascii="Arial" w:hAnsi="Arial" w:cs="Arial"/>
          <w:sz w:val="20"/>
          <w:szCs w:val="20"/>
          <w:lang w:val="en-US"/>
        </w:rPr>
        <w:t>a total internal reflection (TIR) configuration via a Plan-Apochromat Olympus 60 NA = 1.49 objective lens</w:t>
      </w:r>
      <w:r w:rsidRPr="00380BA4">
        <w:rPr>
          <w:rFonts w:ascii="Arial" w:hAnsi="Arial" w:cs="Arial"/>
          <w:color w:val="000000" w:themeColor="text1"/>
          <w:sz w:val="20"/>
          <w:szCs w:val="20"/>
          <w:lang w:val="en-US"/>
        </w:rPr>
        <w:t xml:space="preserve">. The 96-well plates were placed on an x–y stage (CMR-STG-MHIX2 motorized table). Scanning of larger areas was supported by </w:t>
      </w:r>
      <w:r w:rsidRPr="00380BA4">
        <w:rPr>
          <w:rFonts w:ascii="Arial" w:hAnsi="Arial" w:cs="Arial"/>
          <w:sz w:val="20"/>
          <w:szCs w:val="20"/>
          <w:lang w:val="en-US"/>
        </w:rPr>
        <w:t>an automated focus maintenance system guided by laser</w:t>
      </w:r>
      <w:r w:rsidRPr="00380BA4">
        <w:rPr>
          <w:rFonts w:ascii="Arial" w:hAnsi="Arial" w:cs="Arial"/>
          <w:color w:val="000000" w:themeColor="text1"/>
          <w:sz w:val="20"/>
          <w:szCs w:val="20"/>
          <w:lang w:val="en-US"/>
        </w:rPr>
        <w:t xml:space="preserve"> (ZDC2). </w:t>
      </w:r>
      <w:r w:rsidRPr="00380BA4">
        <w:rPr>
          <w:rFonts w:ascii="Arial" w:hAnsi="Arial" w:cs="Arial"/>
          <w:sz w:val="20"/>
          <w:szCs w:val="20"/>
          <w:lang w:val="en-US"/>
        </w:rPr>
        <w:t xml:space="preserve">Emission at 488 nm from a diode laser was used to image the fluorescence of the green fluorescent protein (GFP). After appropriate filtering, the fluorescence signal was recorded using an Orca-R2 CCD camera, allowing for the deduction of transporter percentages. Human insulin (Sigma Aldrich, </w:t>
      </w:r>
      <w:proofErr w:type="spellStart"/>
      <w:r w:rsidRPr="00380BA4">
        <w:rPr>
          <w:rFonts w:ascii="Arial" w:hAnsi="Arial" w:cs="Arial"/>
          <w:sz w:val="20"/>
          <w:szCs w:val="20"/>
          <w:lang w:val="en-US"/>
        </w:rPr>
        <w:t>Schnelldorf</w:t>
      </w:r>
      <w:proofErr w:type="spellEnd"/>
      <w:r w:rsidRPr="00380BA4">
        <w:rPr>
          <w:rFonts w:ascii="Arial" w:hAnsi="Arial" w:cs="Arial"/>
          <w:sz w:val="20"/>
          <w:szCs w:val="20"/>
          <w:lang w:val="en-US"/>
        </w:rPr>
        <w:t>, Germany) was used as the reference hormone. The results obtained were expressed as a percentage of insulin (%Insulin).</w:t>
      </w:r>
    </w:p>
    <w:p w14:paraId="3D1B8F82" w14:textId="2C0828BD" w:rsidR="009A731B" w:rsidRPr="00380BA4" w:rsidRDefault="009A731B" w:rsidP="009A731B">
      <w:pPr>
        <w:pStyle w:val="NormalWeb"/>
        <w:numPr>
          <w:ilvl w:val="1"/>
          <w:numId w:val="3"/>
        </w:numPr>
        <w:spacing w:line="360" w:lineRule="auto"/>
        <w:rPr>
          <w:rFonts w:ascii="Arial" w:hAnsi="Arial" w:cs="Arial"/>
          <w:b/>
          <w:bCs/>
          <w:color w:val="000000" w:themeColor="text1"/>
          <w:sz w:val="22"/>
          <w:szCs w:val="22"/>
          <w:lang w:val="en-US"/>
        </w:rPr>
      </w:pPr>
      <w:r w:rsidRPr="00380BA4">
        <w:rPr>
          <w:rFonts w:ascii="Arial" w:hAnsi="Arial" w:cs="Arial"/>
          <w:b/>
          <w:bCs/>
          <w:color w:val="000000" w:themeColor="text1"/>
          <w:sz w:val="22"/>
          <w:szCs w:val="22"/>
          <w:lang w:val="en-US"/>
        </w:rPr>
        <w:t xml:space="preserve">UPLC-UV-ESI-TOF-MS analysis of extract  </w:t>
      </w:r>
    </w:p>
    <w:p w14:paraId="535274BF" w14:textId="12B8B4F5" w:rsidR="006163FB" w:rsidRPr="00380BA4" w:rsidRDefault="009A731B" w:rsidP="006A76B2">
      <w:pPr>
        <w:pStyle w:val="NormalWeb"/>
        <w:spacing w:line="360" w:lineRule="auto"/>
        <w:rPr>
          <w:rFonts w:ascii="Arial" w:hAnsi="Arial" w:cs="Arial"/>
          <w:sz w:val="20"/>
          <w:szCs w:val="20"/>
          <w:lang w:val="en-US"/>
        </w:rPr>
      </w:pPr>
      <w:r w:rsidRPr="00380BA4">
        <w:rPr>
          <w:rFonts w:ascii="Arial" w:hAnsi="Arial" w:cs="Arial"/>
          <w:sz w:val="20"/>
          <w:szCs w:val="20"/>
          <w:lang w:val="en-US"/>
        </w:rPr>
        <w:t xml:space="preserve">Aliquots of the extracts (1 ml each) were analyzed using UPLC/ESI-TOF-MS on a mass spectrometer coupled with an </w:t>
      </w:r>
      <w:proofErr w:type="spellStart"/>
      <w:r w:rsidRPr="00380BA4">
        <w:rPr>
          <w:rFonts w:ascii="Arial" w:hAnsi="Arial" w:cs="Arial"/>
          <w:sz w:val="20"/>
          <w:szCs w:val="20"/>
          <w:lang w:val="en-US"/>
        </w:rPr>
        <w:t>Acquity</w:t>
      </w:r>
      <w:proofErr w:type="spellEnd"/>
      <w:r w:rsidRPr="00380BA4">
        <w:rPr>
          <w:rFonts w:ascii="Arial" w:hAnsi="Arial" w:cs="Arial"/>
          <w:sz w:val="20"/>
          <w:szCs w:val="20"/>
          <w:lang w:val="en-US"/>
        </w:rPr>
        <w:t xml:space="preserve"> UPLC central system (Waters, Milford, MA, USA) equipped with a BEH C18 column (2 × 150 mm, 1.7 </w:t>
      </w:r>
      <w:r w:rsidRPr="00380BA4">
        <w:rPr>
          <w:rFonts w:ascii="Arial" w:hAnsi="Arial" w:cs="Arial"/>
          <w:sz w:val="20"/>
          <w:szCs w:val="20"/>
        </w:rPr>
        <w:t>μ</w:t>
      </w:r>
      <w:r w:rsidRPr="00380BA4">
        <w:rPr>
          <w:rFonts w:ascii="Arial" w:hAnsi="Arial" w:cs="Arial"/>
          <w:sz w:val="20"/>
          <w:szCs w:val="20"/>
          <w:lang w:val="en-US"/>
        </w:rPr>
        <w:t xml:space="preserve">m) (Waters, Manchester). Operated at a flow rate of 0.5 ml/min at 40 °C, the following gradient was used for chromatography: starting with a mixture (99/1, v/v, A/B) of acetonitrile and aqueous formic acid (0.1% in water; A) and acetonitrile (B), the B content was increased to 100% over 10 mins. The scan time for the </w:t>
      </w:r>
      <w:proofErr w:type="spellStart"/>
      <w:r w:rsidRPr="00380BA4">
        <w:rPr>
          <w:rFonts w:ascii="Arial" w:hAnsi="Arial" w:cs="Arial"/>
          <w:sz w:val="20"/>
          <w:szCs w:val="20"/>
          <w:lang w:val="en-US"/>
        </w:rPr>
        <w:t>MSe</w:t>
      </w:r>
      <w:proofErr w:type="spellEnd"/>
      <w:r w:rsidRPr="00380BA4">
        <w:rPr>
          <w:rFonts w:ascii="Arial" w:hAnsi="Arial" w:cs="Arial"/>
          <w:sz w:val="20"/>
          <w:szCs w:val="20"/>
          <w:lang w:val="en-US"/>
        </w:rPr>
        <w:t xml:space="preserve"> (centroid) method was set to 0.2 seconds. Analyses were performed in negative ESI mode at high resolution using the following ion source parameters: capillary voltage + 2.5 kV, sampling cone 20 V, source offset 40 V, source temperature 120</w:t>
      </w:r>
      <w:r w:rsidR="00A761EA" w:rsidRPr="00380BA4">
        <w:rPr>
          <w:rFonts w:ascii="Arial" w:hAnsi="Arial" w:cs="Arial"/>
          <w:sz w:val="20"/>
          <w:szCs w:val="20"/>
          <w:lang w:val="en-US"/>
        </w:rPr>
        <w:t xml:space="preserve"> </w:t>
      </w:r>
      <w:r w:rsidRPr="00380BA4">
        <w:rPr>
          <w:rFonts w:ascii="Arial" w:hAnsi="Arial" w:cs="Arial"/>
          <w:sz w:val="20"/>
          <w:szCs w:val="20"/>
          <w:lang w:val="en-US"/>
        </w:rPr>
        <w:t xml:space="preserve">°C, </w:t>
      </w:r>
      <w:proofErr w:type="spellStart"/>
      <w:r w:rsidRPr="00380BA4">
        <w:rPr>
          <w:rFonts w:ascii="Arial" w:hAnsi="Arial" w:cs="Arial"/>
          <w:sz w:val="20"/>
          <w:szCs w:val="20"/>
          <w:lang w:val="en-US"/>
        </w:rPr>
        <w:t>desolvation</w:t>
      </w:r>
      <w:proofErr w:type="spellEnd"/>
      <w:r w:rsidRPr="00380BA4">
        <w:rPr>
          <w:rFonts w:ascii="Arial" w:hAnsi="Arial" w:cs="Arial"/>
          <w:sz w:val="20"/>
          <w:szCs w:val="20"/>
          <w:lang w:val="en-US"/>
        </w:rPr>
        <w:t xml:space="preserve"> temperature 450 °C, cone gas flow 2 L/h, nebulizer 6.5 bar, and </w:t>
      </w:r>
      <w:proofErr w:type="spellStart"/>
      <w:r w:rsidRPr="00380BA4">
        <w:rPr>
          <w:rFonts w:ascii="Arial" w:hAnsi="Arial" w:cs="Arial"/>
          <w:sz w:val="20"/>
          <w:szCs w:val="20"/>
          <w:lang w:val="en-US"/>
        </w:rPr>
        <w:t>desolvation</w:t>
      </w:r>
      <w:proofErr w:type="spellEnd"/>
      <w:r w:rsidRPr="00380BA4">
        <w:rPr>
          <w:rFonts w:ascii="Arial" w:hAnsi="Arial" w:cs="Arial"/>
          <w:sz w:val="20"/>
          <w:szCs w:val="20"/>
          <w:lang w:val="en-US"/>
        </w:rPr>
        <w:t xml:space="preserve"> gas 850 L/h. Data processing was performed using </w:t>
      </w:r>
      <w:proofErr w:type="spellStart"/>
      <w:r w:rsidRPr="00380BA4">
        <w:rPr>
          <w:rFonts w:ascii="Arial" w:hAnsi="Arial" w:cs="Arial"/>
          <w:sz w:val="20"/>
          <w:szCs w:val="20"/>
          <w:lang w:val="en-US"/>
        </w:rPr>
        <w:t>MassLynx</w:t>
      </w:r>
      <w:proofErr w:type="spellEnd"/>
      <w:r w:rsidRPr="00380BA4">
        <w:rPr>
          <w:rFonts w:ascii="Arial" w:hAnsi="Arial" w:cs="Arial"/>
          <w:sz w:val="20"/>
          <w:szCs w:val="20"/>
          <w:lang w:val="en-US"/>
        </w:rPr>
        <w:t xml:space="preserve"> 4.1 SCN 9.16 (Waters, Manchester) and the elemental composition tool to determine accurate mass. The structures of the compounds were determined using elemental compositions combined with </w:t>
      </w:r>
      <w:proofErr w:type="spellStart"/>
      <w:r w:rsidRPr="00380BA4">
        <w:rPr>
          <w:rFonts w:ascii="Arial" w:hAnsi="Arial" w:cs="Arial"/>
          <w:sz w:val="20"/>
          <w:szCs w:val="20"/>
          <w:lang w:val="en-US"/>
        </w:rPr>
        <w:t>ChemSpider</w:t>
      </w:r>
      <w:proofErr w:type="spellEnd"/>
      <w:r w:rsidRPr="00380BA4">
        <w:rPr>
          <w:rFonts w:ascii="Arial" w:hAnsi="Arial" w:cs="Arial"/>
          <w:sz w:val="20"/>
          <w:szCs w:val="20"/>
          <w:lang w:val="en-US"/>
        </w:rPr>
        <w:t>, along with phytochemical studies.</w:t>
      </w:r>
    </w:p>
    <w:p w14:paraId="204F18AD" w14:textId="29CA34C6" w:rsidR="006A76B2" w:rsidRPr="00380BA4" w:rsidRDefault="006A76B2" w:rsidP="006A76B2">
      <w:pPr>
        <w:pStyle w:val="NormalWeb"/>
        <w:numPr>
          <w:ilvl w:val="1"/>
          <w:numId w:val="3"/>
        </w:numPr>
        <w:spacing w:line="360" w:lineRule="auto"/>
        <w:rPr>
          <w:rFonts w:ascii="Arial" w:hAnsi="Arial" w:cs="Arial"/>
          <w:b/>
          <w:bCs/>
          <w:sz w:val="20"/>
          <w:szCs w:val="20"/>
          <w:lang w:val="en-US"/>
        </w:rPr>
      </w:pPr>
      <w:r w:rsidRPr="00380BA4">
        <w:rPr>
          <w:rFonts w:ascii="Arial" w:hAnsi="Arial" w:cs="Arial"/>
          <w:b/>
          <w:bCs/>
          <w:sz w:val="22"/>
          <w:szCs w:val="22"/>
          <w:lang w:val="en-US"/>
        </w:rPr>
        <w:t xml:space="preserve">Statistical analysis </w:t>
      </w:r>
    </w:p>
    <w:p w14:paraId="2A1A836D" w14:textId="5302CFC1" w:rsidR="006A76B2" w:rsidRPr="00380BA4" w:rsidRDefault="006A76B2" w:rsidP="006A76B2">
      <w:pPr>
        <w:pStyle w:val="NormalWeb"/>
        <w:spacing w:line="360" w:lineRule="auto"/>
        <w:rPr>
          <w:rFonts w:ascii="Arial" w:hAnsi="Arial" w:cs="Arial"/>
          <w:sz w:val="20"/>
          <w:szCs w:val="20"/>
          <w:lang w:val="en-US"/>
        </w:rPr>
      </w:pPr>
      <w:r w:rsidRPr="00380BA4">
        <w:rPr>
          <w:rFonts w:ascii="Arial" w:hAnsi="Arial" w:cs="Arial"/>
          <w:sz w:val="20"/>
          <w:szCs w:val="20"/>
          <w:lang w:val="en-US"/>
        </w:rPr>
        <w:t>All analyses were conducted in triplicate (</w:t>
      </w:r>
      <w:r w:rsidRPr="00380BA4">
        <w:rPr>
          <w:rFonts w:ascii="Arial" w:hAnsi="Arial" w:cs="Arial"/>
          <w:i/>
          <w:iCs/>
          <w:sz w:val="20"/>
          <w:szCs w:val="20"/>
          <w:lang w:val="en-US"/>
        </w:rPr>
        <w:t xml:space="preserve">n </w:t>
      </w:r>
      <w:r w:rsidRPr="00380BA4">
        <w:rPr>
          <w:rFonts w:ascii="Arial" w:hAnsi="Arial" w:cs="Arial"/>
          <w:sz w:val="20"/>
          <w:szCs w:val="20"/>
          <w:lang w:val="en-US"/>
        </w:rPr>
        <w:t>= 3). Microsoft Excel 2016 software was employed for calculating means and standard de</w:t>
      </w:r>
      <w:r w:rsidRPr="00380BA4">
        <w:rPr>
          <w:rFonts w:ascii="Arial" w:hAnsi="Arial" w:cs="Arial"/>
          <w:sz w:val="20"/>
          <w:szCs w:val="20"/>
          <w:lang w:val="en-US"/>
        </w:rPr>
        <w:softHyphen/>
        <w:t xml:space="preserve">viations. </w:t>
      </w:r>
      <w:proofErr w:type="spellStart"/>
      <w:r w:rsidRPr="00380BA4">
        <w:rPr>
          <w:rFonts w:ascii="Arial" w:hAnsi="Arial" w:cs="Arial"/>
          <w:sz w:val="20"/>
          <w:szCs w:val="20"/>
          <w:lang w:val="en-US"/>
        </w:rPr>
        <w:t>Statgraphic</w:t>
      </w:r>
      <w:proofErr w:type="spellEnd"/>
      <w:r w:rsidRPr="00380BA4">
        <w:rPr>
          <w:rFonts w:ascii="Arial" w:hAnsi="Arial" w:cs="Arial"/>
          <w:sz w:val="20"/>
          <w:szCs w:val="20"/>
          <w:lang w:val="en-US"/>
        </w:rPr>
        <w:t xml:space="preserve"> Centurion 15.2 software (</w:t>
      </w:r>
      <w:proofErr w:type="spellStart"/>
      <w:r w:rsidRPr="00380BA4">
        <w:rPr>
          <w:rFonts w:ascii="Arial" w:hAnsi="Arial" w:cs="Arial"/>
          <w:sz w:val="20"/>
          <w:szCs w:val="20"/>
          <w:lang w:val="en-US"/>
        </w:rPr>
        <w:t>StatPoint</w:t>
      </w:r>
      <w:proofErr w:type="spellEnd"/>
      <w:r w:rsidRPr="00380BA4">
        <w:rPr>
          <w:rFonts w:ascii="Arial" w:hAnsi="Arial" w:cs="Arial"/>
          <w:sz w:val="20"/>
          <w:szCs w:val="20"/>
          <w:lang w:val="en-US"/>
        </w:rPr>
        <w:t xml:space="preserve"> Technologies, Inc., Warrenton, Virginia, USA) was utilized for analysis of variance (one </w:t>
      </w:r>
      <w:r w:rsidR="009422D6" w:rsidRPr="00380BA4">
        <w:rPr>
          <w:rFonts w:ascii="Arial" w:hAnsi="Arial" w:cs="Arial"/>
          <w:sz w:val="20"/>
          <w:szCs w:val="20"/>
          <w:lang w:val="en-US"/>
        </w:rPr>
        <w:t xml:space="preserve">way and multiple way </w:t>
      </w:r>
      <w:r w:rsidRPr="00380BA4">
        <w:rPr>
          <w:rFonts w:ascii="Arial" w:hAnsi="Arial" w:cs="Arial"/>
          <w:sz w:val="20"/>
          <w:szCs w:val="20"/>
          <w:lang w:val="en-US"/>
        </w:rPr>
        <w:t xml:space="preserve">Anova), and means were separated using the Duncan multiple range test at a significance threshold of </w:t>
      </w:r>
      <w:r w:rsidRPr="00380BA4">
        <w:rPr>
          <w:rFonts w:ascii="Arial" w:hAnsi="Arial" w:cs="Arial"/>
          <w:i/>
          <w:iCs/>
          <w:sz w:val="20"/>
          <w:szCs w:val="20"/>
          <w:lang w:val="en-US"/>
        </w:rPr>
        <w:t xml:space="preserve">P &lt; </w:t>
      </w:r>
      <w:r w:rsidRPr="00380BA4">
        <w:rPr>
          <w:rFonts w:ascii="Arial" w:hAnsi="Arial" w:cs="Arial"/>
          <w:sz w:val="20"/>
          <w:szCs w:val="20"/>
          <w:lang w:val="en-US"/>
        </w:rPr>
        <w:t xml:space="preserve">0.05. </w:t>
      </w:r>
      <w:proofErr w:type="spellStart"/>
      <w:r w:rsidRPr="00380BA4">
        <w:rPr>
          <w:rFonts w:ascii="Arial" w:hAnsi="Arial" w:cs="Arial"/>
          <w:sz w:val="20"/>
          <w:szCs w:val="20"/>
          <w:lang w:val="en-US"/>
        </w:rPr>
        <w:t>SigmaPlot</w:t>
      </w:r>
      <w:proofErr w:type="spellEnd"/>
      <w:r w:rsidRPr="00380BA4">
        <w:rPr>
          <w:rFonts w:ascii="Arial" w:hAnsi="Arial" w:cs="Arial"/>
          <w:sz w:val="20"/>
          <w:szCs w:val="20"/>
          <w:lang w:val="en-US"/>
        </w:rPr>
        <w:t xml:space="preserve"> 11.0 software (</w:t>
      </w:r>
      <w:proofErr w:type="spellStart"/>
      <w:r w:rsidRPr="00380BA4">
        <w:rPr>
          <w:rFonts w:ascii="Arial" w:hAnsi="Arial" w:cs="Arial"/>
          <w:sz w:val="20"/>
          <w:szCs w:val="20"/>
          <w:lang w:val="en-US"/>
        </w:rPr>
        <w:t>Systat</w:t>
      </w:r>
      <w:proofErr w:type="spellEnd"/>
      <w:r w:rsidRPr="00380BA4">
        <w:rPr>
          <w:rFonts w:ascii="Arial" w:hAnsi="Arial" w:cs="Arial"/>
          <w:sz w:val="20"/>
          <w:szCs w:val="20"/>
          <w:lang w:val="en-US"/>
        </w:rPr>
        <w:t xml:space="preserve"> Software, Inc., 1735 Technology Drive, Suite 430, San Jose, CA 95,110, USA) was employed for graph plotting.</w:t>
      </w:r>
    </w:p>
    <w:p w14:paraId="0475570C" w14:textId="4F7FE0ED" w:rsidR="00BD32E8" w:rsidRPr="00380BA4" w:rsidRDefault="003730C8" w:rsidP="00BD32E8">
      <w:pPr>
        <w:pStyle w:val="ListParagraph"/>
        <w:numPr>
          <w:ilvl w:val="0"/>
          <w:numId w:val="1"/>
        </w:numPr>
        <w:spacing w:line="360" w:lineRule="auto"/>
        <w:jc w:val="both"/>
        <w:rPr>
          <w:rFonts w:ascii="Arial" w:hAnsi="Arial" w:cs="Arial"/>
          <w:b/>
          <w:bCs/>
          <w:lang w:val="en-US"/>
        </w:rPr>
      </w:pPr>
      <w:r w:rsidRPr="00380BA4">
        <w:rPr>
          <w:rFonts w:ascii="Arial" w:hAnsi="Arial" w:cs="Arial"/>
          <w:b/>
          <w:bCs/>
          <w:lang w:val="en-US"/>
        </w:rPr>
        <w:lastRenderedPageBreak/>
        <w:t>RESULTS AND DISCUSSION</w:t>
      </w:r>
    </w:p>
    <w:p w14:paraId="119F7495" w14:textId="09CC7A1D" w:rsidR="006163FB" w:rsidRPr="00380BA4" w:rsidRDefault="000C6D82" w:rsidP="00081A72">
      <w:pPr>
        <w:pStyle w:val="ListParagraph"/>
        <w:spacing w:after="0" w:line="240" w:lineRule="auto"/>
        <w:ind w:left="360"/>
        <w:jc w:val="both"/>
        <w:rPr>
          <w:rFonts w:ascii="Arial" w:hAnsi="Arial" w:cs="Arial"/>
          <w:b/>
          <w:bCs/>
          <w:sz w:val="26"/>
          <w:szCs w:val="26"/>
          <w:lang w:val="en-US"/>
        </w:rPr>
      </w:pPr>
      <w:r w:rsidRPr="00380BA4">
        <w:rPr>
          <w:rFonts w:ascii="Arial" w:hAnsi="Arial" w:cs="Arial"/>
          <w:b/>
          <w:bCs/>
          <w:sz w:val="26"/>
          <w:szCs w:val="26"/>
          <w:lang w:val="en-US"/>
        </w:rPr>
        <w:t xml:space="preserve"> </w:t>
      </w:r>
    </w:p>
    <w:p w14:paraId="43EBD46C" w14:textId="4794C993" w:rsidR="006163FB" w:rsidRPr="00380BA4" w:rsidRDefault="000D5690" w:rsidP="000D5690">
      <w:pPr>
        <w:pStyle w:val="ListParagraph"/>
        <w:numPr>
          <w:ilvl w:val="1"/>
          <w:numId w:val="1"/>
        </w:numPr>
        <w:tabs>
          <w:tab w:val="left" w:pos="567"/>
        </w:tabs>
        <w:spacing w:line="360" w:lineRule="auto"/>
        <w:jc w:val="both"/>
        <w:rPr>
          <w:rFonts w:ascii="Arial" w:hAnsi="Arial" w:cs="Arial"/>
          <w:b/>
          <w:bCs/>
        </w:rPr>
      </w:pPr>
      <w:proofErr w:type="spellStart"/>
      <w:r>
        <w:rPr>
          <w:rFonts w:ascii="Arial" w:hAnsi="Arial" w:cs="Arial"/>
          <w:b/>
          <w:bCs/>
        </w:rPr>
        <w:t>Moisture</w:t>
      </w:r>
      <w:proofErr w:type="spellEnd"/>
      <w:r>
        <w:rPr>
          <w:rFonts w:ascii="Arial" w:hAnsi="Arial" w:cs="Arial"/>
          <w:b/>
          <w:bCs/>
        </w:rPr>
        <w:t xml:space="preserve"> c</w:t>
      </w:r>
      <w:r w:rsidR="00CC42DC" w:rsidRPr="00380BA4">
        <w:rPr>
          <w:rFonts w:ascii="Arial" w:hAnsi="Arial" w:cs="Arial"/>
          <w:b/>
          <w:bCs/>
        </w:rPr>
        <w:t xml:space="preserve">ontent </w:t>
      </w:r>
    </w:p>
    <w:p w14:paraId="7BEB858C" w14:textId="0F0320D5" w:rsidR="003816B7" w:rsidRPr="00380BA4" w:rsidRDefault="003816B7" w:rsidP="00245B33">
      <w:pPr>
        <w:spacing w:line="360" w:lineRule="auto"/>
        <w:jc w:val="both"/>
        <w:rPr>
          <w:rFonts w:ascii="Arial" w:hAnsi="Arial" w:cs="Arial"/>
          <w:sz w:val="20"/>
          <w:szCs w:val="20"/>
          <w:lang w:val="en-US"/>
        </w:rPr>
      </w:pPr>
      <w:r w:rsidRPr="00380BA4">
        <w:rPr>
          <w:rFonts w:ascii="Arial" w:hAnsi="Arial" w:cs="Arial"/>
          <w:sz w:val="20"/>
          <w:szCs w:val="20"/>
          <w:lang w:val="en-US"/>
        </w:rPr>
        <w:t xml:space="preserve">Moisture content is a key factor that affects the biological stability of a food. This moisture must be removed or significantly reduced to extend the shelf life of the food. To this end, the moisture contents of the powders from the leaves of </w:t>
      </w:r>
      <w:r w:rsidRPr="00380BA4">
        <w:rPr>
          <w:rFonts w:ascii="Arial" w:hAnsi="Arial" w:cs="Arial"/>
          <w:i/>
          <w:iCs/>
          <w:sz w:val="20"/>
          <w:szCs w:val="20"/>
          <w:lang w:val="en-US"/>
        </w:rPr>
        <w:t>A. digitata</w:t>
      </w:r>
      <w:r w:rsidRPr="00380BA4">
        <w:rPr>
          <w:rFonts w:ascii="Arial" w:hAnsi="Arial" w:cs="Arial"/>
          <w:sz w:val="20"/>
          <w:szCs w:val="20"/>
          <w:lang w:val="en-US"/>
        </w:rPr>
        <w:t xml:space="preserve">, </w:t>
      </w:r>
      <w:r w:rsidRPr="00380BA4">
        <w:rPr>
          <w:rFonts w:ascii="Arial" w:hAnsi="Arial" w:cs="Arial"/>
          <w:i/>
          <w:iCs/>
          <w:sz w:val="20"/>
          <w:szCs w:val="20"/>
          <w:lang w:val="en-US"/>
        </w:rPr>
        <w:t xml:space="preserve">C. </w:t>
      </w:r>
      <w:proofErr w:type="spellStart"/>
      <w:r w:rsidRPr="00380BA4">
        <w:rPr>
          <w:rFonts w:ascii="Arial" w:hAnsi="Arial" w:cs="Arial"/>
          <w:i/>
          <w:iCs/>
          <w:sz w:val="20"/>
          <w:szCs w:val="20"/>
          <w:lang w:val="en-US"/>
        </w:rPr>
        <w:t>olitorius</w:t>
      </w:r>
      <w:proofErr w:type="spellEnd"/>
      <w:r w:rsidRPr="00380BA4">
        <w:rPr>
          <w:rFonts w:ascii="Arial" w:hAnsi="Arial" w:cs="Arial"/>
          <w:sz w:val="20"/>
          <w:szCs w:val="20"/>
          <w:lang w:val="en-US"/>
        </w:rPr>
        <w:t xml:space="preserve">, and the bark of </w:t>
      </w:r>
      <w:r w:rsidRPr="00380BA4">
        <w:rPr>
          <w:rFonts w:ascii="Arial" w:hAnsi="Arial" w:cs="Arial"/>
          <w:i/>
          <w:iCs/>
          <w:sz w:val="20"/>
          <w:szCs w:val="20"/>
          <w:lang w:val="en-US"/>
        </w:rPr>
        <w:t>T. cordifolia</w:t>
      </w:r>
      <w:r w:rsidRPr="00380BA4">
        <w:rPr>
          <w:rFonts w:ascii="Arial" w:hAnsi="Arial" w:cs="Arial"/>
          <w:sz w:val="20"/>
          <w:szCs w:val="20"/>
          <w:lang w:val="en-US"/>
        </w:rPr>
        <w:t xml:space="preserve"> were evaluated and presented in Table 1. It was observed that they varied significantly from 5.89 ± 0.02 to 12.50 ± 1.50 g/100g DM. These values indicate that, regardless of the powder studied, the obtained moisture contents do not favor the development of microorganisms that could degrade the hygienic quality of the powders. They are below 15 g/100g DM, the maximum value beyond which any biological degradation of food is possible </w:t>
      </w:r>
      <w:r w:rsidRPr="00380BA4">
        <w:rPr>
          <w:rFonts w:ascii="Arial" w:hAnsi="Arial" w:cs="Arial"/>
          <w:sz w:val="20"/>
          <w:szCs w:val="20"/>
        </w:rPr>
        <w:fldChar w:fldCharType="begin" w:fldLock="1"/>
      </w:r>
      <w:r w:rsidRPr="00380BA4">
        <w:rPr>
          <w:rFonts w:ascii="Arial" w:hAnsi="Arial" w:cs="Arial"/>
          <w:sz w:val="20"/>
          <w:szCs w:val="20"/>
          <w:lang w:val="en-US"/>
        </w:rPr>
        <w:instrText>ADDIN CSL_CITATION {"citationItems":[{"id":"ITEM-1","itemData":{"DOI":"10.1016/j.lwt.2010.06.036","ISSN":"00236438","abstract":"Extruded snacks were prepared from flour blends made with taro and nixtamalized (TF-NMF) or non-nixtamalized maize (TF-MF) using a single-screw extruder. A central composite design was used to investigate the effects of taro flour proportion in formulations (0-100 g/100 g) and extrusion temperatures (140-180 °C) on the following indices: expansion (EI), water solubility (WSI), water absorption (WAI) and fat absorption (FAI). Moreover, selected TF-NMF and TF-MF extruded products were partially characterized through proximate chemical analysis, resistant starch, color, pH, water activity, apparent density, hardness, and sensory analysis. Results indicated that EI and WSI of both TF-MF and TF-NMF extrudates were significantly increased by the use of higher proportions of taro flour, while the opposite behavior was observed for the FAI (p &lt; 0.05). Taro flour at higher proportions in both extrudates did not produce a significant change of WAI, while the use of higher extrusion temperatures only caused a significant increase of FAI in TF-MF extrudates (p &lt; 0.05). This study showed that flour mixtures made from taro and nixtamalized maize flour produced puffed extruded snacks with good consumer acceptance. © 2010 Elsevier Ltd.","author":[{"dropping-particle":"","family":"Rodríguez-Miranda","given":"J.","non-dropping-particle":"","parse-names":false,"suffix":""},{"dropping-particle":"","family":"Ruiz-López","given":"I. I.","non-dropping-particle":"","parse-names":false,"suffix":""},{"dropping-particle":"","family":"Herman-Lara","given":"E.","non-dropping-particle":"","parse-names":false,"suffix":""},{"dropping-particle":"","family":"Martínez-Sánchez","given":"C. E.","non-dropping-particle":"","parse-names":false,"suffix":""},{"dropping-particle":"","family":"Delgado-Licon","given":"E.","non-dropping-particle":"","parse-names":false,"suffix":""},{"dropping-particle":"","family":"Vivar-Vera","given":"M. A.","non-dropping-particle":"","parse-names":false,"suffix":""}],"container-title":"LWT","id":"ITEM-1","issue":"3","issued":{"date-parts":[["2011"]]},"page":"673-680","publisher":"Academic Press","title":"Development of extruded snacks using taro (Colocasia esculenta) and nixtamalized maize (Zea mays) flour blends","type":"article-journal","volume":"44"},"uris":["http://www.mendeley.com/documents/?uuid=3459299d-da3c-3581-85fb-008e1f9be45f"]}],"mendeley":{"formattedCitation":"(Rodríguez-Miranda et al., 2011)","plainTextFormattedCitation":"(Rodríguez-Miranda et al., 2011)","previouslyFormattedCitation":"(Rodríguez-Miranda et al., 2011)"},"properties":{"noteIndex":0},"schema":"https://github.com/citation-style-language/schema/raw/master/csl-citation.json"}</w:instrText>
      </w:r>
      <w:r w:rsidRPr="00380BA4">
        <w:rPr>
          <w:rFonts w:ascii="Arial" w:hAnsi="Arial" w:cs="Arial"/>
          <w:sz w:val="20"/>
          <w:szCs w:val="20"/>
        </w:rPr>
        <w:fldChar w:fldCharType="separate"/>
      </w:r>
      <w:r w:rsidRPr="00380BA4">
        <w:rPr>
          <w:rFonts w:ascii="Arial" w:hAnsi="Arial" w:cs="Arial"/>
          <w:noProof/>
          <w:sz w:val="20"/>
          <w:szCs w:val="20"/>
          <w:lang w:val="en-US"/>
        </w:rPr>
        <w:t>(Rodríguez-Miranda et al., 2011)</w:t>
      </w:r>
      <w:r w:rsidRPr="00380BA4">
        <w:rPr>
          <w:rFonts w:ascii="Arial" w:hAnsi="Arial" w:cs="Arial"/>
          <w:sz w:val="20"/>
          <w:szCs w:val="20"/>
        </w:rPr>
        <w:fldChar w:fldCharType="end"/>
      </w:r>
      <w:r w:rsidRPr="00380BA4">
        <w:rPr>
          <w:rFonts w:ascii="Arial" w:hAnsi="Arial" w:cs="Arial"/>
          <w:sz w:val="20"/>
          <w:szCs w:val="20"/>
          <w:lang w:val="en-US"/>
        </w:rPr>
        <w:t xml:space="preserve">. These results are similar to those (5.90 to 13.00 g/100g DM) reported by several authors on powders from various plant matrices </w:t>
      </w:r>
      <w:r w:rsidRPr="00380BA4">
        <w:rPr>
          <w:rFonts w:ascii="Arial" w:hAnsi="Arial" w:cs="Arial"/>
          <w:sz w:val="20"/>
          <w:szCs w:val="20"/>
        </w:rPr>
        <w:fldChar w:fldCharType="begin" w:fldLock="1"/>
      </w:r>
      <w:r w:rsidR="009A02E1">
        <w:rPr>
          <w:rFonts w:ascii="Arial" w:hAnsi="Arial" w:cs="Arial"/>
          <w:sz w:val="20"/>
          <w:szCs w:val="20"/>
          <w:lang w:val="en-US"/>
        </w:rPr>
        <w:instrText>ADDIN CSL_CITATION {"citationItems":[{"id":"ITEM-1","itemData":{"author":[{"dropping-particle":"","family":"Assiéné","given":"Agamou Julien Armel","non-dropping-particle":"","parse-names":false,"suffix":""},{"dropping-particle":"","family":"Fombang","given":"Edith N","non-dropping-particle":"","parse-names":false,"suffix":""},{"dropping-particle":"","family":"Mbofung","given":"Carl M F","non-dropping-particle":"","parse-names":false,"suffix":""}],"container-title":"Journal of Experimental Biology and Agricultural Sciences","id":"ITEM-1","issue":"2320","issued":{"date-parts":[["2015"]]},"page":"541-555","title":"Particular benefits can be attributed to Moringa oleifera Lam leaves based on origin and stage of maturity","type":"article-journal","volume":"3"},"uris":["http://www.mendeley.com/documents/?uuid=ad6677fd-8485-431e-b9d6-9c126b256813"]}],"mendeley":{"formattedCitation":"(Assiéné et al., 2015)","manualFormatting":"(Assiéné et al., 2015","plainTextFormattedCitation":"(Assiéné et al., 2015)","previouslyFormattedCitation":"(Assiéné et al., 2015)"},"properties":{"noteIndex":0},"schema":"https://github.com/citation-style-language/schema/raw/master/csl-citation.json"}</w:instrText>
      </w:r>
      <w:r w:rsidRPr="00380BA4">
        <w:rPr>
          <w:rFonts w:ascii="Arial" w:hAnsi="Arial" w:cs="Arial"/>
          <w:sz w:val="20"/>
          <w:szCs w:val="20"/>
        </w:rPr>
        <w:fldChar w:fldCharType="separate"/>
      </w:r>
      <w:r w:rsidRPr="00380BA4">
        <w:rPr>
          <w:rFonts w:ascii="Arial" w:hAnsi="Arial" w:cs="Arial"/>
          <w:noProof/>
          <w:sz w:val="20"/>
          <w:szCs w:val="20"/>
          <w:lang w:val="en-US"/>
        </w:rPr>
        <w:t>(Assiéné et al., 2015</w:t>
      </w:r>
      <w:r w:rsidRPr="00380BA4">
        <w:rPr>
          <w:rFonts w:ascii="Arial" w:hAnsi="Arial" w:cs="Arial"/>
          <w:sz w:val="20"/>
          <w:szCs w:val="20"/>
        </w:rPr>
        <w:fldChar w:fldCharType="end"/>
      </w:r>
      <w:r w:rsidR="000D5690">
        <w:rPr>
          <w:rFonts w:ascii="Arial" w:hAnsi="Arial" w:cs="Arial"/>
          <w:sz w:val="20"/>
          <w:szCs w:val="20"/>
          <w:lang w:val="en-US"/>
        </w:rPr>
        <w:t xml:space="preserve"> </w:t>
      </w:r>
      <w:r w:rsidRPr="00380BA4">
        <w:rPr>
          <w:rFonts w:ascii="Arial" w:hAnsi="Arial" w:cs="Arial"/>
          <w:sz w:val="20"/>
          <w:szCs w:val="20"/>
        </w:rPr>
        <w:fldChar w:fldCharType="begin" w:fldLock="1"/>
      </w:r>
      <w:r w:rsidR="000D5690">
        <w:rPr>
          <w:rFonts w:ascii="Arial" w:hAnsi="Arial" w:cs="Arial"/>
          <w:sz w:val="20"/>
          <w:szCs w:val="20"/>
          <w:lang w:val="en-US"/>
        </w:rPr>
        <w:instrText>ADDIN CSL_CITATION {"citationItems":[{"id":"ITEM-1","itemData":{"DOI":"10.1155/2024/2680085","author":[{"dropping-particle":"","family":"Assiéné","given":"Agamou Julien Armel","non-dropping-particle":"","parse-names":false,"suffix":""},{"dropping-particle":"","family":"Djeukeu","given":"Asongni William","non-dropping-particle":"","parse-names":false,"suffix":""},{"dropping-particle":"","family":"Tizé","given":"Zra","non-dropping-particle":"","parse-names":false,"suffix":""},{"dropping-particle":"","family":"Fongnzossié","given":"Fedoung Evariste","non-dropping-particle":"","parse-names":false,"suffix":""}],"container-title":"Journal of Food Processing and Preservation","id":"ITEM-1","issued":{"date-parts":[["2024"]]},"page":"10 p","title":"Comparative Evaluation of the Bioactive Potential of a Powder and the Particle Size Fractions of Plant Organs From Dacryodes edulis , Solanum torvum , and Curcuma longa","type":"article-journal","volume":"2024"},"uris":["http://www.mendeley.com/documents/?uuid=5d9d5bae-9fda-4990-bd18-93aed325c54f"]}],"mendeley":{"formattedCitation":"(Assiéné, Djeukeu, Tizé, et al., 2024)","manualFormatting":"; Assiéné, Djeukeu, Tizé, et al., 2024)","plainTextFormattedCitation":"(Assiéné, Djeukeu, Tizé, et al., 2024)","previouslyFormattedCitation":"(Assiéné, Djeukeu, Tizé, et al., 2024)"},"properties":{"noteIndex":0},"schema":"https://github.com/citation-style-language/schema/raw/master/csl-citation.json"}</w:instrText>
      </w:r>
      <w:r w:rsidRPr="00380BA4">
        <w:rPr>
          <w:rFonts w:ascii="Arial" w:hAnsi="Arial" w:cs="Arial"/>
          <w:sz w:val="20"/>
          <w:szCs w:val="20"/>
        </w:rPr>
        <w:fldChar w:fldCharType="separate"/>
      </w:r>
      <w:r w:rsidR="000D5690">
        <w:rPr>
          <w:rFonts w:ascii="Arial" w:hAnsi="Arial" w:cs="Arial"/>
          <w:noProof/>
          <w:sz w:val="20"/>
          <w:szCs w:val="20"/>
          <w:lang w:val="en-US"/>
        </w:rPr>
        <w:t xml:space="preserve">; </w:t>
      </w:r>
      <w:r w:rsidRPr="00380BA4">
        <w:rPr>
          <w:rFonts w:ascii="Arial" w:hAnsi="Arial" w:cs="Arial"/>
          <w:noProof/>
          <w:sz w:val="20"/>
          <w:szCs w:val="20"/>
          <w:lang w:val="en-US"/>
        </w:rPr>
        <w:t>Assiéné, Djeukeu, Tizé, et al., 2024)</w:t>
      </w:r>
      <w:r w:rsidRPr="00380BA4">
        <w:rPr>
          <w:rFonts w:ascii="Arial" w:hAnsi="Arial" w:cs="Arial"/>
          <w:sz w:val="20"/>
          <w:szCs w:val="20"/>
        </w:rPr>
        <w:fldChar w:fldCharType="end"/>
      </w:r>
      <w:r w:rsidRPr="00380BA4">
        <w:rPr>
          <w:rFonts w:ascii="Arial" w:hAnsi="Arial" w:cs="Arial"/>
          <w:sz w:val="20"/>
          <w:szCs w:val="20"/>
          <w:lang w:val="en-US"/>
        </w:rPr>
        <w:t>. Furthermore, moisture contents are also used to calculate the levels of many food constituents (proteins, carbohydrates, polyphenols, etc.)</w:t>
      </w:r>
      <w:r w:rsidR="000D5690">
        <w:rPr>
          <w:rFonts w:ascii="Arial" w:hAnsi="Arial" w:cs="Arial"/>
          <w:sz w:val="20"/>
          <w:szCs w:val="20"/>
          <w:lang w:val="en-US"/>
        </w:rPr>
        <w:t xml:space="preserve"> </w:t>
      </w:r>
      <w:r w:rsidRPr="00380BA4">
        <w:rPr>
          <w:rFonts w:ascii="Arial" w:hAnsi="Arial" w:cs="Arial"/>
          <w:sz w:val="20"/>
          <w:szCs w:val="20"/>
        </w:rPr>
        <w:fldChar w:fldCharType="begin" w:fldLock="1"/>
      </w:r>
      <w:r w:rsidRPr="00380BA4">
        <w:rPr>
          <w:rFonts w:ascii="Arial" w:hAnsi="Arial" w:cs="Arial"/>
          <w:sz w:val="20"/>
          <w:szCs w:val="20"/>
          <w:lang w:val="en-US"/>
        </w:rPr>
        <w:instrText>ADDIN CSL_CITATION {"citationItems":[{"id":"ITEM-1","itemData":{"author":[{"dropping-particle":"","family":"Nielsen","given":"Suzanne S.","non-dropping-particle":"","parse-names":false,"suffix":""}],"chapter-number":"3","container-title":"Food Analysis Laboratory Manuel","id":"ITEM-1","issued":{"date-parts":[["2009"]]},"page":"17-27","title":"Determination of Moisture Content","type":"chapter"},"uris":["http://www.mendeley.com/documents/?uuid=0a7a144d-1fe4-4f4b-8c7b-1205bb996b94"]}],"mendeley":{"formattedCitation":"(Nielsen, 2009)","plainTextFormattedCitation":"(Nielsen, 2009)","previouslyFormattedCitation":"(Nielsen, 2009)"},"properties":{"noteIndex":0},"schema":"https://github.com/citation-style-language/schema/raw/master/csl-citation.json"}</w:instrText>
      </w:r>
      <w:r w:rsidRPr="00380BA4">
        <w:rPr>
          <w:rFonts w:ascii="Arial" w:hAnsi="Arial" w:cs="Arial"/>
          <w:sz w:val="20"/>
          <w:szCs w:val="20"/>
        </w:rPr>
        <w:fldChar w:fldCharType="separate"/>
      </w:r>
      <w:r w:rsidRPr="00380BA4">
        <w:rPr>
          <w:rFonts w:ascii="Arial" w:hAnsi="Arial" w:cs="Arial"/>
          <w:noProof/>
          <w:sz w:val="20"/>
          <w:szCs w:val="20"/>
          <w:lang w:val="en-US"/>
        </w:rPr>
        <w:t>(Nielsen, 2009)</w:t>
      </w:r>
      <w:r w:rsidRPr="00380BA4">
        <w:rPr>
          <w:rFonts w:ascii="Arial" w:hAnsi="Arial" w:cs="Arial"/>
          <w:sz w:val="20"/>
          <w:szCs w:val="20"/>
        </w:rPr>
        <w:fldChar w:fldCharType="end"/>
      </w:r>
      <w:r w:rsidRPr="00380BA4">
        <w:rPr>
          <w:rFonts w:ascii="Arial" w:hAnsi="Arial" w:cs="Arial"/>
          <w:sz w:val="20"/>
          <w:szCs w:val="20"/>
          <w:lang w:val="en-US"/>
        </w:rPr>
        <w:t>. This highlights the importance of measuring moisture in the evaluation of the proximate composition of the studied powders.</w:t>
      </w:r>
    </w:p>
    <w:p w14:paraId="46FD91DB" w14:textId="1E2928DA" w:rsidR="006163FB" w:rsidRPr="00BC5F1D" w:rsidRDefault="006163FB" w:rsidP="006163FB">
      <w:pPr>
        <w:spacing w:line="360" w:lineRule="auto"/>
        <w:jc w:val="both"/>
        <w:rPr>
          <w:rFonts w:ascii="Arial" w:eastAsia="Calibri" w:hAnsi="Arial" w:cs="Arial"/>
          <w:sz w:val="20"/>
          <w:szCs w:val="20"/>
          <w:lang w:val="en-US"/>
        </w:rPr>
      </w:pPr>
      <w:bookmarkStart w:id="0" w:name="_Hlk189335684"/>
      <w:r w:rsidRPr="00BC5F1D">
        <w:rPr>
          <w:rFonts w:ascii="Arial" w:eastAsia="Calibri" w:hAnsi="Arial" w:cs="Arial"/>
          <w:b/>
          <w:sz w:val="20"/>
          <w:szCs w:val="20"/>
          <w:lang w:val="en-US"/>
        </w:rPr>
        <w:t xml:space="preserve">Table </w:t>
      </w:r>
      <w:r w:rsidR="00CC42DC" w:rsidRPr="00BC5F1D">
        <w:rPr>
          <w:rFonts w:ascii="Arial" w:eastAsia="Calibri" w:hAnsi="Arial" w:cs="Arial"/>
          <w:b/>
          <w:sz w:val="20"/>
          <w:szCs w:val="20"/>
          <w:lang w:val="en-US"/>
        </w:rPr>
        <w:t>1</w:t>
      </w:r>
      <w:r w:rsidR="00CC42DC" w:rsidRPr="00BC5F1D">
        <w:rPr>
          <w:rFonts w:ascii="Arial" w:eastAsia="Calibri" w:hAnsi="Arial" w:cs="Arial"/>
          <w:sz w:val="20"/>
          <w:szCs w:val="20"/>
          <w:lang w:val="en-US"/>
        </w:rPr>
        <w:t>:</w:t>
      </w:r>
      <w:r w:rsidRPr="00BC5F1D">
        <w:rPr>
          <w:rFonts w:ascii="Arial" w:eastAsia="Calibri" w:hAnsi="Arial" w:cs="Arial"/>
          <w:sz w:val="20"/>
          <w:szCs w:val="20"/>
          <w:lang w:val="en-US"/>
        </w:rPr>
        <w:t xml:space="preserve"> </w:t>
      </w:r>
      <w:r w:rsidR="00CC42DC" w:rsidRPr="00BC5F1D">
        <w:rPr>
          <w:rFonts w:ascii="Arial" w:eastAsia="Calibri" w:hAnsi="Arial" w:cs="Arial"/>
          <w:sz w:val="20"/>
          <w:szCs w:val="20"/>
          <w:lang w:val="en-US"/>
        </w:rPr>
        <w:t>Proximate composition</w:t>
      </w:r>
      <w:r w:rsidRPr="00BC5F1D">
        <w:rPr>
          <w:rFonts w:ascii="Arial" w:eastAsia="Calibri" w:hAnsi="Arial" w:cs="Arial"/>
          <w:sz w:val="20"/>
          <w:szCs w:val="20"/>
          <w:lang w:val="en-US"/>
        </w:rPr>
        <w:t xml:space="preserve"> (g/100g </w:t>
      </w:r>
      <w:r w:rsidR="00CC42DC" w:rsidRPr="00BC5F1D">
        <w:rPr>
          <w:rFonts w:ascii="Arial" w:eastAsia="Calibri" w:hAnsi="Arial" w:cs="Arial"/>
          <w:sz w:val="20"/>
          <w:szCs w:val="20"/>
          <w:lang w:val="en-US"/>
        </w:rPr>
        <w:t>DM</w:t>
      </w:r>
      <w:r w:rsidRPr="00BC5F1D">
        <w:rPr>
          <w:rFonts w:ascii="Arial" w:eastAsia="Calibri" w:hAnsi="Arial" w:cs="Arial"/>
          <w:sz w:val="20"/>
          <w:szCs w:val="20"/>
          <w:lang w:val="en-US"/>
        </w:rPr>
        <w:t xml:space="preserve">) </w:t>
      </w:r>
      <w:r w:rsidR="00CC42DC" w:rsidRPr="00BC5F1D">
        <w:rPr>
          <w:rFonts w:ascii="Arial" w:eastAsia="Calibri" w:hAnsi="Arial" w:cs="Arial"/>
          <w:sz w:val="20"/>
          <w:szCs w:val="20"/>
          <w:lang w:val="en-US"/>
        </w:rPr>
        <w:t>and energy value</w:t>
      </w:r>
      <w:r w:rsidRPr="00BC5F1D">
        <w:rPr>
          <w:rFonts w:ascii="Arial" w:eastAsia="Calibri" w:hAnsi="Arial" w:cs="Arial"/>
          <w:sz w:val="20"/>
          <w:szCs w:val="20"/>
          <w:lang w:val="en-US"/>
        </w:rPr>
        <w:t xml:space="preserve"> </w:t>
      </w:r>
      <w:r w:rsidR="002A4575" w:rsidRPr="00BC5F1D">
        <w:rPr>
          <w:rFonts w:ascii="Arial" w:eastAsia="Calibri" w:hAnsi="Arial" w:cs="Arial"/>
          <w:sz w:val="20"/>
          <w:szCs w:val="20"/>
          <w:lang w:val="en-US"/>
        </w:rPr>
        <w:t>of</w:t>
      </w:r>
      <w:r w:rsidR="00CC42DC" w:rsidRPr="00BC5F1D">
        <w:rPr>
          <w:rFonts w:ascii="Arial" w:eastAsia="Calibri" w:hAnsi="Arial" w:cs="Arial"/>
          <w:sz w:val="20"/>
          <w:szCs w:val="20"/>
          <w:lang w:val="en-US"/>
        </w:rPr>
        <w:t xml:space="preserve"> powdered leaves of</w:t>
      </w:r>
      <w:r w:rsidRPr="00BC5F1D">
        <w:rPr>
          <w:rFonts w:ascii="Arial" w:eastAsia="Calibri" w:hAnsi="Arial" w:cs="Arial"/>
          <w:sz w:val="20"/>
          <w:szCs w:val="20"/>
          <w:lang w:val="en-US"/>
        </w:rPr>
        <w:t xml:space="preserve"> </w:t>
      </w:r>
      <w:r w:rsidR="00D746DB" w:rsidRPr="00BC5F1D">
        <w:rPr>
          <w:rFonts w:ascii="Arial" w:eastAsia="Calibri" w:hAnsi="Arial" w:cs="Arial"/>
          <w:i/>
          <w:iCs/>
          <w:sz w:val="20"/>
          <w:szCs w:val="20"/>
          <w:lang w:val="en-US"/>
        </w:rPr>
        <w:t>A</w:t>
      </w:r>
      <w:r w:rsidR="00B6650A">
        <w:rPr>
          <w:rFonts w:ascii="Arial" w:eastAsia="Calibri" w:hAnsi="Arial" w:cs="Arial"/>
          <w:i/>
          <w:iCs/>
          <w:sz w:val="20"/>
          <w:szCs w:val="20"/>
          <w:lang w:val="en-US"/>
        </w:rPr>
        <w:t>.</w:t>
      </w:r>
      <w:r w:rsidR="00D746DB" w:rsidRPr="00BC5F1D">
        <w:rPr>
          <w:rFonts w:ascii="Arial" w:eastAsia="Calibri" w:hAnsi="Arial" w:cs="Arial"/>
          <w:i/>
          <w:iCs/>
          <w:sz w:val="20"/>
          <w:szCs w:val="20"/>
          <w:lang w:val="en-US"/>
        </w:rPr>
        <w:t xml:space="preserve"> digitata, </w:t>
      </w:r>
      <w:r w:rsidRPr="00BC5F1D">
        <w:rPr>
          <w:rFonts w:ascii="Arial" w:eastAsia="Calibri" w:hAnsi="Arial" w:cs="Arial"/>
          <w:i/>
          <w:iCs/>
          <w:sz w:val="20"/>
          <w:szCs w:val="20"/>
          <w:lang w:val="en-US"/>
        </w:rPr>
        <w:t>C</w:t>
      </w:r>
      <w:r w:rsidR="00B6650A">
        <w:rPr>
          <w:rFonts w:ascii="Arial" w:eastAsia="Calibri" w:hAnsi="Arial" w:cs="Arial"/>
          <w:i/>
          <w:iCs/>
          <w:sz w:val="20"/>
          <w:szCs w:val="20"/>
          <w:lang w:val="en-US"/>
        </w:rPr>
        <w:t>.</w:t>
      </w:r>
      <w:r w:rsidRPr="00BC5F1D">
        <w:rPr>
          <w:rFonts w:ascii="Arial" w:eastAsia="Calibri" w:hAnsi="Arial" w:cs="Arial"/>
          <w:i/>
          <w:iCs/>
          <w:sz w:val="20"/>
          <w:szCs w:val="20"/>
          <w:lang w:val="en-US"/>
        </w:rPr>
        <w:t xml:space="preserve"> </w:t>
      </w:r>
      <w:proofErr w:type="spellStart"/>
      <w:r w:rsidRPr="00BC5F1D">
        <w:rPr>
          <w:rFonts w:ascii="Arial" w:eastAsia="Calibri" w:hAnsi="Arial" w:cs="Arial"/>
          <w:i/>
          <w:iCs/>
          <w:sz w:val="20"/>
          <w:szCs w:val="20"/>
          <w:lang w:val="en-US"/>
        </w:rPr>
        <w:t>olitorius</w:t>
      </w:r>
      <w:proofErr w:type="spellEnd"/>
      <w:r w:rsidR="00CC42DC" w:rsidRPr="00BC5F1D">
        <w:rPr>
          <w:rFonts w:ascii="Arial" w:eastAsia="Calibri" w:hAnsi="Arial" w:cs="Arial"/>
          <w:i/>
          <w:iCs/>
          <w:sz w:val="20"/>
          <w:szCs w:val="20"/>
          <w:lang w:val="en-US"/>
        </w:rPr>
        <w:t xml:space="preserve"> </w:t>
      </w:r>
      <w:r w:rsidR="00CC42DC" w:rsidRPr="00BC5F1D">
        <w:rPr>
          <w:rFonts w:ascii="Arial" w:eastAsia="Calibri" w:hAnsi="Arial" w:cs="Arial"/>
          <w:sz w:val="20"/>
          <w:szCs w:val="20"/>
          <w:lang w:val="en-US"/>
        </w:rPr>
        <w:t>and bark of</w:t>
      </w:r>
      <w:r w:rsidRPr="00BC5F1D">
        <w:rPr>
          <w:rFonts w:ascii="Arial" w:eastAsia="Calibri" w:hAnsi="Arial" w:cs="Arial"/>
          <w:sz w:val="20"/>
          <w:szCs w:val="20"/>
          <w:lang w:val="en-US"/>
        </w:rPr>
        <w:t xml:space="preserve"> </w:t>
      </w:r>
      <w:r w:rsidR="00481778" w:rsidRPr="00BC5F1D">
        <w:rPr>
          <w:rFonts w:ascii="Arial" w:hAnsi="Arial" w:cs="Arial"/>
          <w:i/>
          <w:iCs/>
          <w:sz w:val="20"/>
          <w:szCs w:val="20"/>
          <w:lang w:val="en-US"/>
        </w:rPr>
        <w:t>T</w:t>
      </w:r>
      <w:r w:rsidR="00B6650A">
        <w:rPr>
          <w:rFonts w:ascii="Arial" w:hAnsi="Arial" w:cs="Arial"/>
          <w:i/>
          <w:iCs/>
          <w:sz w:val="20"/>
          <w:szCs w:val="20"/>
          <w:lang w:val="en-US"/>
        </w:rPr>
        <w:t>.</w:t>
      </w:r>
      <w:r w:rsidR="00481778" w:rsidRPr="00BC5F1D">
        <w:rPr>
          <w:rFonts w:ascii="Arial" w:hAnsi="Arial" w:cs="Arial"/>
          <w:i/>
          <w:iCs/>
          <w:sz w:val="20"/>
          <w:szCs w:val="20"/>
          <w:lang w:val="en-US"/>
        </w:rPr>
        <w:t xml:space="preserve"> cordifolia</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127"/>
        <w:gridCol w:w="1880"/>
        <w:gridCol w:w="2514"/>
      </w:tblGrid>
      <w:tr w:rsidR="00A45DC5" w:rsidRPr="00BC5F1D" w14:paraId="1AD54EE2" w14:textId="77777777" w:rsidTr="00DE271F">
        <w:trPr>
          <w:trHeight w:val="572"/>
          <w:jc w:val="center"/>
        </w:trPr>
        <w:tc>
          <w:tcPr>
            <w:tcW w:w="2835" w:type="dxa"/>
            <w:tcBorders>
              <w:left w:val="nil"/>
              <w:bottom w:val="single" w:sz="4" w:space="0" w:color="auto"/>
              <w:right w:val="nil"/>
            </w:tcBorders>
            <w:vAlign w:val="center"/>
          </w:tcPr>
          <w:p w14:paraId="08D1534E" w14:textId="08AD7687" w:rsidR="00D746DB" w:rsidRPr="00BC5F1D" w:rsidRDefault="00D746DB" w:rsidP="006163FB">
            <w:pPr>
              <w:spacing w:after="0" w:line="276" w:lineRule="auto"/>
              <w:rPr>
                <w:rFonts w:ascii="Arial" w:eastAsia="Calibri" w:hAnsi="Arial" w:cs="Arial"/>
                <w:b/>
                <w:sz w:val="20"/>
                <w:szCs w:val="20"/>
              </w:rPr>
            </w:pPr>
            <w:proofErr w:type="spellStart"/>
            <w:r w:rsidRPr="00BC5F1D">
              <w:rPr>
                <w:rFonts w:ascii="Arial" w:eastAsia="Calibri" w:hAnsi="Arial" w:cs="Arial"/>
                <w:b/>
                <w:sz w:val="20"/>
                <w:szCs w:val="20"/>
              </w:rPr>
              <w:t>Nutrients</w:t>
            </w:r>
            <w:proofErr w:type="spellEnd"/>
            <w:r w:rsidRPr="00BC5F1D">
              <w:rPr>
                <w:rFonts w:ascii="Arial" w:eastAsia="Calibri" w:hAnsi="Arial" w:cs="Arial"/>
                <w:b/>
                <w:sz w:val="20"/>
                <w:szCs w:val="20"/>
              </w:rPr>
              <w:t xml:space="preserve"> and </w:t>
            </w:r>
            <w:proofErr w:type="spellStart"/>
            <w:r w:rsidRPr="00BC5F1D">
              <w:rPr>
                <w:rFonts w:ascii="Arial" w:eastAsia="Calibri" w:hAnsi="Arial" w:cs="Arial"/>
                <w:b/>
                <w:sz w:val="20"/>
                <w:szCs w:val="20"/>
              </w:rPr>
              <w:t>energy</w:t>
            </w:r>
            <w:proofErr w:type="spellEnd"/>
            <w:r w:rsidRPr="00BC5F1D">
              <w:rPr>
                <w:rFonts w:ascii="Arial" w:eastAsia="Calibri" w:hAnsi="Arial" w:cs="Arial"/>
                <w:b/>
                <w:sz w:val="20"/>
                <w:szCs w:val="20"/>
              </w:rPr>
              <w:t xml:space="preserve"> </w:t>
            </w:r>
          </w:p>
        </w:tc>
        <w:tc>
          <w:tcPr>
            <w:tcW w:w="2127" w:type="dxa"/>
            <w:tcBorders>
              <w:left w:val="nil"/>
              <w:bottom w:val="single" w:sz="4" w:space="0" w:color="auto"/>
              <w:right w:val="nil"/>
            </w:tcBorders>
            <w:vAlign w:val="center"/>
          </w:tcPr>
          <w:p w14:paraId="0D15EC75" w14:textId="3E888F0E" w:rsidR="00D746DB" w:rsidRPr="00BC5F1D" w:rsidRDefault="00D746DB" w:rsidP="006163FB">
            <w:pPr>
              <w:spacing w:after="0" w:line="276" w:lineRule="auto"/>
              <w:jc w:val="center"/>
              <w:rPr>
                <w:rFonts w:ascii="Arial" w:eastAsia="Calibri" w:hAnsi="Arial" w:cs="Arial"/>
                <w:b/>
                <w:i/>
                <w:sz w:val="20"/>
                <w:szCs w:val="20"/>
              </w:rPr>
            </w:pPr>
            <w:r w:rsidRPr="00BC5F1D">
              <w:rPr>
                <w:rFonts w:ascii="Arial" w:eastAsia="Calibri" w:hAnsi="Arial" w:cs="Arial"/>
                <w:b/>
                <w:i/>
                <w:sz w:val="20"/>
                <w:szCs w:val="20"/>
              </w:rPr>
              <w:t>A</w:t>
            </w:r>
            <w:r w:rsidR="00B6650A">
              <w:rPr>
                <w:rFonts w:ascii="Arial" w:eastAsia="Calibri" w:hAnsi="Arial" w:cs="Arial"/>
                <w:b/>
                <w:i/>
                <w:sz w:val="20"/>
                <w:szCs w:val="20"/>
              </w:rPr>
              <w:t>.</w:t>
            </w:r>
            <w:r w:rsidRPr="00BC5F1D">
              <w:rPr>
                <w:rFonts w:ascii="Arial" w:eastAsia="Calibri" w:hAnsi="Arial" w:cs="Arial"/>
                <w:b/>
                <w:i/>
                <w:sz w:val="20"/>
                <w:szCs w:val="20"/>
              </w:rPr>
              <w:t xml:space="preserve"> </w:t>
            </w:r>
            <w:proofErr w:type="spellStart"/>
            <w:r w:rsidRPr="00BC5F1D">
              <w:rPr>
                <w:rFonts w:ascii="Arial" w:eastAsia="Calibri" w:hAnsi="Arial" w:cs="Arial"/>
                <w:b/>
                <w:i/>
                <w:sz w:val="20"/>
                <w:szCs w:val="20"/>
              </w:rPr>
              <w:t>digitata</w:t>
            </w:r>
            <w:proofErr w:type="spellEnd"/>
          </w:p>
        </w:tc>
        <w:tc>
          <w:tcPr>
            <w:tcW w:w="1880" w:type="dxa"/>
            <w:tcBorders>
              <w:left w:val="nil"/>
              <w:bottom w:val="single" w:sz="4" w:space="0" w:color="auto"/>
              <w:right w:val="nil"/>
            </w:tcBorders>
            <w:vAlign w:val="center"/>
          </w:tcPr>
          <w:p w14:paraId="61759B85" w14:textId="5D1CB567" w:rsidR="00D746DB" w:rsidRPr="00BC5F1D" w:rsidRDefault="00D746DB" w:rsidP="006163FB">
            <w:pPr>
              <w:spacing w:after="0" w:line="276" w:lineRule="auto"/>
              <w:jc w:val="center"/>
              <w:rPr>
                <w:rFonts w:ascii="Arial" w:eastAsia="Calibri" w:hAnsi="Arial" w:cs="Arial"/>
                <w:b/>
                <w:i/>
                <w:sz w:val="20"/>
                <w:szCs w:val="20"/>
              </w:rPr>
            </w:pPr>
            <w:r w:rsidRPr="00BC5F1D">
              <w:rPr>
                <w:rFonts w:ascii="Arial" w:eastAsia="Calibri" w:hAnsi="Arial" w:cs="Arial"/>
                <w:b/>
                <w:i/>
                <w:sz w:val="20"/>
                <w:szCs w:val="20"/>
              </w:rPr>
              <w:t>C</w:t>
            </w:r>
            <w:r w:rsidR="00B6650A">
              <w:rPr>
                <w:rFonts w:ascii="Arial" w:eastAsia="Calibri" w:hAnsi="Arial" w:cs="Arial"/>
                <w:b/>
                <w:i/>
                <w:sz w:val="20"/>
                <w:szCs w:val="20"/>
              </w:rPr>
              <w:t xml:space="preserve">. </w:t>
            </w:r>
            <w:proofErr w:type="spellStart"/>
            <w:r w:rsidRPr="00BC5F1D">
              <w:rPr>
                <w:rFonts w:ascii="Arial" w:eastAsia="Calibri" w:hAnsi="Arial" w:cs="Arial"/>
                <w:b/>
                <w:i/>
                <w:sz w:val="20"/>
                <w:szCs w:val="20"/>
              </w:rPr>
              <w:t>olitorius</w:t>
            </w:r>
            <w:proofErr w:type="spellEnd"/>
          </w:p>
        </w:tc>
        <w:tc>
          <w:tcPr>
            <w:tcW w:w="2514" w:type="dxa"/>
            <w:tcBorders>
              <w:left w:val="nil"/>
              <w:bottom w:val="single" w:sz="4" w:space="0" w:color="auto"/>
              <w:right w:val="nil"/>
            </w:tcBorders>
            <w:vAlign w:val="center"/>
          </w:tcPr>
          <w:p w14:paraId="77DC2264" w14:textId="10397A52" w:rsidR="00D746DB" w:rsidRPr="00BC5F1D" w:rsidRDefault="00481778" w:rsidP="006163FB">
            <w:pPr>
              <w:spacing w:after="0" w:line="276" w:lineRule="auto"/>
              <w:jc w:val="center"/>
              <w:rPr>
                <w:rFonts w:ascii="Arial" w:eastAsia="Calibri" w:hAnsi="Arial" w:cs="Arial"/>
                <w:b/>
                <w:bCs/>
                <w:i/>
                <w:sz w:val="20"/>
                <w:szCs w:val="20"/>
              </w:rPr>
            </w:pPr>
            <w:r w:rsidRPr="00BC5F1D">
              <w:rPr>
                <w:rFonts w:ascii="Arial" w:hAnsi="Arial" w:cs="Arial"/>
                <w:b/>
                <w:bCs/>
                <w:i/>
                <w:iCs/>
                <w:sz w:val="20"/>
                <w:szCs w:val="20"/>
              </w:rPr>
              <w:t>T</w:t>
            </w:r>
            <w:r w:rsidR="00B6650A">
              <w:rPr>
                <w:rFonts w:ascii="Arial" w:hAnsi="Arial" w:cs="Arial"/>
                <w:b/>
                <w:bCs/>
                <w:i/>
                <w:iCs/>
                <w:sz w:val="20"/>
                <w:szCs w:val="20"/>
              </w:rPr>
              <w:t>.</w:t>
            </w:r>
            <w:r w:rsidRPr="00BC5F1D">
              <w:rPr>
                <w:rFonts w:ascii="Arial" w:hAnsi="Arial" w:cs="Arial"/>
                <w:b/>
                <w:bCs/>
                <w:i/>
                <w:iCs/>
                <w:sz w:val="20"/>
                <w:szCs w:val="20"/>
              </w:rPr>
              <w:t xml:space="preserve"> </w:t>
            </w:r>
            <w:proofErr w:type="spellStart"/>
            <w:r w:rsidRPr="00BC5F1D">
              <w:rPr>
                <w:rFonts w:ascii="Arial" w:hAnsi="Arial" w:cs="Arial"/>
                <w:b/>
                <w:bCs/>
                <w:i/>
                <w:iCs/>
                <w:sz w:val="20"/>
                <w:szCs w:val="20"/>
              </w:rPr>
              <w:t>cordifolia</w:t>
            </w:r>
            <w:proofErr w:type="spellEnd"/>
          </w:p>
        </w:tc>
      </w:tr>
      <w:tr w:rsidR="00A45DC5" w:rsidRPr="00BC5F1D" w14:paraId="1152BE28" w14:textId="77777777" w:rsidTr="00DE271F">
        <w:trPr>
          <w:trHeight w:val="572"/>
          <w:jc w:val="center"/>
        </w:trPr>
        <w:tc>
          <w:tcPr>
            <w:tcW w:w="2835" w:type="dxa"/>
            <w:tcBorders>
              <w:left w:val="nil"/>
              <w:bottom w:val="nil"/>
              <w:right w:val="nil"/>
            </w:tcBorders>
            <w:vAlign w:val="center"/>
          </w:tcPr>
          <w:p w14:paraId="043FEDCD" w14:textId="0DD75816" w:rsidR="00D746DB" w:rsidRPr="00BC5F1D" w:rsidRDefault="00D746DB" w:rsidP="00D746DB">
            <w:pPr>
              <w:spacing w:after="0" w:line="276" w:lineRule="auto"/>
              <w:rPr>
                <w:rFonts w:ascii="Arial" w:eastAsia="Calibri" w:hAnsi="Arial" w:cs="Arial"/>
                <w:b/>
                <w:color w:val="000000" w:themeColor="text1"/>
                <w:sz w:val="20"/>
                <w:szCs w:val="20"/>
              </w:rPr>
            </w:pPr>
            <w:proofErr w:type="spellStart"/>
            <w:r w:rsidRPr="00BC5F1D">
              <w:rPr>
                <w:rFonts w:ascii="Arial" w:eastAsia="Calibri" w:hAnsi="Arial" w:cs="Arial"/>
                <w:color w:val="000000" w:themeColor="text1"/>
                <w:sz w:val="20"/>
                <w:szCs w:val="20"/>
              </w:rPr>
              <w:t>Moisture</w:t>
            </w:r>
            <w:proofErr w:type="spellEnd"/>
            <w:r w:rsidRPr="00BC5F1D">
              <w:rPr>
                <w:rFonts w:ascii="Arial" w:eastAsia="Calibri" w:hAnsi="Arial" w:cs="Arial"/>
                <w:color w:val="000000" w:themeColor="text1"/>
                <w:sz w:val="20"/>
                <w:szCs w:val="20"/>
              </w:rPr>
              <w:t xml:space="preserve"> content</w:t>
            </w:r>
          </w:p>
        </w:tc>
        <w:tc>
          <w:tcPr>
            <w:tcW w:w="2127" w:type="dxa"/>
            <w:tcBorders>
              <w:left w:val="nil"/>
              <w:bottom w:val="nil"/>
              <w:right w:val="nil"/>
            </w:tcBorders>
            <w:vAlign w:val="center"/>
          </w:tcPr>
          <w:p w14:paraId="79991E6A" w14:textId="0C6BD99B" w:rsidR="00D746DB" w:rsidRPr="00BC5F1D" w:rsidRDefault="00D746DB" w:rsidP="00D746DB">
            <w:pPr>
              <w:spacing w:after="0" w:line="276" w:lineRule="auto"/>
              <w:jc w:val="center"/>
              <w:rPr>
                <w:rFonts w:ascii="Arial" w:eastAsia="Calibri" w:hAnsi="Arial" w:cs="Arial"/>
                <w:bCs/>
                <w:color w:val="000000" w:themeColor="text1"/>
                <w:sz w:val="20"/>
                <w:szCs w:val="20"/>
              </w:rPr>
            </w:pPr>
            <w:r w:rsidRPr="00BC5F1D">
              <w:rPr>
                <w:rFonts w:ascii="Arial" w:eastAsia="Calibri" w:hAnsi="Arial" w:cs="Arial"/>
                <w:bCs/>
                <w:color w:val="000000" w:themeColor="text1"/>
                <w:sz w:val="20"/>
                <w:szCs w:val="20"/>
              </w:rPr>
              <w:t>8.90 ± 0.01</w:t>
            </w:r>
            <w:r w:rsidR="00E575E4" w:rsidRPr="00BC5F1D">
              <w:rPr>
                <w:rFonts w:ascii="Arial" w:eastAsia="Calibri" w:hAnsi="Arial" w:cs="Arial"/>
                <w:bCs/>
                <w:color w:val="000000" w:themeColor="text1"/>
                <w:sz w:val="20"/>
                <w:szCs w:val="20"/>
                <w:vertAlign w:val="superscript"/>
              </w:rPr>
              <w:t>b</w:t>
            </w:r>
          </w:p>
        </w:tc>
        <w:tc>
          <w:tcPr>
            <w:tcW w:w="1880" w:type="dxa"/>
            <w:tcBorders>
              <w:left w:val="nil"/>
              <w:bottom w:val="nil"/>
              <w:right w:val="nil"/>
            </w:tcBorders>
            <w:vAlign w:val="center"/>
          </w:tcPr>
          <w:p w14:paraId="23927FB5" w14:textId="16A475D2" w:rsidR="00D746DB" w:rsidRPr="00BC5F1D" w:rsidRDefault="00D746DB" w:rsidP="00D746DB">
            <w:pPr>
              <w:spacing w:after="0" w:line="276" w:lineRule="auto"/>
              <w:jc w:val="center"/>
              <w:rPr>
                <w:rFonts w:ascii="Arial" w:eastAsia="Calibri" w:hAnsi="Arial" w:cs="Arial"/>
                <w:b/>
                <w:i/>
                <w:color w:val="000000" w:themeColor="text1"/>
                <w:sz w:val="20"/>
                <w:szCs w:val="20"/>
              </w:rPr>
            </w:pPr>
            <w:r w:rsidRPr="00BC5F1D">
              <w:rPr>
                <w:rFonts w:ascii="Arial" w:eastAsia="Calibri" w:hAnsi="Arial" w:cs="Arial"/>
                <w:bCs/>
                <w:color w:val="000000" w:themeColor="text1"/>
                <w:sz w:val="20"/>
                <w:szCs w:val="20"/>
              </w:rPr>
              <w:t>1</w:t>
            </w:r>
            <w:r w:rsidR="00437025" w:rsidRPr="00BC5F1D">
              <w:rPr>
                <w:rFonts w:ascii="Arial" w:eastAsia="Calibri" w:hAnsi="Arial" w:cs="Arial"/>
                <w:bCs/>
                <w:color w:val="000000" w:themeColor="text1"/>
                <w:sz w:val="20"/>
                <w:szCs w:val="20"/>
              </w:rPr>
              <w:t>2</w:t>
            </w:r>
            <w:r w:rsidRPr="00BC5F1D">
              <w:rPr>
                <w:rFonts w:ascii="Arial" w:eastAsia="Calibri" w:hAnsi="Arial" w:cs="Arial"/>
                <w:bCs/>
                <w:color w:val="000000" w:themeColor="text1"/>
                <w:sz w:val="20"/>
                <w:szCs w:val="20"/>
              </w:rPr>
              <w:t>.50 ± 1.50</w:t>
            </w:r>
            <w:r w:rsidR="00247D00" w:rsidRPr="00BC5F1D">
              <w:rPr>
                <w:rFonts w:ascii="Arial" w:eastAsia="Calibri" w:hAnsi="Arial" w:cs="Arial"/>
                <w:bCs/>
                <w:color w:val="000000" w:themeColor="text1"/>
                <w:sz w:val="20"/>
                <w:szCs w:val="20"/>
                <w:vertAlign w:val="superscript"/>
              </w:rPr>
              <w:t>c</w:t>
            </w:r>
          </w:p>
        </w:tc>
        <w:tc>
          <w:tcPr>
            <w:tcW w:w="2514" w:type="dxa"/>
            <w:tcBorders>
              <w:left w:val="nil"/>
              <w:bottom w:val="nil"/>
              <w:right w:val="nil"/>
            </w:tcBorders>
            <w:vAlign w:val="center"/>
          </w:tcPr>
          <w:p w14:paraId="4639F900" w14:textId="6EBF7869" w:rsidR="00D746DB" w:rsidRPr="00BC5F1D" w:rsidRDefault="0045295C" w:rsidP="00D746DB">
            <w:pPr>
              <w:spacing w:after="0" w:line="276" w:lineRule="auto"/>
              <w:jc w:val="center"/>
              <w:rPr>
                <w:rFonts w:ascii="Arial" w:eastAsia="Calibri" w:hAnsi="Arial" w:cs="Arial"/>
                <w:b/>
                <w:i/>
                <w:color w:val="000000" w:themeColor="text1"/>
                <w:sz w:val="20"/>
                <w:szCs w:val="20"/>
              </w:rPr>
            </w:pPr>
            <w:r w:rsidRPr="00BC5F1D">
              <w:rPr>
                <w:rFonts w:ascii="Arial" w:eastAsia="Calibri" w:hAnsi="Arial" w:cs="Arial"/>
                <w:bCs/>
                <w:color w:val="000000" w:themeColor="text1"/>
                <w:sz w:val="20"/>
                <w:szCs w:val="20"/>
              </w:rPr>
              <w:t>5</w:t>
            </w:r>
            <w:r w:rsidR="00D746DB" w:rsidRPr="00BC5F1D">
              <w:rPr>
                <w:rFonts w:ascii="Arial" w:eastAsia="Calibri" w:hAnsi="Arial" w:cs="Arial"/>
                <w:bCs/>
                <w:color w:val="000000" w:themeColor="text1"/>
                <w:sz w:val="20"/>
                <w:szCs w:val="20"/>
              </w:rPr>
              <w:t>.</w:t>
            </w:r>
            <w:r w:rsidRPr="00BC5F1D">
              <w:rPr>
                <w:rFonts w:ascii="Arial" w:eastAsia="Calibri" w:hAnsi="Arial" w:cs="Arial"/>
                <w:bCs/>
                <w:color w:val="000000" w:themeColor="text1"/>
                <w:sz w:val="20"/>
                <w:szCs w:val="20"/>
              </w:rPr>
              <w:t>89</w:t>
            </w:r>
            <w:r w:rsidR="00D746DB" w:rsidRPr="00BC5F1D">
              <w:rPr>
                <w:rFonts w:ascii="Arial" w:eastAsia="Calibri" w:hAnsi="Arial" w:cs="Arial"/>
                <w:bCs/>
                <w:color w:val="000000" w:themeColor="text1"/>
                <w:sz w:val="20"/>
                <w:szCs w:val="20"/>
              </w:rPr>
              <w:t xml:space="preserve"> ± 0.02</w:t>
            </w:r>
            <w:r w:rsidR="00E575E4" w:rsidRPr="00BC5F1D">
              <w:rPr>
                <w:rFonts w:ascii="Arial" w:eastAsia="Calibri" w:hAnsi="Arial" w:cs="Arial"/>
                <w:bCs/>
                <w:color w:val="000000" w:themeColor="text1"/>
                <w:sz w:val="20"/>
                <w:szCs w:val="20"/>
                <w:vertAlign w:val="superscript"/>
              </w:rPr>
              <w:t>a</w:t>
            </w:r>
          </w:p>
        </w:tc>
      </w:tr>
      <w:tr w:rsidR="00A45DC5" w:rsidRPr="00BC5F1D" w14:paraId="69719366" w14:textId="77777777" w:rsidTr="00DE271F">
        <w:trPr>
          <w:trHeight w:val="464"/>
          <w:jc w:val="center"/>
        </w:trPr>
        <w:tc>
          <w:tcPr>
            <w:tcW w:w="2835" w:type="dxa"/>
            <w:tcBorders>
              <w:top w:val="nil"/>
              <w:left w:val="nil"/>
              <w:bottom w:val="nil"/>
              <w:right w:val="nil"/>
            </w:tcBorders>
            <w:vAlign w:val="center"/>
          </w:tcPr>
          <w:p w14:paraId="2E55BA42" w14:textId="27E9D543" w:rsidR="00D746DB" w:rsidRPr="00BC5F1D" w:rsidRDefault="00D746DB" w:rsidP="00D746DB">
            <w:pPr>
              <w:spacing w:after="0" w:line="276" w:lineRule="auto"/>
              <w:rPr>
                <w:rFonts w:ascii="Arial" w:eastAsia="Calibri" w:hAnsi="Arial" w:cs="Arial"/>
                <w:color w:val="000000" w:themeColor="text1"/>
                <w:sz w:val="20"/>
                <w:szCs w:val="20"/>
              </w:rPr>
            </w:pPr>
            <w:proofErr w:type="spellStart"/>
            <w:r w:rsidRPr="00BC5F1D">
              <w:rPr>
                <w:rFonts w:ascii="Arial" w:eastAsia="Calibri" w:hAnsi="Arial" w:cs="Arial"/>
                <w:color w:val="000000" w:themeColor="text1"/>
                <w:sz w:val="20"/>
                <w:szCs w:val="20"/>
              </w:rPr>
              <w:t>Available</w:t>
            </w:r>
            <w:proofErr w:type="spellEnd"/>
            <w:r w:rsidRPr="00BC5F1D">
              <w:rPr>
                <w:rFonts w:ascii="Arial" w:eastAsia="Calibri" w:hAnsi="Arial" w:cs="Arial"/>
                <w:color w:val="000000" w:themeColor="text1"/>
                <w:sz w:val="20"/>
                <w:szCs w:val="20"/>
              </w:rPr>
              <w:t xml:space="preserve"> carbohydrate</w:t>
            </w:r>
          </w:p>
        </w:tc>
        <w:tc>
          <w:tcPr>
            <w:tcW w:w="2127" w:type="dxa"/>
            <w:tcBorders>
              <w:top w:val="nil"/>
              <w:left w:val="nil"/>
              <w:bottom w:val="nil"/>
              <w:right w:val="nil"/>
            </w:tcBorders>
            <w:vAlign w:val="center"/>
          </w:tcPr>
          <w:p w14:paraId="24F55B6A" w14:textId="132E8BDC" w:rsidR="00D746DB" w:rsidRPr="00BC5F1D" w:rsidRDefault="00D746DB" w:rsidP="00D746DB">
            <w:pPr>
              <w:spacing w:after="0" w:line="276" w:lineRule="auto"/>
              <w:jc w:val="center"/>
              <w:rPr>
                <w:rFonts w:ascii="Arial" w:eastAsia="Calibri" w:hAnsi="Arial" w:cs="Arial"/>
                <w:color w:val="000000" w:themeColor="text1"/>
                <w:sz w:val="20"/>
                <w:szCs w:val="20"/>
              </w:rPr>
            </w:pPr>
            <w:r w:rsidRPr="00BC5F1D">
              <w:rPr>
                <w:rFonts w:ascii="Arial" w:eastAsia="Calibri" w:hAnsi="Arial" w:cs="Arial"/>
                <w:color w:val="000000" w:themeColor="text1"/>
                <w:sz w:val="20"/>
                <w:szCs w:val="20"/>
              </w:rPr>
              <w:t>37.</w:t>
            </w:r>
            <w:r w:rsidR="00E575E4" w:rsidRPr="00BC5F1D">
              <w:rPr>
                <w:rFonts w:ascii="Arial" w:eastAsia="Calibri" w:hAnsi="Arial" w:cs="Arial"/>
                <w:color w:val="000000" w:themeColor="text1"/>
                <w:sz w:val="20"/>
                <w:szCs w:val="20"/>
              </w:rPr>
              <w:t>7</w:t>
            </w:r>
            <w:r w:rsidRPr="00BC5F1D">
              <w:rPr>
                <w:rFonts w:ascii="Arial" w:eastAsia="Calibri" w:hAnsi="Arial" w:cs="Arial"/>
                <w:color w:val="000000" w:themeColor="text1"/>
                <w:sz w:val="20"/>
                <w:szCs w:val="20"/>
              </w:rPr>
              <w:t>2 ± 0.45</w:t>
            </w:r>
            <w:r w:rsidRPr="00BC5F1D">
              <w:rPr>
                <w:rFonts w:ascii="Arial" w:eastAsia="Calibri" w:hAnsi="Arial" w:cs="Arial"/>
                <w:color w:val="000000" w:themeColor="text1"/>
                <w:sz w:val="20"/>
                <w:szCs w:val="20"/>
                <w:vertAlign w:val="superscript"/>
              </w:rPr>
              <w:t>a</w:t>
            </w:r>
          </w:p>
        </w:tc>
        <w:tc>
          <w:tcPr>
            <w:tcW w:w="1880" w:type="dxa"/>
            <w:tcBorders>
              <w:top w:val="nil"/>
              <w:left w:val="nil"/>
              <w:bottom w:val="nil"/>
              <w:right w:val="nil"/>
            </w:tcBorders>
            <w:vAlign w:val="center"/>
          </w:tcPr>
          <w:p w14:paraId="29D73285" w14:textId="62FD3FB3" w:rsidR="00D746DB" w:rsidRPr="00BC5F1D" w:rsidRDefault="00D746DB" w:rsidP="00D746DB">
            <w:pPr>
              <w:spacing w:after="0" w:line="276" w:lineRule="auto"/>
              <w:jc w:val="center"/>
              <w:rPr>
                <w:rFonts w:ascii="Arial" w:eastAsia="Calibri" w:hAnsi="Arial" w:cs="Arial"/>
                <w:color w:val="000000" w:themeColor="text1"/>
                <w:sz w:val="20"/>
                <w:szCs w:val="20"/>
              </w:rPr>
            </w:pPr>
            <w:r w:rsidRPr="00BC5F1D">
              <w:rPr>
                <w:rFonts w:ascii="Arial" w:eastAsia="Calibri" w:hAnsi="Arial" w:cs="Arial"/>
                <w:color w:val="000000" w:themeColor="text1"/>
                <w:sz w:val="20"/>
                <w:szCs w:val="20"/>
              </w:rPr>
              <w:t>38.24 ± 0.20</w:t>
            </w:r>
            <w:r w:rsidR="00E575E4" w:rsidRPr="00BC5F1D">
              <w:rPr>
                <w:rFonts w:ascii="Arial" w:eastAsia="Calibri" w:hAnsi="Arial" w:cs="Arial"/>
                <w:color w:val="000000" w:themeColor="text1"/>
                <w:sz w:val="20"/>
                <w:szCs w:val="20"/>
                <w:vertAlign w:val="superscript"/>
              </w:rPr>
              <w:t>a</w:t>
            </w:r>
          </w:p>
        </w:tc>
        <w:tc>
          <w:tcPr>
            <w:tcW w:w="2514" w:type="dxa"/>
            <w:tcBorders>
              <w:top w:val="nil"/>
              <w:left w:val="nil"/>
              <w:bottom w:val="nil"/>
              <w:right w:val="nil"/>
            </w:tcBorders>
            <w:vAlign w:val="center"/>
          </w:tcPr>
          <w:p w14:paraId="3FB9E92A" w14:textId="101F6ACD" w:rsidR="00D746DB" w:rsidRPr="00BC5F1D" w:rsidRDefault="00D746DB" w:rsidP="00D746DB">
            <w:pPr>
              <w:spacing w:after="0" w:line="276" w:lineRule="auto"/>
              <w:jc w:val="center"/>
              <w:rPr>
                <w:rFonts w:ascii="Arial" w:eastAsia="Calibri" w:hAnsi="Arial" w:cs="Arial"/>
                <w:color w:val="000000" w:themeColor="text1"/>
                <w:sz w:val="20"/>
                <w:szCs w:val="20"/>
              </w:rPr>
            </w:pPr>
            <w:r w:rsidRPr="00BC5F1D">
              <w:rPr>
                <w:rFonts w:ascii="Arial" w:eastAsia="Calibri" w:hAnsi="Arial" w:cs="Arial"/>
                <w:color w:val="000000" w:themeColor="text1"/>
                <w:sz w:val="20"/>
                <w:szCs w:val="20"/>
              </w:rPr>
              <w:t>58.02 ± 0.5</w:t>
            </w:r>
            <w:r w:rsidR="00CF11BF" w:rsidRPr="00BC5F1D">
              <w:rPr>
                <w:rFonts w:ascii="Arial" w:eastAsia="Calibri" w:hAnsi="Arial" w:cs="Arial"/>
                <w:color w:val="000000" w:themeColor="text1"/>
                <w:sz w:val="20"/>
                <w:szCs w:val="20"/>
              </w:rPr>
              <w:t>0</w:t>
            </w:r>
            <w:r w:rsidR="00E575E4" w:rsidRPr="00BC5F1D">
              <w:rPr>
                <w:rFonts w:ascii="Arial" w:eastAsia="Calibri" w:hAnsi="Arial" w:cs="Arial"/>
                <w:color w:val="000000" w:themeColor="text1"/>
                <w:sz w:val="20"/>
                <w:szCs w:val="20"/>
                <w:vertAlign w:val="superscript"/>
              </w:rPr>
              <w:t>b</w:t>
            </w:r>
          </w:p>
        </w:tc>
      </w:tr>
      <w:tr w:rsidR="00A45DC5" w:rsidRPr="00BC5F1D" w14:paraId="429813A8" w14:textId="77777777" w:rsidTr="00DE271F">
        <w:trPr>
          <w:trHeight w:val="434"/>
          <w:jc w:val="center"/>
        </w:trPr>
        <w:tc>
          <w:tcPr>
            <w:tcW w:w="2835" w:type="dxa"/>
            <w:tcBorders>
              <w:top w:val="nil"/>
              <w:left w:val="nil"/>
              <w:bottom w:val="nil"/>
              <w:right w:val="nil"/>
            </w:tcBorders>
            <w:vAlign w:val="center"/>
          </w:tcPr>
          <w:p w14:paraId="45309E0D" w14:textId="45334F7B" w:rsidR="00D746DB" w:rsidRPr="00BC5F1D" w:rsidRDefault="00D746DB" w:rsidP="00D746DB">
            <w:pPr>
              <w:spacing w:after="0" w:line="276" w:lineRule="auto"/>
              <w:rPr>
                <w:rFonts w:ascii="Arial" w:eastAsia="Calibri" w:hAnsi="Arial" w:cs="Arial"/>
                <w:color w:val="000000" w:themeColor="text1"/>
                <w:sz w:val="20"/>
                <w:szCs w:val="20"/>
              </w:rPr>
            </w:pPr>
            <w:r w:rsidRPr="00BC5F1D">
              <w:rPr>
                <w:rFonts w:ascii="Arial" w:eastAsia="Calibri" w:hAnsi="Arial" w:cs="Arial"/>
                <w:color w:val="000000" w:themeColor="text1"/>
                <w:sz w:val="20"/>
                <w:szCs w:val="20"/>
              </w:rPr>
              <w:t xml:space="preserve">Total </w:t>
            </w:r>
            <w:proofErr w:type="spellStart"/>
            <w:r w:rsidRPr="00BC5F1D">
              <w:rPr>
                <w:rFonts w:ascii="Arial" w:eastAsia="Calibri" w:hAnsi="Arial" w:cs="Arial"/>
                <w:color w:val="000000" w:themeColor="text1"/>
                <w:sz w:val="20"/>
                <w:szCs w:val="20"/>
              </w:rPr>
              <w:t>protein</w:t>
            </w:r>
            <w:r w:rsidR="00BD32E8" w:rsidRPr="00BC5F1D">
              <w:rPr>
                <w:rFonts w:ascii="Arial" w:eastAsia="Calibri" w:hAnsi="Arial" w:cs="Arial"/>
                <w:color w:val="000000" w:themeColor="text1"/>
                <w:sz w:val="20"/>
                <w:szCs w:val="20"/>
              </w:rPr>
              <w:t>s</w:t>
            </w:r>
            <w:proofErr w:type="spellEnd"/>
          </w:p>
        </w:tc>
        <w:tc>
          <w:tcPr>
            <w:tcW w:w="2127" w:type="dxa"/>
            <w:tcBorders>
              <w:top w:val="nil"/>
              <w:left w:val="nil"/>
              <w:bottom w:val="nil"/>
              <w:right w:val="nil"/>
            </w:tcBorders>
            <w:vAlign w:val="center"/>
          </w:tcPr>
          <w:p w14:paraId="43ED3909" w14:textId="43DAC97E" w:rsidR="00D746DB" w:rsidRPr="00BC5F1D" w:rsidRDefault="0094600F" w:rsidP="00D746DB">
            <w:pPr>
              <w:spacing w:after="0" w:line="276" w:lineRule="auto"/>
              <w:jc w:val="center"/>
              <w:rPr>
                <w:rFonts w:ascii="Arial" w:eastAsia="Calibri" w:hAnsi="Arial" w:cs="Arial"/>
                <w:color w:val="000000" w:themeColor="text1"/>
                <w:sz w:val="20"/>
                <w:szCs w:val="20"/>
              </w:rPr>
            </w:pPr>
            <w:r w:rsidRPr="00BC5F1D">
              <w:rPr>
                <w:rFonts w:ascii="Arial" w:eastAsia="Calibri" w:hAnsi="Arial" w:cs="Arial"/>
                <w:bCs/>
                <w:color w:val="000000" w:themeColor="text1"/>
                <w:sz w:val="20"/>
                <w:szCs w:val="20"/>
              </w:rPr>
              <w:t>18</w:t>
            </w:r>
            <w:r w:rsidR="00D746DB" w:rsidRPr="00BC5F1D">
              <w:rPr>
                <w:rFonts w:ascii="Arial" w:eastAsia="Calibri" w:hAnsi="Arial" w:cs="Arial"/>
                <w:bCs/>
                <w:color w:val="000000" w:themeColor="text1"/>
                <w:sz w:val="20"/>
                <w:szCs w:val="20"/>
              </w:rPr>
              <w:t>.08 ± 0.5</w:t>
            </w:r>
            <w:r w:rsidR="00FD7084" w:rsidRPr="00BC5F1D">
              <w:rPr>
                <w:rFonts w:ascii="Arial" w:eastAsia="Calibri" w:hAnsi="Arial" w:cs="Arial"/>
                <w:bCs/>
                <w:color w:val="000000" w:themeColor="text1"/>
                <w:sz w:val="20"/>
                <w:szCs w:val="20"/>
                <w:vertAlign w:val="superscript"/>
              </w:rPr>
              <w:t>b</w:t>
            </w:r>
          </w:p>
        </w:tc>
        <w:tc>
          <w:tcPr>
            <w:tcW w:w="1880" w:type="dxa"/>
            <w:tcBorders>
              <w:top w:val="nil"/>
              <w:left w:val="nil"/>
              <w:bottom w:val="nil"/>
              <w:right w:val="nil"/>
            </w:tcBorders>
            <w:vAlign w:val="center"/>
          </w:tcPr>
          <w:p w14:paraId="752C2512" w14:textId="5CCD8086" w:rsidR="00D746DB" w:rsidRPr="00BC5F1D" w:rsidRDefault="00D746DB" w:rsidP="00D746DB">
            <w:pPr>
              <w:spacing w:after="0" w:line="276" w:lineRule="auto"/>
              <w:jc w:val="center"/>
              <w:rPr>
                <w:rFonts w:ascii="Arial" w:eastAsia="Calibri" w:hAnsi="Arial" w:cs="Arial"/>
                <w:color w:val="000000" w:themeColor="text1"/>
                <w:sz w:val="20"/>
                <w:szCs w:val="20"/>
              </w:rPr>
            </w:pPr>
            <w:r w:rsidRPr="00BC5F1D">
              <w:rPr>
                <w:rFonts w:ascii="Arial" w:eastAsia="Calibri" w:hAnsi="Arial" w:cs="Arial"/>
                <w:bCs/>
                <w:color w:val="000000" w:themeColor="text1"/>
                <w:sz w:val="20"/>
                <w:szCs w:val="20"/>
              </w:rPr>
              <w:t>21.60 ± 0.10</w:t>
            </w:r>
            <w:r w:rsidR="00FD7084" w:rsidRPr="00BC5F1D">
              <w:rPr>
                <w:rFonts w:ascii="Arial" w:eastAsia="Calibri" w:hAnsi="Arial" w:cs="Arial"/>
                <w:bCs/>
                <w:color w:val="000000" w:themeColor="text1"/>
                <w:sz w:val="20"/>
                <w:szCs w:val="20"/>
                <w:vertAlign w:val="superscript"/>
              </w:rPr>
              <w:t>c</w:t>
            </w:r>
          </w:p>
        </w:tc>
        <w:tc>
          <w:tcPr>
            <w:tcW w:w="2514" w:type="dxa"/>
            <w:tcBorders>
              <w:top w:val="nil"/>
              <w:left w:val="nil"/>
              <w:bottom w:val="nil"/>
              <w:right w:val="nil"/>
            </w:tcBorders>
            <w:vAlign w:val="center"/>
          </w:tcPr>
          <w:p w14:paraId="39972744" w14:textId="226A6B8E" w:rsidR="00D746DB" w:rsidRPr="00BC5F1D" w:rsidRDefault="0045295C" w:rsidP="00D746DB">
            <w:pPr>
              <w:spacing w:after="0" w:line="276" w:lineRule="auto"/>
              <w:jc w:val="center"/>
              <w:rPr>
                <w:rFonts w:ascii="Arial" w:eastAsia="Calibri" w:hAnsi="Arial" w:cs="Arial"/>
                <w:color w:val="000000" w:themeColor="text1"/>
                <w:sz w:val="20"/>
                <w:szCs w:val="20"/>
              </w:rPr>
            </w:pPr>
            <w:r w:rsidRPr="00BC5F1D">
              <w:rPr>
                <w:rFonts w:ascii="Arial" w:eastAsia="Calibri" w:hAnsi="Arial" w:cs="Arial"/>
                <w:color w:val="000000" w:themeColor="text1"/>
                <w:sz w:val="20"/>
                <w:szCs w:val="20"/>
              </w:rPr>
              <w:t>8</w:t>
            </w:r>
            <w:r w:rsidR="00D746DB" w:rsidRPr="00BC5F1D">
              <w:rPr>
                <w:rFonts w:ascii="Arial" w:eastAsia="Calibri" w:hAnsi="Arial" w:cs="Arial"/>
                <w:color w:val="000000" w:themeColor="text1"/>
                <w:sz w:val="20"/>
                <w:szCs w:val="20"/>
              </w:rPr>
              <w:t xml:space="preserve">.23 </w:t>
            </w:r>
            <w:r w:rsidR="00D746DB" w:rsidRPr="00BC5F1D">
              <w:rPr>
                <w:rFonts w:ascii="Arial" w:eastAsia="Calibri" w:hAnsi="Arial" w:cs="Arial"/>
                <w:bCs/>
                <w:color w:val="000000" w:themeColor="text1"/>
                <w:sz w:val="20"/>
                <w:szCs w:val="20"/>
              </w:rPr>
              <w:t>± 0.3</w:t>
            </w:r>
            <w:r w:rsidRPr="00BC5F1D">
              <w:rPr>
                <w:rFonts w:ascii="Arial" w:eastAsia="Calibri" w:hAnsi="Arial" w:cs="Arial"/>
                <w:bCs/>
                <w:color w:val="000000" w:themeColor="text1"/>
                <w:sz w:val="20"/>
                <w:szCs w:val="20"/>
              </w:rPr>
              <w:t>0</w:t>
            </w:r>
            <w:r w:rsidR="00D746DB" w:rsidRPr="00BC5F1D">
              <w:rPr>
                <w:rFonts w:ascii="Arial" w:eastAsia="Calibri" w:hAnsi="Arial" w:cs="Arial"/>
                <w:bCs/>
                <w:color w:val="000000" w:themeColor="text1"/>
                <w:sz w:val="20"/>
                <w:szCs w:val="20"/>
                <w:vertAlign w:val="superscript"/>
              </w:rPr>
              <w:t>a</w:t>
            </w:r>
          </w:p>
        </w:tc>
      </w:tr>
      <w:tr w:rsidR="00A45DC5" w:rsidRPr="00BC5F1D" w14:paraId="4FA9AC6D" w14:textId="77777777" w:rsidTr="00DE271F">
        <w:trPr>
          <w:trHeight w:val="464"/>
          <w:jc w:val="center"/>
        </w:trPr>
        <w:tc>
          <w:tcPr>
            <w:tcW w:w="2835" w:type="dxa"/>
            <w:tcBorders>
              <w:top w:val="nil"/>
              <w:left w:val="nil"/>
              <w:bottom w:val="nil"/>
              <w:right w:val="nil"/>
            </w:tcBorders>
            <w:vAlign w:val="center"/>
          </w:tcPr>
          <w:p w14:paraId="5F36EBC5" w14:textId="5C7CFF1E" w:rsidR="00D746DB" w:rsidRPr="00BC5F1D" w:rsidRDefault="00D746DB" w:rsidP="00D746DB">
            <w:pPr>
              <w:spacing w:after="0" w:line="276" w:lineRule="auto"/>
              <w:rPr>
                <w:rFonts w:ascii="Arial" w:eastAsia="Calibri" w:hAnsi="Arial" w:cs="Arial"/>
                <w:color w:val="000000" w:themeColor="text1"/>
                <w:sz w:val="20"/>
                <w:szCs w:val="20"/>
              </w:rPr>
            </w:pPr>
            <w:r w:rsidRPr="00BC5F1D">
              <w:rPr>
                <w:rFonts w:ascii="Arial" w:eastAsia="Calibri" w:hAnsi="Arial" w:cs="Arial"/>
                <w:color w:val="000000" w:themeColor="text1"/>
                <w:sz w:val="20"/>
                <w:szCs w:val="20"/>
              </w:rPr>
              <w:t xml:space="preserve">Total </w:t>
            </w:r>
            <w:proofErr w:type="spellStart"/>
            <w:r w:rsidRPr="00BC5F1D">
              <w:rPr>
                <w:rFonts w:ascii="Arial" w:eastAsia="Calibri" w:hAnsi="Arial" w:cs="Arial"/>
                <w:color w:val="000000" w:themeColor="text1"/>
                <w:sz w:val="20"/>
                <w:szCs w:val="20"/>
              </w:rPr>
              <w:t>lipid</w:t>
            </w:r>
            <w:r w:rsidR="00BD32E8" w:rsidRPr="00BC5F1D">
              <w:rPr>
                <w:rFonts w:ascii="Arial" w:eastAsia="Calibri" w:hAnsi="Arial" w:cs="Arial"/>
                <w:color w:val="000000" w:themeColor="text1"/>
                <w:sz w:val="20"/>
                <w:szCs w:val="20"/>
              </w:rPr>
              <w:t>s</w:t>
            </w:r>
            <w:proofErr w:type="spellEnd"/>
          </w:p>
        </w:tc>
        <w:tc>
          <w:tcPr>
            <w:tcW w:w="2127" w:type="dxa"/>
            <w:tcBorders>
              <w:top w:val="nil"/>
              <w:left w:val="nil"/>
              <w:bottom w:val="nil"/>
              <w:right w:val="nil"/>
            </w:tcBorders>
            <w:vAlign w:val="center"/>
          </w:tcPr>
          <w:p w14:paraId="0B4D3E66" w14:textId="6D1217FF" w:rsidR="00D746DB" w:rsidRPr="00BC5F1D" w:rsidRDefault="00D746DB" w:rsidP="00D746DB">
            <w:pPr>
              <w:spacing w:after="0" w:line="276" w:lineRule="auto"/>
              <w:jc w:val="center"/>
              <w:rPr>
                <w:rFonts w:ascii="Arial" w:eastAsia="Calibri" w:hAnsi="Arial" w:cs="Arial"/>
                <w:bCs/>
                <w:color w:val="000000" w:themeColor="text1"/>
                <w:sz w:val="20"/>
                <w:szCs w:val="20"/>
              </w:rPr>
            </w:pPr>
            <w:r w:rsidRPr="00BC5F1D">
              <w:rPr>
                <w:rFonts w:ascii="Arial" w:eastAsia="Calibri" w:hAnsi="Arial" w:cs="Arial"/>
                <w:bCs/>
                <w:color w:val="000000" w:themeColor="text1"/>
                <w:sz w:val="20"/>
                <w:szCs w:val="20"/>
              </w:rPr>
              <w:t>4.15 ± 0.02</w:t>
            </w:r>
            <w:r w:rsidRPr="00BC5F1D">
              <w:rPr>
                <w:rFonts w:ascii="Arial" w:eastAsia="Calibri" w:hAnsi="Arial" w:cs="Arial"/>
                <w:bCs/>
                <w:color w:val="000000" w:themeColor="text1"/>
                <w:sz w:val="20"/>
                <w:szCs w:val="20"/>
                <w:vertAlign w:val="superscript"/>
              </w:rPr>
              <w:t>c</w:t>
            </w:r>
          </w:p>
        </w:tc>
        <w:tc>
          <w:tcPr>
            <w:tcW w:w="1880" w:type="dxa"/>
            <w:tcBorders>
              <w:top w:val="nil"/>
              <w:left w:val="nil"/>
              <w:bottom w:val="nil"/>
              <w:right w:val="nil"/>
            </w:tcBorders>
            <w:vAlign w:val="center"/>
          </w:tcPr>
          <w:p w14:paraId="58FFD94E" w14:textId="3D4965FF" w:rsidR="00D746DB" w:rsidRPr="00BC5F1D" w:rsidRDefault="00D746DB" w:rsidP="00D746DB">
            <w:pPr>
              <w:spacing w:after="0" w:line="276" w:lineRule="auto"/>
              <w:jc w:val="center"/>
              <w:rPr>
                <w:rFonts w:ascii="Arial" w:eastAsia="Calibri" w:hAnsi="Arial" w:cs="Arial"/>
                <w:color w:val="000000" w:themeColor="text1"/>
                <w:sz w:val="20"/>
                <w:szCs w:val="20"/>
              </w:rPr>
            </w:pPr>
            <w:r w:rsidRPr="00BC5F1D">
              <w:rPr>
                <w:rFonts w:ascii="Arial" w:eastAsia="Calibri" w:hAnsi="Arial" w:cs="Arial"/>
                <w:bCs/>
                <w:color w:val="000000" w:themeColor="text1"/>
                <w:sz w:val="20"/>
                <w:szCs w:val="20"/>
              </w:rPr>
              <w:t>3.48 ± 0.</w:t>
            </w:r>
            <w:r w:rsidR="00CF11BF" w:rsidRPr="00BC5F1D">
              <w:rPr>
                <w:rFonts w:ascii="Arial" w:eastAsia="Calibri" w:hAnsi="Arial" w:cs="Arial"/>
                <w:bCs/>
                <w:color w:val="000000" w:themeColor="text1"/>
                <w:sz w:val="20"/>
                <w:szCs w:val="20"/>
              </w:rPr>
              <w:t>0</w:t>
            </w:r>
            <w:r w:rsidRPr="00BC5F1D">
              <w:rPr>
                <w:rFonts w:ascii="Arial" w:eastAsia="Calibri" w:hAnsi="Arial" w:cs="Arial"/>
                <w:bCs/>
                <w:color w:val="000000" w:themeColor="text1"/>
                <w:sz w:val="20"/>
                <w:szCs w:val="20"/>
              </w:rPr>
              <w:t>5</w:t>
            </w:r>
            <w:r w:rsidRPr="00BC5F1D">
              <w:rPr>
                <w:rFonts w:ascii="Arial" w:eastAsia="Calibri" w:hAnsi="Arial" w:cs="Arial"/>
                <w:bCs/>
                <w:color w:val="000000" w:themeColor="text1"/>
                <w:sz w:val="20"/>
                <w:szCs w:val="20"/>
                <w:vertAlign w:val="superscript"/>
              </w:rPr>
              <w:t>b</w:t>
            </w:r>
          </w:p>
        </w:tc>
        <w:tc>
          <w:tcPr>
            <w:tcW w:w="2514" w:type="dxa"/>
            <w:tcBorders>
              <w:top w:val="nil"/>
              <w:left w:val="nil"/>
              <w:bottom w:val="nil"/>
              <w:right w:val="nil"/>
            </w:tcBorders>
            <w:vAlign w:val="center"/>
          </w:tcPr>
          <w:p w14:paraId="6A405F06" w14:textId="1A771CBC" w:rsidR="00D746DB" w:rsidRPr="00BC5F1D" w:rsidRDefault="00D746DB" w:rsidP="00D746DB">
            <w:pPr>
              <w:spacing w:after="0" w:line="276" w:lineRule="auto"/>
              <w:jc w:val="center"/>
              <w:rPr>
                <w:rFonts w:ascii="Arial" w:eastAsia="Calibri" w:hAnsi="Arial" w:cs="Arial"/>
                <w:color w:val="000000" w:themeColor="text1"/>
                <w:sz w:val="20"/>
                <w:szCs w:val="20"/>
              </w:rPr>
            </w:pPr>
            <w:r w:rsidRPr="00BC5F1D">
              <w:rPr>
                <w:rFonts w:ascii="Arial" w:eastAsia="Calibri" w:hAnsi="Arial" w:cs="Arial"/>
                <w:bCs/>
                <w:color w:val="000000" w:themeColor="text1"/>
                <w:sz w:val="20"/>
                <w:szCs w:val="20"/>
              </w:rPr>
              <w:t>2.10 ± 0.01</w:t>
            </w:r>
            <w:r w:rsidRPr="00BC5F1D">
              <w:rPr>
                <w:rFonts w:ascii="Arial" w:eastAsia="Calibri" w:hAnsi="Arial" w:cs="Arial"/>
                <w:bCs/>
                <w:color w:val="000000" w:themeColor="text1"/>
                <w:sz w:val="20"/>
                <w:szCs w:val="20"/>
                <w:vertAlign w:val="superscript"/>
              </w:rPr>
              <w:t>a</w:t>
            </w:r>
          </w:p>
        </w:tc>
      </w:tr>
      <w:tr w:rsidR="00A45DC5" w:rsidRPr="00BC5F1D" w14:paraId="23F78541" w14:textId="77777777" w:rsidTr="00DE271F">
        <w:trPr>
          <w:trHeight w:val="464"/>
          <w:jc w:val="center"/>
        </w:trPr>
        <w:tc>
          <w:tcPr>
            <w:tcW w:w="2835" w:type="dxa"/>
            <w:tcBorders>
              <w:top w:val="nil"/>
              <w:left w:val="nil"/>
              <w:bottom w:val="nil"/>
              <w:right w:val="nil"/>
            </w:tcBorders>
            <w:vAlign w:val="center"/>
          </w:tcPr>
          <w:p w14:paraId="3B489F13" w14:textId="2C39EC84" w:rsidR="00D746DB" w:rsidRPr="00BC5F1D" w:rsidRDefault="00D746DB" w:rsidP="00D746DB">
            <w:pPr>
              <w:spacing w:after="0" w:line="276" w:lineRule="auto"/>
              <w:rPr>
                <w:rFonts w:ascii="Arial" w:eastAsia="Calibri" w:hAnsi="Arial" w:cs="Arial"/>
                <w:color w:val="000000" w:themeColor="text1"/>
                <w:sz w:val="20"/>
                <w:szCs w:val="20"/>
              </w:rPr>
            </w:pPr>
            <w:proofErr w:type="spellStart"/>
            <w:r w:rsidRPr="00BC5F1D">
              <w:rPr>
                <w:rFonts w:ascii="Arial" w:eastAsia="Calibri" w:hAnsi="Arial" w:cs="Arial"/>
                <w:color w:val="000000" w:themeColor="text1"/>
                <w:sz w:val="20"/>
                <w:szCs w:val="20"/>
              </w:rPr>
              <w:t>Crude</w:t>
            </w:r>
            <w:proofErr w:type="spellEnd"/>
            <w:r w:rsidRPr="00BC5F1D">
              <w:rPr>
                <w:rFonts w:ascii="Arial" w:eastAsia="Calibri" w:hAnsi="Arial" w:cs="Arial"/>
                <w:color w:val="000000" w:themeColor="text1"/>
                <w:sz w:val="20"/>
                <w:szCs w:val="20"/>
              </w:rPr>
              <w:t xml:space="preserve"> </w:t>
            </w:r>
            <w:proofErr w:type="spellStart"/>
            <w:r w:rsidRPr="00BC5F1D">
              <w:rPr>
                <w:rFonts w:ascii="Arial" w:eastAsia="Calibri" w:hAnsi="Arial" w:cs="Arial"/>
                <w:color w:val="000000" w:themeColor="text1"/>
                <w:sz w:val="20"/>
                <w:szCs w:val="20"/>
              </w:rPr>
              <w:t>fib</w:t>
            </w:r>
            <w:r w:rsidR="00BD32E8" w:rsidRPr="00BC5F1D">
              <w:rPr>
                <w:rFonts w:ascii="Arial" w:eastAsia="Calibri" w:hAnsi="Arial" w:cs="Arial"/>
                <w:color w:val="000000" w:themeColor="text1"/>
                <w:sz w:val="20"/>
                <w:szCs w:val="20"/>
              </w:rPr>
              <w:t>ers</w:t>
            </w:r>
            <w:proofErr w:type="spellEnd"/>
          </w:p>
        </w:tc>
        <w:tc>
          <w:tcPr>
            <w:tcW w:w="2127" w:type="dxa"/>
            <w:tcBorders>
              <w:top w:val="nil"/>
              <w:left w:val="nil"/>
              <w:bottom w:val="nil"/>
              <w:right w:val="nil"/>
            </w:tcBorders>
            <w:vAlign w:val="center"/>
          </w:tcPr>
          <w:p w14:paraId="4316F8FA" w14:textId="7477FB45" w:rsidR="00D746DB" w:rsidRPr="00BC5F1D" w:rsidRDefault="00D746DB" w:rsidP="00D746DB">
            <w:pPr>
              <w:spacing w:after="0" w:line="276" w:lineRule="auto"/>
              <w:jc w:val="center"/>
              <w:rPr>
                <w:rFonts w:ascii="Arial" w:eastAsia="Calibri" w:hAnsi="Arial" w:cs="Arial"/>
                <w:bCs/>
                <w:color w:val="000000" w:themeColor="text1"/>
                <w:sz w:val="20"/>
                <w:szCs w:val="20"/>
              </w:rPr>
            </w:pPr>
            <w:r w:rsidRPr="00BC5F1D">
              <w:rPr>
                <w:rFonts w:ascii="Arial" w:eastAsia="Calibri" w:hAnsi="Arial" w:cs="Arial"/>
                <w:bCs/>
                <w:color w:val="000000" w:themeColor="text1"/>
                <w:sz w:val="20"/>
                <w:szCs w:val="20"/>
              </w:rPr>
              <w:t>1</w:t>
            </w:r>
            <w:r w:rsidR="0094600F" w:rsidRPr="00BC5F1D">
              <w:rPr>
                <w:rFonts w:ascii="Arial" w:eastAsia="Calibri" w:hAnsi="Arial" w:cs="Arial"/>
                <w:bCs/>
                <w:color w:val="000000" w:themeColor="text1"/>
                <w:sz w:val="20"/>
                <w:szCs w:val="20"/>
              </w:rPr>
              <w:t>9</w:t>
            </w:r>
            <w:r w:rsidRPr="00BC5F1D">
              <w:rPr>
                <w:rFonts w:ascii="Arial" w:eastAsia="Calibri" w:hAnsi="Arial" w:cs="Arial"/>
                <w:bCs/>
                <w:color w:val="000000" w:themeColor="text1"/>
                <w:sz w:val="20"/>
                <w:szCs w:val="20"/>
              </w:rPr>
              <w:t>.05 ± 0.1</w:t>
            </w:r>
            <w:r w:rsidR="00CF11BF" w:rsidRPr="00BC5F1D">
              <w:rPr>
                <w:rFonts w:ascii="Arial" w:eastAsia="Calibri" w:hAnsi="Arial" w:cs="Arial"/>
                <w:bCs/>
                <w:color w:val="000000" w:themeColor="text1"/>
                <w:sz w:val="20"/>
                <w:szCs w:val="20"/>
              </w:rPr>
              <w:t>0</w:t>
            </w:r>
            <w:r w:rsidR="00E575E4" w:rsidRPr="00BC5F1D">
              <w:rPr>
                <w:rFonts w:ascii="Arial" w:eastAsia="Calibri" w:hAnsi="Arial" w:cs="Arial"/>
                <w:bCs/>
                <w:color w:val="000000" w:themeColor="text1"/>
                <w:sz w:val="20"/>
                <w:szCs w:val="20"/>
                <w:vertAlign w:val="superscript"/>
              </w:rPr>
              <w:t>b</w:t>
            </w:r>
          </w:p>
        </w:tc>
        <w:tc>
          <w:tcPr>
            <w:tcW w:w="1880" w:type="dxa"/>
            <w:tcBorders>
              <w:top w:val="nil"/>
              <w:left w:val="nil"/>
              <w:bottom w:val="nil"/>
              <w:right w:val="nil"/>
            </w:tcBorders>
            <w:vAlign w:val="center"/>
          </w:tcPr>
          <w:p w14:paraId="6C0B6EB2" w14:textId="681EDB72" w:rsidR="00D746DB" w:rsidRPr="00BC5F1D" w:rsidRDefault="00D746DB" w:rsidP="00D746DB">
            <w:pPr>
              <w:spacing w:after="0" w:line="276" w:lineRule="auto"/>
              <w:jc w:val="center"/>
              <w:rPr>
                <w:rFonts w:ascii="Arial" w:eastAsia="Calibri" w:hAnsi="Arial" w:cs="Arial"/>
                <w:bCs/>
                <w:color w:val="000000" w:themeColor="text1"/>
                <w:sz w:val="20"/>
                <w:szCs w:val="20"/>
              </w:rPr>
            </w:pPr>
            <w:r w:rsidRPr="00BC5F1D">
              <w:rPr>
                <w:rFonts w:ascii="Arial" w:eastAsia="Calibri" w:hAnsi="Arial" w:cs="Arial"/>
                <w:bCs/>
                <w:color w:val="000000" w:themeColor="text1"/>
                <w:sz w:val="20"/>
                <w:szCs w:val="20"/>
              </w:rPr>
              <w:t>12.24 ± 0.50</w:t>
            </w:r>
            <w:r w:rsidR="00E575E4" w:rsidRPr="00BC5F1D">
              <w:rPr>
                <w:rFonts w:ascii="Arial" w:eastAsia="Calibri" w:hAnsi="Arial" w:cs="Arial"/>
                <w:bCs/>
                <w:color w:val="000000" w:themeColor="text1"/>
                <w:sz w:val="20"/>
                <w:szCs w:val="20"/>
                <w:vertAlign w:val="superscript"/>
              </w:rPr>
              <w:t>a</w:t>
            </w:r>
          </w:p>
        </w:tc>
        <w:tc>
          <w:tcPr>
            <w:tcW w:w="2514" w:type="dxa"/>
            <w:tcBorders>
              <w:top w:val="nil"/>
              <w:left w:val="nil"/>
              <w:bottom w:val="nil"/>
              <w:right w:val="nil"/>
            </w:tcBorders>
            <w:vAlign w:val="center"/>
          </w:tcPr>
          <w:p w14:paraId="0DA297DB" w14:textId="5769E678" w:rsidR="00D746DB" w:rsidRPr="00BC5F1D" w:rsidRDefault="0045295C" w:rsidP="00D746DB">
            <w:pPr>
              <w:spacing w:after="0" w:line="276" w:lineRule="auto"/>
              <w:jc w:val="center"/>
              <w:rPr>
                <w:rFonts w:ascii="Arial" w:eastAsia="Calibri" w:hAnsi="Arial" w:cs="Arial"/>
                <w:bCs/>
                <w:color w:val="000000" w:themeColor="text1"/>
                <w:sz w:val="20"/>
                <w:szCs w:val="20"/>
              </w:rPr>
            </w:pPr>
            <w:r w:rsidRPr="00BC5F1D">
              <w:rPr>
                <w:rFonts w:ascii="Arial" w:eastAsia="Calibri" w:hAnsi="Arial" w:cs="Arial"/>
                <w:bCs/>
                <w:color w:val="000000" w:themeColor="text1"/>
                <w:sz w:val="20"/>
                <w:szCs w:val="20"/>
              </w:rPr>
              <w:t>1</w:t>
            </w:r>
            <w:r w:rsidR="00437025" w:rsidRPr="00BC5F1D">
              <w:rPr>
                <w:rFonts w:ascii="Arial" w:eastAsia="Calibri" w:hAnsi="Arial" w:cs="Arial"/>
                <w:bCs/>
                <w:color w:val="000000" w:themeColor="text1"/>
                <w:sz w:val="20"/>
                <w:szCs w:val="20"/>
              </w:rPr>
              <w:t>8</w:t>
            </w:r>
            <w:r w:rsidR="00D746DB" w:rsidRPr="00BC5F1D">
              <w:rPr>
                <w:rFonts w:ascii="Arial" w:eastAsia="Calibri" w:hAnsi="Arial" w:cs="Arial"/>
                <w:bCs/>
                <w:color w:val="000000" w:themeColor="text1"/>
                <w:sz w:val="20"/>
                <w:szCs w:val="20"/>
              </w:rPr>
              <w:t>.</w:t>
            </w:r>
            <w:r w:rsidRPr="00BC5F1D">
              <w:rPr>
                <w:rFonts w:ascii="Arial" w:eastAsia="Calibri" w:hAnsi="Arial" w:cs="Arial"/>
                <w:bCs/>
                <w:color w:val="000000" w:themeColor="text1"/>
                <w:sz w:val="20"/>
                <w:szCs w:val="20"/>
              </w:rPr>
              <w:t>98</w:t>
            </w:r>
            <w:r w:rsidR="00D746DB" w:rsidRPr="00BC5F1D">
              <w:rPr>
                <w:rFonts w:ascii="Arial" w:eastAsia="Calibri" w:hAnsi="Arial" w:cs="Arial"/>
                <w:bCs/>
                <w:color w:val="000000" w:themeColor="text1"/>
                <w:sz w:val="20"/>
                <w:szCs w:val="20"/>
              </w:rPr>
              <w:t xml:space="preserve"> ± 0.02</w:t>
            </w:r>
            <w:r w:rsidR="00E575E4" w:rsidRPr="00BC5F1D">
              <w:rPr>
                <w:rFonts w:ascii="Arial" w:eastAsia="Calibri" w:hAnsi="Arial" w:cs="Arial"/>
                <w:bCs/>
                <w:color w:val="000000" w:themeColor="text1"/>
                <w:sz w:val="20"/>
                <w:szCs w:val="20"/>
                <w:vertAlign w:val="superscript"/>
              </w:rPr>
              <w:t>b</w:t>
            </w:r>
          </w:p>
        </w:tc>
      </w:tr>
      <w:tr w:rsidR="00A45DC5" w:rsidRPr="00BC5F1D" w14:paraId="0B8C9FCB" w14:textId="77777777" w:rsidTr="00DE271F">
        <w:trPr>
          <w:trHeight w:val="464"/>
          <w:jc w:val="center"/>
        </w:trPr>
        <w:tc>
          <w:tcPr>
            <w:tcW w:w="2835" w:type="dxa"/>
            <w:tcBorders>
              <w:top w:val="nil"/>
              <w:left w:val="nil"/>
              <w:bottom w:val="nil"/>
              <w:right w:val="nil"/>
            </w:tcBorders>
            <w:vAlign w:val="center"/>
          </w:tcPr>
          <w:p w14:paraId="69BFCC21" w14:textId="10925258" w:rsidR="00D746DB" w:rsidRPr="00BC5F1D" w:rsidRDefault="00D746DB" w:rsidP="00D746DB">
            <w:pPr>
              <w:spacing w:after="0" w:line="276" w:lineRule="auto"/>
              <w:rPr>
                <w:rFonts w:ascii="Arial" w:eastAsia="Calibri" w:hAnsi="Arial" w:cs="Arial"/>
                <w:color w:val="000000" w:themeColor="text1"/>
                <w:sz w:val="20"/>
                <w:szCs w:val="20"/>
              </w:rPr>
            </w:pPr>
            <w:r w:rsidRPr="00BC5F1D">
              <w:rPr>
                <w:rFonts w:ascii="Arial" w:eastAsia="Calibri" w:hAnsi="Arial" w:cs="Arial"/>
                <w:color w:val="000000" w:themeColor="text1"/>
                <w:sz w:val="20"/>
                <w:szCs w:val="20"/>
              </w:rPr>
              <w:t xml:space="preserve">Total </w:t>
            </w:r>
            <w:proofErr w:type="spellStart"/>
            <w:r w:rsidRPr="00BC5F1D">
              <w:rPr>
                <w:rFonts w:ascii="Arial" w:eastAsia="Calibri" w:hAnsi="Arial" w:cs="Arial"/>
                <w:color w:val="000000" w:themeColor="text1"/>
                <w:sz w:val="20"/>
                <w:szCs w:val="20"/>
              </w:rPr>
              <w:t>ash</w:t>
            </w:r>
            <w:proofErr w:type="spellEnd"/>
          </w:p>
        </w:tc>
        <w:tc>
          <w:tcPr>
            <w:tcW w:w="2127" w:type="dxa"/>
            <w:tcBorders>
              <w:top w:val="nil"/>
              <w:left w:val="nil"/>
              <w:bottom w:val="nil"/>
              <w:right w:val="nil"/>
            </w:tcBorders>
            <w:vAlign w:val="center"/>
          </w:tcPr>
          <w:p w14:paraId="1DB0359B" w14:textId="3EC7E67D" w:rsidR="00D746DB" w:rsidRPr="00BC5F1D" w:rsidRDefault="00D746DB" w:rsidP="00D746DB">
            <w:pPr>
              <w:spacing w:after="0" w:line="276" w:lineRule="auto"/>
              <w:jc w:val="center"/>
              <w:rPr>
                <w:rFonts w:ascii="Arial" w:eastAsia="Calibri" w:hAnsi="Arial" w:cs="Arial"/>
                <w:bCs/>
                <w:color w:val="000000" w:themeColor="text1"/>
                <w:sz w:val="20"/>
                <w:szCs w:val="20"/>
              </w:rPr>
            </w:pPr>
            <w:r w:rsidRPr="00BC5F1D">
              <w:rPr>
                <w:rFonts w:ascii="Arial" w:eastAsia="Calibri" w:hAnsi="Arial" w:cs="Arial"/>
                <w:bCs/>
                <w:color w:val="000000" w:themeColor="text1"/>
                <w:sz w:val="20"/>
                <w:szCs w:val="20"/>
              </w:rPr>
              <w:t>10.78 ± 0.2</w:t>
            </w:r>
            <w:r w:rsidR="00247D00" w:rsidRPr="00BC5F1D">
              <w:rPr>
                <w:rFonts w:ascii="Arial" w:eastAsia="Calibri" w:hAnsi="Arial" w:cs="Arial"/>
                <w:bCs/>
                <w:color w:val="000000" w:themeColor="text1"/>
                <w:sz w:val="20"/>
                <w:szCs w:val="20"/>
              </w:rPr>
              <w:t>0</w:t>
            </w:r>
            <w:r w:rsidR="00EB7863" w:rsidRPr="00BC5F1D">
              <w:rPr>
                <w:rFonts w:ascii="Arial" w:eastAsia="Calibri" w:hAnsi="Arial" w:cs="Arial"/>
                <w:bCs/>
                <w:color w:val="000000" w:themeColor="text1"/>
                <w:sz w:val="20"/>
                <w:szCs w:val="20"/>
                <w:vertAlign w:val="superscript"/>
              </w:rPr>
              <w:t>b</w:t>
            </w:r>
          </w:p>
        </w:tc>
        <w:tc>
          <w:tcPr>
            <w:tcW w:w="1880" w:type="dxa"/>
            <w:tcBorders>
              <w:top w:val="nil"/>
              <w:left w:val="nil"/>
              <w:bottom w:val="nil"/>
              <w:right w:val="nil"/>
            </w:tcBorders>
            <w:vAlign w:val="center"/>
          </w:tcPr>
          <w:p w14:paraId="7E06ECB2" w14:textId="4CBF0406" w:rsidR="00D746DB" w:rsidRPr="00BC5F1D" w:rsidRDefault="00D746DB" w:rsidP="00D746DB">
            <w:pPr>
              <w:spacing w:after="0" w:line="276" w:lineRule="auto"/>
              <w:jc w:val="center"/>
              <w:rPr>
                <w:rFonts w:ascii="Arial" w:eastAsia="Calibri" w:hAnsi="Arial" w:cs="Arial"/>
                <w:color w:val="000000" w:themeColor="text1"/>
                <w:sz w:val="20"/>
                <w:szCs w:val="20"/>
              </w:rPr>
            </w:pPr>
            <w:r w:rsidRPr="00BC5F1D">
              <w:rPr>
                <w:rFonts w:ascii="Arial" w:eastAsia="Calibri" w:hAnsi="Arial" w:cs="Arial"/>
                <w:bCs/>
                <w:color w:val="000000" w:themeColor="text1"/>
                <w:sz w:val="20"/>
                <w:szCs w:val="20"/>
              </w:rPr>
              <w:t>10.28 ± 0.35</w:t>
            </w:r>
            <w:r w:rsidR="00EB7863" w:rsidRPr="00BC5F1D">
              <w:rPr>
                <w:rFonts w:ascii="Arial" w:eastAsia="Calibri" w:hAnsi="Arial" w:cs="Arial"/>
                <w:bCs/>
                <w:color w:val="000000" w:themeColor="text1"/>
                <w:sz w:val="20"/>
                <w:szCs w:val="20"/>
                <w:vertAlign w:val="superscript"/>
              </w:rPr>
              <w:t>b</w:t>
            </w:r>
          </w:p>
        </w:tc>
        <w:tc>
          <w:tcPr>
            <w:tcW w:w="2514" w:type="dxa"/>
            <w:tcBorders>
              <w:top w:val="nil"/>
              <w:left w:val="nil"/>
              <w:bottom w:val="nil"/>
              <w:right w:val="nil"/>
            </w:tcBorders>
            <w:vAlign w:val="center"/>
          </w:tcPr>
          <w:p w14:paraId="6AB35947" w14:textId="4CE27535" w:rsidR="00D746DB" w:rsidRPr="00BC5F1D" w:rsidRDefault="00437025" w:rsidP="00D746DB">
            <w:pPr>
              <w:spacing w:after="0" w:line="276" w:lineRule="auto"/>
              <w:jc w:val="center"/>
              <w:rPr>
                <w:rFonts w:ascii="Arial" w:eastAsia="Calibri" w:hAnsi="Arial" w:cs="Arial"/>
                <w:color w:val="000000" w:themeColor="text1"/>
                <w:sz w:val="20"/>
                <w:szCs w:val="20"/>
              </w:rPr>
            </w:pPr>
            <w:r w:rsidRPr="00BC5F1D">
              <w:rPr>
                <w:rFonts w:ascii="Arial" w:eastAsia="Calibri" w:hAnsi="Arial" w:cs="Arial"/>
                <w:bCs/>
                <w:color w:val="000000" w:themeColor="text1"/>
                <w:sz w:val="20"/>
                <w:szCs w:val="20"/>
              </w:rPr>
              <w:t>4</w:t>
            </w:r>
            <w:r w:rsidR="00D746DB" w:rsidRPr="00BC5F1D">
              <w:rPr>
                <w:rFonts w:ascii="Arial" w:eastAsia="Calibri" w:hAnsi="Arial" w:cs="Arial"/>
                <w:bCs/>
                <w:color w:val="000000" w:themeColor="text1"/>
                <w:sz w:val="20"/>
                <w:szCs w:val="20"/>
              </w:rPr>
              <w:t>.16 ± 0.1</w:t>
            </w:r>
            <w:r w:rsidR="00CF11BF" w:rsidRPr="00BC5F1D">
              <w:rPr>
                <w:rFonts w:ascii="Arial" w:eastAsia="Calibri" w:hAnsi="Arial" w:cs="Arial"/>
                <w:bCs/>
                <w:color w:val="000000" w:themeColor="text1"/>
                <w:sz w:val="20"/>
                <w:szCs w:val="20"/>
              </w:rPr>
              <w:t>0</w:t>
            </w:r>
            <w:r w:rsidR="00EB7863" w:rsidRPr="00BC5F1D">
              <w:rPr>
                <w:rFonts w:ascii="Arial" w:eastAsia="Calibri" w:hAnsi="Arial" w:cs="Arial"/>
                <w:bCs/>
                <w:color w:val="000000" w:themeColor="text1"/>
                <w:sz w:val="20"/>
                <w:szCs w:val="20"/>
                <w:vertAlign w:val="superscript"/>
              </w:rPr>
              <w:t>a</w:t>
            </w:r>
          </w:p>
        </w:tc>
      </w:tr>
      <w:tr w:rsidR="00A45DC5" w:rsidRPr="00BC5F1D" w14:paraId="009E3882" w14:textId="77777777" w:rsidTr="00DE271F">
        <w:trPr>
          <w:trHeight w:val="434"/>
          <w:jc w:val="center"/>
        </w:trPr>
        <w:tc>
          <w:tcPr>
            <w:tcW w:w="2835" w:type="dxa"/>
            <w:tcBorders>
              <w:top w:val="nil"/>
              <w:left w:val="nil"/>
              <w:bottom w:val="single" w:sz="4" w:space="0" w:color="auto"/>
              <w:right w:val="nil"/>
            </w:tcBorders>
            <w:vAlign w:val="center"/>
          </w:tcPr>
          <w:p w14:paraId="2CDAF7CD" w14:textId="1F8ADE32" w:rsidR="00D746DB" w:rsidRPr="00BC5F1D" w:rsidRDefault="00D746DB" w:rsidP="00D746DB">
            <w:pPr>
              <w:spacing w:after="0" w:line="276"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Energie (Kcal</w:t>
            </w:r>
            <w:r w:rsidR="0094143F" w:rsidRPr="00BC5F1D">
              <w:rPr>
                <w:rFonts w:ascii="Arial" w:eastAsia="Calibri" w:hAnsi="Arial" w:cs="Arial"/>
                <w:color w:val="000000" w:themeColor="text1"/>
                <w:sz w:val="20"/>
                <w:szCs w:val="20"/>
                <w:lang w:val="en-US"/>
              </w:rPr>
              <w:t>/100g</w:t>
            </w:r>
            <w:r w:rsidRPr="00BC5F1D">
              <w:rPr>
                <w:rFonts w:ascii="Arial" w:eastAsia="Calibri" w:hAnsi="Arial" w:cs="Arial"/>
                <w:color w:val="000000" w:themeColor="text1"/>
                <w:sz w:val="20"/>
                <w:szCs w:val="20"/>
                <w:lang w:val="en-US"/>
              </w:rPr>
              <w:t>)</w:t>
            </w:r>
          </w:p>
        </w:tc>
        <w:tc>
          <w:tcPr>
            <w:tcW w:w="2127" w:type="dxa"/>
            <w:tcBorders>
              <w:top w:val="nil"/>
              <w:left w:val="nil"/>
              <w:bottom w:val="single" w:sz="4" w:space="0" w:color="auto"/>
              <w:right w:val="nil"/>
            </w:tcBorders>
            <w:vAlign w:val="center"/>
          </w:tcPr>
          <w:p w14:paraId="3E53A185" w14:textId="35662848" w:rsidR="00D746DB" w:rsidRPr="00BC5F1D" w:rsidRDefault="00247D00" w:rsidP="00D746DB">
            <w:pPr>
              <w:spacing w:after="0" w:line="276" w:lineRule="auto"/>
              <w:jc w:val="center"/>
              <w:rPr>
                <w:rFonts w:ascii="Arial" w:eastAsia="Calibri" w:hAnsi="Arial" w:cs="Arial"/>
                <w:bCs/>
                <w:color w:val="000000" w:themeColor="text1"/>
                <w:sz w:val="20"/>
                <w:szCs w:val="20"/>
              </w:rPr>
            </w:pPr>
            <w:r w:rsidRPr="00BC5F1D">
              <w:rPr>
                <w:rFonts w:ascii="Arial" w:eastAsia="Calibri" w:hAnsi="Arial" w:cs="Arial"/>
                <w:bCs/>
                <w:color w:val="000000" w:themeColor="text1"/>
                <w:sz w:val="20"/>
                <w:szCs w:val="20"/>
              </w:rPr>
              <w:t>257.75</w:t>
            </w:r>
            <w:r w:rsidR="00D746DB" w:rsidRPr="00BC5F1D">
              <w:rPr>
                <w:rFonts w:ascii="Arial" w:eastAsia="Calibri" w:hAnsi="Arial" w:cs="Arial"/>
                <w:bCs/>
                <w:color w:val="000000" w:themeColor="text1"/>
                <w:sz w:val="20"/>
                <w:szCs w:val="20"/>
              </w:rPr>
              <w:t xml:space="preserve"> ± </w:t>
            </w:r>
            <w:r w:rsidRPr="00BC5F1D">
              <w:rPr>
                <w:rFonts w:ascii="Arial" w:eastAsia="Calibri" w:hAnsi="Arial" w:cs="Arial"/>
                <w:bCs/>
                <w:color w:val="000000" w:themeColor="text1"/>
                <w:sz w:val="20"/>
                <w:szCs w:val="20"/>
              </w:rPr>
              <w:t>3</w:t>
            </w:r>
            <w:r w:rsidR="00D746DB" w:rsidRPr="00BC5F1D">
              <w:rPr>
                <w:rFonts w:ascii="Arial" w:eastAsia="Calibri" w:hAnsi="Arial" w:cs="Arial"/>
                <w:bCs/>
                <w:color w:val="000000" w:themeColor="text1"/>
                <w:sz w:val="20"/>
                <w:szCs w:val="20"/>
              </w:rPr>
              <w:t>.</w:t>
            </w:r>
            <w:r w:rsidRPr="00BC5F1D">
              <w:rPr>
                <w:rFonts w:ascii="Arial" w:eastAsia="Calibri" w:hAnsi="Arial" w:cs="Arial"/>
                <w:bCs/>
                <w:color w:val="000000" w:themeColor="text1"/>
                <w:sz w:val="20"/>
                <w:szCs w:val="20"/>
              </w:rPr>
              <w:t>9</w:t>
            </w:r>
            <w:r w:rsidR="00D746DB" w:rsidRPr="00BC5F1D">
              <w:rPr>
                <w:rFonts w:ascii="Arial" w:eastAsia="Calibri" w:hAnsi="Arial" w:cs="Arial"/>
                <w:bCs/>
                <w:color w:val="000000" w:themeColor="text1"/>
                <w:sz w:val="20"/>
                <w:szCs w:val="20"/>
              </w:rPr>
              <w:t>8</w:t>
            </w:r>
            <w:r w:rsidR="008E43B4" w:rsidRPr="00BC5F1D">
              <w:rPr>
                <w:rFonts w:ascii="Arial" w:eastAsia="Calibri" w:hAnsi="Arial" w:cs="Arial"/>
                <w:bCs/>
                <w:color w:val="000000" w:themeColor="text1"/>
                <w:sz w:val="20"/>
                <w:szCs w:val="20"/>
                <w:vertAlign w:val="superscript"/>
              </w:rPr>
              <w:t>a</w:t>
            </w:r>
          </w:p>
        </w:tc>
        <w:tc>
          <w:tcPr>
            <w:tcW w:w="1880" w:type="dxa"/>
            <w:tcBorders>
              <w:top w:val="nil"/>
              <w:left w:val="nil"/>
              <w:bottom w:val="single" w:sz="4" w:space="0" w:color="auto"/>
              <w:right w:val="nil"/>
            </w:tcBorders>
            <w:vAlign w:val="center"/>
          </w:tcPr>
          <w:p w14:paraId="67615122" w14:textId="22B649F8" w:rsidR="00D746DB" w:rsidRPr="00BC5F1D" w:rsidRDefault="00D746DB" w:rsidP="00D746DB">
            <w:pPr>
              <w:spacing w:after="0" w:line="276" w:lineRule="auto"/>
              <w:jc w:val="center"/>
              <w:rPr>
                <w:rFonts w:ascii="Arial" w:eastAsia="Calibri" w:hAnsi="Arial" w:cs="Arial"/>
                <w:bCs/>
                <w:color w:val="000000" w:themeColor="text1"/>
                <w:sz w:val="20"/>
                <w:szCs w:val="20"/>
              </w:rPr>
            </w:pPr>
            <w:r w:rsidRPr="00BC5F1D">
              <w:rPr>
                <w:rFonts w:ascii="Arial" w:eastAsia="Calibri" w:hAnsi="Arial" w:cs="Arial"/>
                <w:bCs/>
                <w:color w:val="000000" w:themeColor="text1"/>
                <w:sz w:val="20"/>
                <w:szCs w:val="20"/>
              </w:rPr>
              <w:t xml:space="preserve">270.68 ± </w:t>
            </w:r>
            <w:r w:rsidR="00247D00" w:rsidRPr="00BC5F1D">
              <w:rPr>
                <w:rFonts w:ascii="Arial" w:eastAsia="Calibri" w:hAnsi="Arial" w:cs="Arial"/>
                <w:bCs/>
                <w:color w:val="000000" w:themeColor="text1"/>
                <w:sz w:val="20"/>
                <w:szCs w:val="20"/>
              </w:rPr>
              <w:t>1</w:t>
            </w:r>
            <w:r w:rsidRPr="00BC5F1D">
              <w:rPr>
                <w:rFonts w:ascii="Arial" w:eastAsia="Calibri" w:hAnsi="Arial" w:cs="Arial"/>
                <w:bCs/>
                <w:color w:val="000000" w:themeColor="text1"/>
                <w:sz w:val="20"/>
                <w:szCs w:val="20"/>
              </w:rPr>
              <w:t>.</w:t>
            </w:r>
            <w:r w:rsidR="00247D00" w:rsidRPr="00BC5F1D">
              <w:rPr>
                <w:rFonts w:ascii="Arial" w:eastAsia="Calibri" w:hAnsi="Arial" w:cs="Arial"/>
                <w:bCs/>
                <w:color w:val="000000" w:themeColor="text1"/>
                <w:sz w:val="20"/>
                <w:szCs w:val="20"/>
              </w:rPr>
              <w:t>6</w:t>
            </w:r>
            <w:r w:rsidRPr="00BC5F1D">
              <w:rPr>
                <w:rFonts w:ascii="Arial" w:eastAsia="Calibri" w:hAnsi="Arial" w:cs="Arial"/>
                <w:bCs/>
                <w:color w:val="000000" w:themeColor="text1"/>
                <w:sz w:val="20"/>
                <w:szCs w:val="20"/>
              </w:rPr>
              <w:t>5</w:t>
            </w:r>
            <w:r w:rsidR="008E43B4" w:rsidRPr="00BC5F1D">
              <w:rPr>
                <w:rFonts w:ascii="Arial" w:eastAsia="Calibri" w:hAnsi="Arial" w:cs="Arial"/>
                <w:bCs/>
                <w:color w:val="000000" w:themeColor="text1"/>
                <w:sz w:val="20"/>
                <w:szCs w:val="20"/>
                <w:vertAlign w:val="superscript"/>
              </w:rPr>
              <w:t>b</w:t>
            </w:r>
          </w:p>
        </w:tc>
        <w:tc>
          <w:tcPr>
            <w:tcW w:w="2514" w:type="dxa"/>
            <w:tcBorders>
              <w:top w:val="nil"/>
              <w:left w:val="nil"/>
              <w:bottom w:val="single" w:sz="4" w:space="0" w:color="auto"/>
              <w:right w:val="nil"/>
            </w:tcBorders>
            <w:vAlign w:val="center"/>
          </w:tcPr>
          <w:p w14:paraId="1B726124" w14:textId="4594B03D" w:rsidR="00D746DB" w:rsidRPr="00BC5F1D" w:rsidRDefault="00D746DB" w:rsidP="00D746DB">
            <w:pPr>
              <w:spacing w:after="0" w:line="276" w:lineRule="auto"/>
              <w:jc w:val="center"/>
              <w:rPr>
                <w:rFonts w:ascii="Arial" w:eastAsia="Calibri" w:hAnsi="Arial" w:cs="Arial"/>
                <w:bCs/>
                <w:color w:val="000000" w:themeColor="text1"/>
                <w:sz w:val="20"/>
                <w:szCs w:val="20"/>
              </w:rPr>
            </w:pPr>
            <w:r w:rsidRPr="00BC5F1D">
              <w:rPr>
                <w:rFonts w:ascii="Arial" w:eastAsia="Calibri" w:hAnsi="Arial" w:cs="Arial"/>
                <w:bCs/>
                <w:color w:val="000000" w:themeColor="text1"/>
                <w:sz w:val="20"/>
                <w:szCs w:val="20"/>
              </w:rPr>
              <w:t>2</w:t>
            </w:r>
            <w:r w:rsidR="00437025" w:rsidRPr="00BC5F1D">
              <w:rPr>
                <w:rFonts w:ascii="Arial" w:eastAsia="Calibri" w:hAnsi="Arial" w:cs="Arial"/>
                <w:bCs/>
                <w:color w:val="000000" w:themeColor="text1"/>
                <w:sz w:val="20"/>
                <w:szCs w:val="20"/>
              </w:rPr>
              <w:t>83</w:t>
            </w:r>
            <w:r w:rsidRPr="00BC5F1D">
              <w:rPr>
                <w:rFonts w:ascii="Arial" w:eastAsia="Calibri" w:hAnsi="Arial" w:cs="Arial"/>
                <w:bCs/>
                <w:color w:val="000000" w:themeColor="text1"/>
                <w:sz w:val="20"/>
                <w:szCs w:val="20"/>
              </w:rPr>
              <w:t xml:space="preserve">.90 ± </w:t>
            </w:r>
            <w:r w:rsidR="00E575E4" w:rsidRPr="00BC5F1D">
              <w:rPr>
                <w:rFonts w:ascii="Arial" w:eastAsia="Calibri" w:hAnsi="Arial" w:cs="Arial"/>
                <w:bCs/>
                <w:color w:val="000000" w:themeColor="text1"/>
                <w:sz w:val="20"/>
                <w:szCs w:val="20"/>
              </w:rPr>
              <w:t>3.29</w:t>
            </w:r>
            <w:r w:rsidR="00444C6A" w:rsidRPr="00BC5F1D">
              <w:rPr>
                <w:rFonts w:ascii="Arial" w:eastAsia="Calibri" w:hAnsi="Arial" w:cs="Arial"/>
                <w:bCs/>
                <w:color w:val="000000" w:themeColor="text1"/>
                <w:sz w:val="20"/>
                <w:szCs w:val="20"/>
                <w:vertAlign w:val="superscript"/>
              </w:rPr>
              <w:t>c</w:t>
            </w:r>
          </w:p>
        </w:tc>
      </w:tr>
      <w:tr w:rsidR="00A45DC5" w:rsidRPr="00B148EB" w14:paraId="4FF69C4C" w14:textId="66612580" w:rsidTr="00FE270E">
        <w:trPr>
          <w:trHeight w:val="434"/>
          <w:jc w:val="center"/>
        </w:trPr>
        <w:tc>
          <w:tcPr>
            <w:tcW w:w="9356" w:type="dxa"/>
            <w:gridSpan w:val="4"/>
            <w:tcBorders>
              <w:left w:val="nil"/>
              <w:bottom w:val="nil"/>
              <w:right w:val="nil"/>
            </w:tcBorders>
          </w:tcPr>
          <w:p w14:paraId="50EA84D4" w14:textId="1DB46CE5" w:rsidR="00D746DB" w:rsidRPr="00BC5F1D" w:rsidRDefault="00FE270E" w:rsidP="00FE270E">
            <w:pPr>
              <w:spacing w:after="0" w:line="240" w:lineRule="auto"/>
              <w:jc w:val="both"/>
              <w:rPr>
                <w:rFonts w:ascii="Arial" w:eastAsia="Calibri" w:hAnsi="Arial" w:cs="Arial"/>
                <w:bCs/>
                <w:sz w:val="20"/>
                <w:szCs w:val="20"/>
                <w:lang w:val="en-US"/>
              </w:rPr>
            </w:pPr>
            <w:r w:rsidRPr="00BC5F1D">
              <w:rPr>
                <w:rFonts w:ascii="Arial" w:eastAsia="Calibri" w:hAnsi="Arial" w:cs="Arial"/>
                <w:sz w:val="20"/>
                <w:szCs w:val="20"/>
                <w:lang w:val="en-US"/>
              </w:rPr>
              <w:t xml:space="preserve">Mn ± </w:t>
            </w:r>
            <w:r w:rsidR="00A761EA" w:rsidRPr="00BC5F1D">
              <w:rPr>
                <w:rFonts w:ascii="Arial" w:eastAsia="Calibri" w:hAnsi="Arial" w:cs="Arial"/>
                <w:sz w:val="20"/>
                <w:szCs w:val="20"/>
                <w:lang w:val="en-US"/>
              </w:rPr>
              <w:t>Sd:</w:t>
            </w:r>
            <w:r w:rsidRPr="00BC5F1D">
              <w:rPr>
                <w:rFonts w:ascii="Arial" w:eastAsia="Calibri" w:hAnsi="Arial" w:cs="Arial"/>
                <w:sz w:val="20"/>
                <w:szCs w:val="20"/>
                <w:lang w:val="en-US"/>
              </w:rPr>
              <w:t xml:space="preserve"> Mean ± Standard deviation; t</w:t>
            </w:r>
            <w:r w:rsidRPr="00BC5F1D">
              <w:rPr>
                <w:rFonts w:ascii="Arial" w:hAnsi="Arial" w:cs="Arial"/>
                <w:sz w:val="20"/>
                <w:szCs w:val="20"/>
                <w:lang w:val="en-US"/>
              </w:rPr>
              <w:t>he affected means of different lowercase letters in superscript and on line show a significant difference at the probability threshold P ≤ 0.05</w:t>
            </w:r>
          </w:p>
        </w:tc>
      </w:tr>
      <w:bookmarkEnd w:id="0"/>
    </w:tbl>
    <w:p w14:paraId="410CF9D7" w14:textId="77777777" w:rsidR="00A1137A" w:rsidRPr="00FE270E" w:rsidRDefault="00A1137A" w:rsidP="00245B33">
      <w:pPr>
        <w:spacing w:line="360" w:lineRule="auto"/>
        <w:jc w:val="both"/>
        <w:rPr>
          <w:rFonts w:ascii="Times New Roman" w:hAnsi="Times New Roman" w:cs="Times New Roman"/>
          <w:lang w:val="en-US"/>
        </w:rPr>
      </w:pPr>
    </w:p>
    <w:p w14:paraId="70058968" w14:textId="6EC6AA2B" w:rsidR="000C6D82" w:rsidRPr="00BC5F1D" w:rsidRDefault="0049348E" w:rsidP="000D5690">
      <w:pPr>
        <w:pStyle w:val="ListParagraph"/>
        <w:numPr>
          <w:ilvl w:val="1"/>
          <w:numId w:val="1"/>
        </w:numPr>
        <w:tabs>
          <w:tab w:val="left" w:pos="567"/>
        </w:tabs>
        <w:spacing w:before="240" w:line="360" w:lineRule="auto"/>
        <w:jc w:val="both"/>
        <w:rPr>
          <w:rFonts w:ascii="Arial" w:hAnsi="Arial" w:cs="Arial"/>
          <w:b/>
          <w:bCs/>
        </w:rPr>
      </w:pPr>
      <w:r w:rsidRPr="00BC5F1D">
        <w:rPr>
          <w:rFonts w:ascii="Arial" w:hAnsi="Arial" w:cs="Arial"/>
          <w:b/>
          <w:bCs/>
          <w:lang w:val="en-US"/>
        </w:rPr>
        <w:t xml:space="preserve"> </w:t>
      </w:r>
      <w:proofErr w:type="spellStart"/>
      <w:r w:rsidR="000C6D82" w:rsidRPr="00BC5F1D">
        <w:rPr>
          <w:rFonts w:ascii="Arial" w:hAnsi="Arial" w:cs="Arial"/>
          <w:b/>
          <w:bCs/>
        </w:rPr>
        <w:t>Nutritional</w:t>
      </w:r>
      <w:proofErr w:type="spellEnd"/>
      <w:r w:rsidR="000C6D82" w:rsidRPr="00BC5F1D">
        <w:rPr>
          <w:rFonts w:ascii="Arial" w:hAnsi="Arial" w:cs="Arial"/>
          <w:b/>
          <w:bCs/>
        </w:rPr>
        <w:t xml:space="preserve"> </w:t>
      </w:r>
      <w:r w:rsidR="00691D2F" w:rsidRPr="00BC5F1D">
        <w:rPr>
          <w:rFonts w:ascii="Arial" w:hAnsi="Arial" w:cs="Arial"/>
          <w:b/>
          <w:bCs/>
        </w:rPr>
        <w:t>compos</w:t>
      </w:r>
      <w:r w:rsidR="009F3608" w:rsidRPr="00BC5F1D">
        <w:rPr>
          <w:rFonts w:ascii="Arial" w:hAnsi="Arial" w:cs="Arial"/>
          <w:b/>
          <w:bCs/>
        </w:rPr>
        <w:t>i</w:t>
      </w:r>
      <w:r w:rsidR="00691D2F" w:rsidRPr="00BC5F1D">
        <w:rPr>
          <w:rFonts w:ascii="Arial" w:hAnsi="Arial" w:cs="Arial"/>
          <w:b/>
          <w:bCs/>
        </w:rPr>
        <w:t>tion</w:t>
      </w:r>
    </w:p>
    <w:p w14:paraId="1F754EB3" w14:textId="77777777" w:rsidR="000C6D82" w:rsidRPr="00BC5F1D" w:rsidRDefault="000C6D82" w:rsidP="000C6D82">
      <w:pPr>
        <w:pStyle w:val="ListParagraph"/>
        <w:spacing w:before="240" w:line="240" w:lineRule="auto"/>
        <w:ind w:left="360"/>
        <w:jc w:val="both"/>
        <w:rPr>
          <w:rFonts w:ascii="Arial" w:hAnsi="Arial" w:cs="Arial"/>
          <w:b/>
          <w:bCs/>
        </w:rPr>
      </w:pPr>
    </w:p>
    <w:p w14:paraId="7258DC80" w14:textId="10BF7EF6" w:rsidR="000C6D82" w:rsidRPr="00BC5F1D" w:rsidRDefault="000D5690" w:rsidP="000C6D82">
      <w:pPr>
        <w:pStyle w:val="ListParagraph"/>
        <w:numPr>
          <w:ilvl w:val="2"/>
          <w:numId w:val="1"/>
        </w:numPr>
        <w:spacing w:line="360" w:lineRule="auto"/>
        <w:ind w:left="567" w:hanging="567"/>
        <w:jc w:val="both"/>
        <w:rPr>
          <w:rFonts w:ascii="Arial" w:hAnsi="Arial" w:cs="Arial"/>
          <w:b/>
          <w:bCs/>
        </w:rPr>
      </w:pPr>
      <w:r>
        <w:rPr>
          <w:rFonts w:ascii="Arial" w:hAnsi="Arial" w:cs="Arial"/>
          <w:b/>
          <w:bCs/>
        </w:rPr>
        <w:t xml:space="preserve"> </w:t>
      </w:r>
      <w:proofErr w:type="spellStart"/>
      <w:r w:rsidR="006C1F9B" w:rsidRPr="00BC5F1D">
        <w:rPr>
          <w:rFonts w:ascii="Arial" w:hAnsi="Arial" w:cs="Arial"/>
          <w:b/>
          <w:bCs/>
        </w:rPr>
        <w:t>Macronutrient</w:t>
      </w:r>
      <w:proofErr w:type="spellEnd"/>
      <w:r w:rsidR="006C1F9B" w:rsidRPr="00BC5F1D">
        <w:rPr>
          <w:rFonts w:ascii="Arial" w:hAnsi="Arial" w:cs="Arial"/>
          <w:b/>
          <w:bCs/>
        </w:rPr>
        <w:t xml:space="preserve"> content</w:t>
      </w:r>
    </w:p>
    <w:p w14:paraId="2437099A" w14:textId="022E4E3F" w:rsidR="00987502" w:rsidRPr="00BC5F1D" w:rsidRDefault="00987502" w:rsidP="00987502">
      <w:pPr>
        <w:spacing w:line="360" w:lineRule="auto"/>
        <w:jc w:val="both"/>
        <w:rPr>
          <w:rFonts w:ascii="Arial" w:hAnsi="Arial" w:cs="Arial"/>
          <w:sz w:val="20"/>
          <w:szCs w:val="20"/>
          <w:lang w:val="en-US"/>
        </w:rPr>
      </w:pPr>
      <w:r w:rsidRPr="00BC5F1D">
        <w:rPr>
          <w:rFonts w:ascii="Arial" w:hAnsi="Arial" w:cs="Arial"/>
          <w:sz w:val="20"/>
          <w:szCs w:val="20"/>
          <w:lang w:val="en-US"/>
        </w:rPr>
        <w:t xml:space="preserve">Table 1 presents the caloric nutrient contents of the powders from the leaves of </w:t>
      </w:r>
      <w:r w:rsidRPr="00BC5F1D">
        <w:rPr>
          <w:rFonts w:ascii="Arial" w:hAnsi="Arial" w:cs="Arial"/>
          <w:i/>
          <w:iCs/>
          <w:sz w:val="20"/>
          <w:szCs w:val="20"/>
          <w:lang w:val="en-US"/>
        </w:rPr>
        <w:t xml:space="preserve">A. digitata, C. </w:t>
      </w:r>
      <w:proofErr w:type="spellStart"/>
      <w:r w:rsidRPr="00BC5F1D">
        <w:rPr>
          <w:rFonts w:ascii="Arial" w:hAnsi="Arial" w:cs="Arial"/>
          <w:i/>
          <w:iCs/>
          <w:sz w:val="20"/>
          <w:szCs w:val="20"/>
          <w:lang w:val="en-US"/>
        </w:rPr>
        <w:t>olitorius</w:t>
      </w:r>
      <w:proofErr w:type="spellEnd"/>
      <w:r w:rsidRPr="00BC5F1D">
        <w:rPr>
          <w:rFonts w:ascii="Arial" w:hAnsi="Arial" w:cs="Arial"/>
          <w:sz w:val="20"/>
          <w:szCs w:val="20"/>
          <w:lang w:val="en-US"/>
        </w:rPr>
        <w:t xml:space="preserve">, and the bark of </w:t>
      </w:r>
      <w:r w:rsidRPr="00BC5F1D">
        <w:rPr>
          <w:rFonts w:ascii="Arial" w:hAnsi="Arial" w:cs="Arial"/>
          <w:i/>
          <w:iCs/>
          <w:sz w:val="20"/>
          <w:szCs w:val="20"/>
          <w:lang w:val="en-US"/>
        </w:rPr>
        <w:t>T. cordifolia</w:t>
      </w:r>
      <w:r w:rsidRPr="00BC5F1D">
        <w:rPr>
          <w:rFonts w:ascii="Arial" w:hAnsi="Arial" w:cs="Arial"/>
          <w:sz w:val="20"/>
          <w:szCs w:val="20"/>
          <w:lang w:val="en-US"/>
        </w:rPr>
        <w:t xml:space="preserve">. These contents vary significantly from one powder to another, with values ranging from 37.72 ± 0.45 to 58.02 ± 0.50 g/100g DM for available sugars; 8.23 ± 0.30 to 21.60 ± 0.10 </w:t>
      </w:r>
      <w:r w:rsidRPr="00BC5F1D">
        <w:rPr>
          <w:rFonts w:ascii="Arial" w:hAnsi="Arial" w:cs="Arial"/>
          <w:sz w:val="20"/>
          <w:szCs w:val="20"/>
          <w:lang w:val="en-US"/>
        </w:rPr>
        <w:lastRenderedPageBreak/>
        <w:t xml:space="preserve">g/100g DM for total proteins; and 2.10 ± 0.01 to 4.15 ± 0.02 g/100g DM for total lipids. It is observed that the powders of </w:t>
      </w:r>
      <w:r w:rsidRPr="00BC5F1D">
        <w:rPr>
          <w:rFonts w:ascii="Arial" w:hAnsi="Arial" w:cs="Arial"/>
          <w:i/>
          <w:iCs/>
          <w:sz w:val="20"/>
          <w:szCs w:val="20"/>
          <w:lang w:val="en-US"/>
        </w:rPr>
        <w:t>A. digitata</w:t>
      </w:r>
      <w:r w:rsidRPr="00BC5F1D">
        <w:rPr>
          <w:rFonts w:ascii="Arial" w:hAnsi="Arial" w:cs="Arial"/>
          <w:sz w:val="20"/>
          <w:szCs w:val="20"/>
          <w:lang w:val="en-US"/>
        </w:rPr>
        <w:t xml:space="preserve">, </w:t>
      </w:r>
      <w:r w:rsidRPr="00BC5F1D">
        <w:rPr>
          <w:rFonts w:ascii="Arial" w:hAnsi="Arial" w:cs="Arial"/>
          <w:i/>
          <w:iCs/>
          <w:sz w:val="20"/>
          <w:szCs w:val="20"/>
          <w:lang w:val="en-US"/>
        </w:rPr>
        <w:t xml:space="preserve">C. </w:t>
      </w:r>
      <w:proofErr w:type="spellStart"/>
      <w:r w:rsidRPr="00BC5F1D">
        <w:rPr>
          <w:rFonts w:ascii="Arial" w:hAnsi="Arial" w:cs="Arial"/>
          <w:i/>
          <w:iCs/>
          <w:sz w:val="20"/>
          <w:szCs w:val="20"/>
          <w:lang w:val="en-US"/>
        </w:rPr>
        <w:t>olitorius</w:t>
      </w:r>
      <w:proofErr w:type="spellEnd"/>
      <w:r w:rsidRPr="00BC5F1D">
        <w:rPr>
          <w:rFonts w:ascii="Arial" w:hAnsi="Arial" w:cs="Arial"/>
          <w:sz w:val="20"/>
          <w:szCs w:val="20"/>
          <w:lang w:val="en-US"/>
        </w:rPr>
        <w:t xml:space="preserve">, and </w:t>
      </w:r>
      <w:r w:rsidRPr="00BC5F1D">
        <w:rPr>
          <w:rFonts w:ascii="Arial" w:hAnsi="Arial" w:cs="Arial"/>
          <w:i/>
          <w:iCs/>
          <w:sz w:val="20"/>
          <w:szCs w:val="20"/>
          <w:lang w:val="en-US"/>
        </w:rPr>
        <w:t>T. cordifolia</w:t>
      </w:r>
      <w:r w:rsidRPr="00BC5F1D">
        <w:rPr>
          <w:rFonts w:ascii="Arial" w:hAnsi="Arial" w:cs="Arial"/>
          <w:sz w:val="20"/>
          <w:szCs w:val="20"/>
          <w:lang w:val="en-US"/>
        </w:rPr>
        <w:t xml:space="preserve"> exhibit maximum lipid contents of 4.14 ± 0.02 g/100g DM, protein contents of 21.60 ± 0.10 g/100g DM, and sugar contents of 58.02 ± 0.50 g/100g DM, respectively. These lipid, protein, and sugar contents are higher than the 2.46 g/100g DM reported by </w:t>
      </w:r>
      <w:r w:rsidRPr="00BC5F1D">
        <w:rPr>
          <w:rFonts w:ascii="Arial" w:hAnsi="Arial" w:cs="Arial"/>
          <w:sz w:val="20"/>
          <w:szCs w:val="20"/>
        </w:rPr>
        <w:fldChar w:fldCharType="begin" w:fldLock="1"/>
      </w:r>
      <w:r w:rsidR="000D5690">
        <w:rPr>
          <w:rFonts w:ascii="Arial" w:hAnsi="Arial" w:cs="Arial"/>
          <w:sz w:val="20"/>
          <w:szCs w:val="20"/>
          <w:lang w:val="en-US"/>
        </w:rPr>
        <w:instrText>ADDIN CSL_CITATION {"citationItems":[{"id":"ITEM-1","itemData":{"DOI":"10.5251/abjna.2014.5.3.104.108","ISSN":"2151-7525","abstract":"Baobab (Adansonia digitata L.) belongs to the Bombaceae family and is known generally as the African baobab. Baobab leaves are widely used, cooked as spinach, and frequently dried often powdered and used for sauces over porridges, thick gruels of grains or boiled rice. This study is investigating the effect of different common drying methods on the physical and chemical properties of African baobab leaves. Fresh and matured leaves were thoroughly washed and drained to remove all dirts and divided into five samples. Each sample was dried under the sun, under a shade, cabinet dryer set at a temperature of 50 0 C, and solar dryer respectively. Proximate, mineral and Vitamin A composition and colour determination were carried out on the fresh and dried samples. The results showed that the fresh sample is rich in Protein (12.28%). Shade drying was found most suitable among the drying methods because it was able to retain most of the nutrients with significant difference in proximate, ascorbic acid and mineral contents from other drying methods. Shade drying was therefore recommended.","author":[{"dropping-particle":"","family":"Abioye","given":"V F","non-dropping-particle":"","parse-names":false,"suffix":""},{"dropping-particle":"","family":"Adejuyitan","given":"J A","non-dropping-particle":"","parse-names":false,"suffix":""},{"dropping-particle":"","family":"Idowu","given":"C F","non-dropping-particle":"","parse-names":false,"suffix":""}],"container-title":"Agriculture and Biology Journal of North America","id":"ITEM-1","issue":"3","issued":{"date-parts":[["2014"]]},"page":"104-108","title":"Effects of different drying methods on the nutritional and quality attributes of baobab leaves (Adansonia digitata)","type":"article-journal","volume":"5"},"uris":["http://www.mendeley.com/documents/?uuid=90ea09a8-cc07-3f29-a57c-ff25ef2d0ddd"]}],"mendeley":{"formattedCitation":"(Abioye et al., 2014)","manualFormatting":"Abioye et al. (2014)","plainTextFormattedCitation":"(Abioye et al., 2014)","previouslyFormattedCitation":"(Abioye et al., 2014)"},"properties":{"noteIndex":0},"schema":"https://github.com/citation-style-language/schema/raw/master/csl-citation.json"}</w:instrText>
      </w:r>
      <w:r w:rsidRPr="00BC5F1D">
        <w:rPr>
          <w:rFonts w:ascii="Arial" w:hAnsi="Arial" w:cs="Arial"/>
          <w:sz w:val="20"/>
          <w:szCs w:val="20"/>
        </w:rPr>
        <w:fldChar w:fldCharType="separate"/>
      </w:r>
      <w:r w:rsidRPr="00BC5F1D">
        <w:rPr>
          <w:rFonts w:ascii="Arial" w:hAnsi="Arial" w:cs="Arial"/>
          <w:noProof/>
          <w:sz w:val="20"/>
          <w:szCs w:val="20"/>
          <w:lang w:val="en-US"/>
        </w:rPr>
        <w:t>Abioye et al.</w:t>
      </w:r>
      <w:r w:rsidR="000D5690">
        <w:rPr>
          <w:rFonts w:ascii="Arial" w:hAnsi="Arial" w:cs="Arial"/>
          <w:noProof/>
          <w:sz w:val="20"/>
          <w:szCs w:val="20"/>
          <w:lang w:val="en-US"/>
        </w:rPr>
        <w:t xml:space="preserve"> (</w:t>
      </w:r>
      <w:r w:rsidRPr="00BC5F1D">
        <w:rPr>
          <w:rFonts w:ascii="Arial" w:hAnsi="Arial" w:cs="Arial"/>
          <w:noProof/>
          <w:sz w:val="20"/>
          <w:szCs w:val="20"/>
          <w:lang w:val="en-US"/>
        </w:rPr>
        <w:t>2014)</w:t>
      </w:r>
      <w:r w:rsidRPr="00BC5F1D">
        <w:rPr>
          <w:rFonts w:ascii="Arial" w:hAnsi="Arial" w:cs="Arial"/>
          <w:sz w:val="20"/>
          <w:szCs w:val="20"/>
        </w:rPr>
        <w:fldChar w:fldCharType="end"/>
      </w:r>
      <w:r w:rsidRPr="00BC5F1D">
        <w:rPr>
          <w:rFonts w:ascii="Arial" w:hAnsi="Arial" w:cs="Arial"/>
          <w:sz w:val="20"/>
          <w:szCs w:val="20"/>
          <w:lang w:val="en-US"/>
        </w:rPr>
        <w:t xml:space="preserve">, lower than the 27.32 g/100g DM noted by </w:t>
      </w:r>
      <w:r w:rsidRPr="00BC5F1D">
        <w:rPr>
          <w:rFonts w:ascii="Arial" w:hAnsi="Arial" w:cs="Arial"/>
          <w:sz w:val="20"/>
          <w:szCs w:val="20"/>
        </w:rPr>
        <w:fldChar w:fldCharType="begin" w:fldLock="1"/>
      </w:r>
      <w:r w:rsidR="00A075F3">
        <w:rPr>
          <w:rFonts w:ascii="Arial" w:hAnsi="Arial" w:cs="Arial"/>
          <w:sz w:val="20"/>
          <w:szCs w:val="20"/>
          <w:lang w:val="en-US"/>
        </w:rPr>
        <w:instrText>ADDIN CSL_CITATION {"citationItems":[{"id":"ITEM-1","itemData":{"abstract":"Leafy vegetables play a major in meeting the dietary requirement of an average Nigerian. The knowledge of nutritional and antinutritional properties of these local plant resources therefore becomes necessary. This study was to conduct a phytochemical analysis, determination of proximate composition and antinutritional factors of Corchorus oliterius using standard procedures. The qualitative phytochemical analysis revealed the presence of saponins, terpenoids, flavonoids, alkaloids and phenols. Proximate analysis, which partitioned the nutrients into six components revealed the nutrients, thus, moisture (8.84±0.00%), ash (11.18±0.00%), crude protein (27.32±0.02%), crude fat (5.64±0.01%), and crude fibre (5.84±0.02, and nitrogen free extractives (NFE) (41.16±0.00%). Antintritional factors were recorded, thus; oxalate (241.96±0.0 2mg/100g), saponins (0.68±0.00%), tannins (18.16±0.00 mg/100g), cyanogenic glycosides (2.78±0.01 mg/100g), and phytate (0.80±0.00%). The presence of phytochemicals such as terpenoids, flavonoids alkaloids and phenols validates the use of C. olitrius in traditional and alternative medicines since phytochemicals found in fruits and vegetables are generally known for being responsible for protective health benefits in man and animals. This result showed that the vegetable was a promising source of protein in human diet if well processed. All the concentrations of antinutrients were found to be within acceptable levels for human and animal consumption. However, the levels of antinutrients can be reduced by traditional processing techniques such as boiling, steaming, cooking, to make it safer for human consumption.","author":[{"dropping-particle":"","family":"Sha'a","given":"Kiliobas Kiri","non-dropping-particle":"","parse-names":false,"suffix":""},{"dropping-particle":"","family":"Clarkson","given":"Gramso Pwamaddi","non-dropping-particle":"","parse-names":false,"suffix":""},{"dropping-particle":"","family":"Artimas","given":"Susan Pwakangdi","non-dropping-particle":"","parse-names":false,"suffix":""}],"container-title":"International Journal of Biological and Chemical Sciences","id":"ITEM-1","issue":"4","issued":{"date-parts":[["2019"]]},"page":"2147-2157","title":"Phytochemical analysis, proximate composition and antinutritional factors of Corchorus olitorius plant","type":"article-journal","volume":"13"},"uris":["http://www.mendeley.com/documents/?uuid=d1e8808f-60d4-4571-8393-412c104d6ba4"]}],"mendeley":{"formattedCitation":"(Sha’a et al., 2019)","manualFormatting":"Sha’a et al. (2019)","plainTextFormattedCitation":"(Sha’a et al., 2019)","previouslyFormattedCitation":"(Sha’a et al., 2019)"},"properties":{"noteIndex":0},"schema":"https://github.com/citation-style-language/schema/raw/master/csl-citation.json"}</w:instrText>
      </w:r>
      <w:r w:rsidRPr="00BC5F1D">
        <w:rPr>
          <w:rFonts w:ascii="Arial" w:hAnsi="Arial" w:cs="Arial"/>
          <w:sz w:val="20"/>
          <w:szCs w:val="20"/>
        </w:rPr>
        <w:fldChar w:fldCharType="separate"/>
      </w:r>
      <w:r w:rsidRPr="00BC5F1D">
        <w:rPr>
          <w:rFonts w:ascii="Arial" w:hAnsi="Arial" w:cs="Arial"/>
          <w:noProof/>
          <w:sz w:val="20"/>
          <w:szCs w:val="20"/>
          <w:lang w:val="en-US"/>
        </w:rPr>
        <w:t>Sha’a et al.</w:t>
      </w:r>
      <w:r w:rsidR="00A075F3">
        <w:rPr>
          <w:rFonts w:ascii="Arial" w:hAnsi="Arial" w:cs="Arial"/>
          <w:noProof/>
          <w:sz w:val="20"/>
          <w:szCs w:val="20"/>
          <w:lang w:val="en-US"/>
        </w:rPr>
        <w:t xml:space="preserve"> (</w:t>
      </w:r>
      <w:r w:rsidRPr="00BC5F1D">
        <w:rPr>
          <w:rFonts w:ascii="Arial" w:hAnsi="Arial" w:cs="Arial"/>
          <w:noProof/>
          <w:sz w:val="20"/>
          <w:szCs w:val="20"/>
          <w:lang w:val="en-US"/>
        </w:rPr>
        <w:t>2019)</w:t>
      </w:r>
      <w:r w:rsidRPr="00BC5F1D">
        <w:rPr>
          <w:rFonts w:ascii="Arial" w:hAnsi="Arial" w:cs="Arial"/>
          <w:sz w:val="20"/>
          <w:szCs w:val="20"/>
        </w:rPr>
        <w:fldChar w:fldCharType="end"/>
      </w:r>
      <w:r w:rsidRPr="00BC5F1D">
        <w:rPr>
          <w:rFonts w:ascii="Arial" w:hAnsi="Arial" w:cs="Arial"/>
          <w:sz w:val="20"/>
          <w:szCs w:val="20"/>
          <w:lang w:val="en-US"/>
        </w:rPr>
        <w:t>, and nearly similar to the 6</w:t>
      </w:r>
      <w:r w:rsidR="00FF01A1">
        <w:rPr>
          <w:rFonts w:ascii="Arial" w:hAnsi="Arial" w:cs="Arial"/>
          <w:sz w:val="20"/>
          <w:szCs w:val="20"/>
          <w:lang w:val="en-US"/>
        </w:rPr>
        <w:t>3.11</w:t>
      </w:r>
      <w:r w:rsidRPr="00BC5F1D">
        <w:rPr>
          <w:rFonts w:ascii="Arial" w:hAnsi="Arial" w:cs="Arial"/>
          <w:sz w:val="20"/>
          <w:szCs w:val="20"/>
          <w:lang w:val="en-US"/>
        </w:rPr>
        <w:t xml:space="preserve"> g/100g DM reported by </w:t>
      </w:r>
      <w:r w:rsidR="00FF01A1">
        <w:rPr>
          <w:rFonts w:ascii="Arial" w:hAnsi="Arial" w:cs="Arial"/>
          <w:sz w:val="20"/>
          <w:szCs w:val="20"/>
          <w:lang w:val="en-US"/>
        </w:rPr>
        <w:fldChar w:fldCharType="begin" w:fldLock="1"/>
      </w:r>
      <w:r w:rsidR="00FF01A1">
        <w:rPr>
          <w:rFonts w:ascii="Arial" w:hAnsi="Arial" w:cs="Arial"/>
          <w:sz w:val="20"/>
          <w:szCs w:val="20"/>
          <w:lang w:val="en-US"/>
        </w:rPr>
        <w:instrText>ADDIN CSL_CITATION {"citationItems":[{"id":"ITEM-1","itemData":{"abstract":"The leaves of Moringa oleifera were harvested from Lafia in Nasarawa State of Nigeria during the rainy season in June 2011 for proximate, mineral and phytochemical analysis. The results of proximate analysis revealed the presence of high crude protein (17.01% ±0.1) and carbohydrate (63.11% ±0.09). The leaves also contained appreciable amounts of crude fibre (7.09% ±0.11), ash (7.93% ± 0.12), crude fat (2.11% ±0.11) and fatty acid (1.69% ±0.09). The total ash content showed it contained minerals, Ca (1.91% ±0.08), K (0.97% ±0.01), Na (192.95±4.4), Fe (107.48±8.2), Mn (81.65±2.31), Zn (60.06±0.3) and P (30.15±0.5) parts per million (ppm). Magnesium (0.38% ±0.01) and copper (6.10±0.19) were the least. The results of phytochemical analysis and anti-nutrients showed presence of tannins (21.19% ±0.25), phytates (2.57% ±0.13), trypsin inhibitors (3.0% ±0.04), saponins (1.60% ±0.05), oxalates (0.45% ±0.01) and cyanide content ((0.1% ±0.01). The presence of these essential nutrients and minerals implies Moringa oleifera leaves from Lafia, Nasarawa State could be utilized as a source of feed supplement to improve growth performance and health status of poultry. The benefits of essential nutrients and minerals in maintaining good health were also highlighted in this study.","author":[{"dropping-particle":"","family":"Ogbe","given":"A O","non-dropping-particle":"","parse-names":false,"suffix":""},{"dropping-particle":"","family":"Affiku","given":"John P","non-dropping-particle":"","parse-names":false,"suffix":""}],"container-title":"Journal of Microbiology","id":"ITEM-1","issue":"3","issued":{"date-parts":[["2011"]]},"number-of-pages":"296-308","title":"Proximate study, mineral and anti-nutrient composition of Moringa oleifera leaves harvested from Lafia, Nigeria: potential benefits in poultry nutrition and health","type":"report","volume":"12"},"uris":["http://www.mendeley.com/documents/?uuid=157b0b36-7b31-3d1a-8104-4068b5978c83"]}],"mendeley":{"formattedCitation":"(Ogbe &amp; Affiku, 2011)","manualFormatting":"Ogbe &amp; Affiku (2011)","plainTextFormattedCitation":"(Ogbe &amp; Affiku, 2011)"},"properties":{"noteIndex":0},"schema":"https://github.com/citation-style-language/schema/raw/master/csl-citation.json"}</w:instrText>
      </w:r>
      <w:r w:rsidR="00FF01A1">
        <w:rPr>
          <w:rFonts w:ascii="Arial" w:hAnsi="Arial" w:cs="Arial"/>
          <w:sz w:val="20"/>
          <w:szCs w:val="20"/>
          <w:lang w:val="en-US"/>
        </w:rPr>
        <w:fldChar w:fldCharType="separate"/>
      </w:r>
      <w:r w:rsidR="00FF01A1" w:rsidRPr="00FF01A1">
        <w:rPr>
          <w:rFonts w:ascii="Arial" w:hAnsi="Arial" w:cs="Arial"/>
          <w:noProof/>
          <w:sz w:val="20"/>
          <w:szCs w:val="20"/>
          <w:lang w:val="en-US"/>
        </w:rPr>
        <w:t xml:space="preserve">Ogbe &amp; Affiku </w:t>
      </w:r>
      <w:r w:rsidR="00FF01A1">
        <w:rPr>
          <w:rFonts w:ascii="Arial" w:hAnsi="Arial" w:cs="Arial"/>
          <w:noProof/>
          <w:sz w:val="20"/>
          <w:szCs w:val="20"/>
          <w:lang w:val="en-US"/>
        </w:rPr>
        <w:t>(</w:t>
      </w:r>
      <w:r w:rsidR="00FF01A1" w:rsidRPr="00FF01A1">
        <w:rPr>
          <w:rFonts w:ascii="Arial" w:hAnsi="Arial" w:cs="Arial"/>
          <w:noProof/>
          <w:sz w:val="20"/>
          <w:szCs w:val="20"/>
          <w:lang w:val="en-US"/>
        </w:rPr>
        <w:t>2011)</w:t>
      </w:r>
      <w:r w:rsidR="00FF01A1">
        <w:rPr>
          <w:rFonts w:ascii="Arial" w:hAnsi="Arial" w:cs="Arial"/>
          <w:sz w:val="20"/>
          <w:szCs w:val="20"/>
          <w:lang w:val="en-US"/>
        </w:rPr>
        <w:fldChar w:fldCharType="end"/>
      </w:r>
      <w:r w:rsidR="00FF01A1">
        <w:rPr>
          <w:rFonts w:ascii="Arial" w:hAnsi="Arial" w:cs="Arial"/>
          <w:color w:val="FF0000"/>
          <w:sz w:val="20"/>
          <w:szCs w:val="20"/>
          <w:lang w:val="en-US"/>
        </w:rPr>
        <w:t xml:space="preserve"> </w:t>
      </w:r>
      <w:r w:rsidR="00FF01A1" w:rsidRPr="00FF01A1">
        <w:rPr>
          <w:rFonts w:ascii="Arial" w:hAnsi="Arial" w:cs="Arial"/>
          <w:color w:val="000000" w:themeColor="text1"/>
          <w:sz w:val="20"/>
          <w:szCs w:val="20"/>
          <w:lang w:val="en-US"/>
        </w:rPr>
        <w:t>on the leaf powders of Moringa oleifera</w:t>
      </w:r>
      <w:r w:rsidRPr="00FF01A1">
        <w:rPr>
          <w:rFonts w:ascii="Arial" w:hAnsi="Arial" w:cs="Arial"/>
          <w:color w:val="000000" w:themeColor="text1"/>
          <w:sz w:val="20"/>
          <w:szCs w:val="20"/>
          <w:lang w:val="en-US"/>
        </w:rPr>
        <w:t xml:space="preserve">. </w:t>
      </w:r>
      <w:r w:rsidRPr="00BC5F1D">
        <w:rPr>
          <w:rFonts w:ascii="Arial" w:hAnsi="Arial" w:cs="Arial"/>
          <w:sz w:val="20"/>
          <w:szCs w:val="20"/>
          <w:lang w:val="en-US"/>
        </w:rPr>
        <w:t>The observed differences in caloric nutrient contents may be explained by multiple synthesis mechanisms occurring in each part of the plant. Indeed, numerous biological processes and cellular structures contribute to these synthesis mechanisms, including photosynthesis for sugars (in chloroplasts within the leaves), protein translation (in the nucleus of the plant cell), and lipogenesis (in the cytoplasm, involving the degradation of acetyl-CoA for fatty acid synthesis)</w:t>
      </w:r>
      <w:r w:rsidR="000B0BC0">
        <w:rPr>
          <w:rFonts w:ascii="Arial" w:hAnsi="Arial" w:cs="Arial"/>
          <w:sz w:val="20"/>
          <w:szCs w:val="20"/>
          <w:lang w:val="en-US"/>
        </w:rPr>
        <w:t xml:space="preserve"> </w:t>
      </w:r>
      <w:r w:rsidR="000B0BC0">
        <w:rPr>
          <w:rFonts w:ascii="Arial" w:hAnsi="Arial" w:cs="Arial"/>
          <w:sz w:val="20"/>
          <w:szCs w:val="20"/>
          <w:lang w:val="en-US"/>
        </w:rPr>
        <w:fldChar w:fldCharType="begin" w:fldLock="1"/>
      </w:r>
      <w:r w:rsidR="000B0BC0">
        <w:rPr>
          <w:rFonts w:ascii="Arial" w:hAnsi="Arial" w:cs="Arial"/>
          <w:sz w:val="20"/>
          <w:szCs w:val="20"/>
          <w:lang w:val="en-US"/>
        </w:rPr>
        <w:instrText>ADDIN CSL_CITATION {"citationItems":[{"id":"ITEM-1","itemData":{"author":[{"dropping-particle":"","family":"Moreau","given":"François","non-dropping-particle":"","parse-names":false,"suffix":""},{"dropping-particle":"","family":"Prat","given":"Roger F","non-dropping-particle":"","parse-names":false,"suffix":""},{"dropping-particle":"","family":"Sentenac","given":"Herve","non-dropping-particle":"","parse-names":false,"suffix":""},{"dropping-particle":"","family":"Moreau","given":"François","non-dropping-particle":"","parse-names":false,"suffix":""},{"dropping-particle":"","family":"Prat","given":"Roger F","non-dropping-particle":"","parse-names":false,"suffix":""},{"dropping-particle":"","family":"Maurel","given":"Christophe","non-dropping-particle":"","parse-names":false,"suffix":""},{"dropping-particle":"","family":"Sentenac","given":"Herve","non-dropping-particle":"","parse-names":false,"suffix":""}],"edition":"Dunod","editor":[{"dropping-particle":"","family":"Dunod","given":"","non-dropping-particle":"","parse-names":false,"suffix":""}],"id":"ITEM-1","issued":{"date-parts":[["2017"]]},"number-of-pages":"242","publisher-place":"Paris","title":"Biologie végétale Nutrition et métabolisme","type":"book"},"uris":["http://www.mendeley.com/documents/?uuid=a63fae2d-204e-4541-a43f-c8f983fe6199"]}],"mendeley":{"formattedCitation":"(Moreau et al., 2017)","plainTextFormattedCitation":"(Moreau et al., 2017)","previouslyFormattedCitation":"(Moreau et al., 2017)"},"properties":{"noteIndex":0},"schema":"https://github.com/citation-style-language/schema/raw/master/csl-citation.json"}</w:instrText>
      </w:r>
      <w:r w:rsidR="000B0BC0">
        <w:rPr>
          <w:rFonts w:ascii="Arial" w:hAnsi="Arial" w:cs="Arial"/>
          <w:sz w:val="20"/>
          <w:szCs w:val="20"/>
          <w:lang w:val="en-US"/>
        </w:rPr>
        <w:fldChar w:fldCharType="separate"/>
      </w:r>
      <w:r w:rsidR="000B0BC0" w:rsidRPr="000B0BC0">
        <w:rPr>
          <w:rFonts w:ascii="Arial" w:hAnsi="Arial" w:cs="Arial"/>
          <w:noProof/>
          <w:sz w:val="20"/>
          <w:szCs w:val="20"/>
          <w:lang w:val="en-US"/>
        </w:rPr>
        <w:t>(Moreau et al., 2017)</w:t>
      </w:r>
      <w:r w:rsidR="000B0BC0">
        <w:rPr>
          <w:rFonts w:ascii="Arial" w:hAnsi="Arial" w:cs="Arial"/>
          <w:sz w:val="20"/>
          <w:szCs w:val="20"/>
          <w:lang w:val="en-US"/>
        </w:rPr>
        <w:fldChar w:fldCharType="end"/>
      </w:r>
      <w:r w:rsidR="000B0BC0">
        <w:rPr>
          <w:rFonts w:ascii="Arial" w:hAnsi="Arial" w:cs="Arial"/>
          <w:sz w:val="20"/>
          <w:szCs w:val="20"/>
          <w:lang w:val="en-US"/>
        </w:rPr>
        <w:t xml:space="preserve">. </w:t>
      </w:r>
      <w:r w:rsidRPr="00BC5F1D">
        <w:rPr>
          <w:rFonts w:ascii="Arial" w:hAnsi="Arial" w:cs="Arial"/>
          <w:color w:val="FF0000"/>
          <w:sz w:val="20"/>
          <w:szCs w:val="20"/>
          <w:lang w:val="en-US"/>
        </w:rPr>
        <w:t xml:space="preserve"> </w:t>
      </w:r>
      <w:r w:rsidRPr="00BC5F1D">
        <w:rPr>
          <w:rFonts w:ascii="Arial" w:hAnsi="Arial" w:cs="Arial"/>
          <w:sz w:val="20"/>
          <w:szCs w:val="20"/>
          <w:lang w:val="en-US"/>
        </w:rPr>
        <w:t xml:space="preserve">These various biological processes are regulated by enzymes and can be influenced by numerous factors such as the environment, light, temperature, and nutrient availability. Additionally, post-harvest treatments (drying, grinding, etc.) applied to the plant parts may also influence the observed caloric nutrient contents </w:t>
      </w:r>
      <w:r w:rsidRPr="00BC5F1D">
        <w:rPr>
          <w:rFonts w:ascii="Arial" w:hAnsi="Arial" w:cs="Arial"/>
          <w:sz w:val="20"/>
          <w:szCs w:val="20"/>
        </w:rPr>
        <w:fldChar w:fldCharType="begin" w:fldLock="1"/>
      </w:r>
      <w:r w:rsidR="00085CF4">
        <w:rPr>
          <w:rFonts w:ascii="Arial" w:hAnsi="Arial" w:cs="Arial"/>
          <w:sz w:val="20"/>
          <w:szCs w:val="20"/>
          <w:lang w:val="en-US"/>
        </w:rPr>
        <w:instrText>ADDIN CSL_CITATION {"citationItems":[{"id":"ITEM-1","itemData":{"ISSN":"1680-5194","abstract":"Leaves of 3 genetically improved varieties of cassava plants were harvested and subjected to different processing methods including sun-drying (SND), oven-drying (OVD), steaming (STM), shredding (SHD) and steeping (STP) and a combination of these methods to deliberately reduce the high level of cyanogenic glucosides present in the leaves. A combination of SHD and SND (SHD+SND) seemed to be the most effective technique of reducing the cyanide content. Proximate/mineral composition and gross energy were determined. Particular attention was paid into the determination of hydrocyanic acid (HCN), polyphenols (tannic acid) and phytic acid as they constitute the major anti-nutrients militating against the utilization of cassava leaf in animal nutrition. The leaves contained: crude protein 348.0gkg DM (range:-1 332.0-363.0gkg DM); crude fibre 121.0gkg DM (range: 115.0-127.0gkg DM); ether extract 70.0gkg DM-1-1-1-1 (range: 63.0-75.0gkg DM); ash 69.0gkg DM (range: 63.0-78.0gkg DM) and gross energy 47.0MJkg-1-1-1-1 (range: 46.5-47.2MJkg). The CLM protein content was high and comparable with some rich conventional-1 protein sources of plant and animal origins used in monogastric feed formulation. The mineral content was high particularly Ca, Zn, Ni and K. The \"cyanide scare\" associated with acute intoxification when food substances rich in cyanide is ingested at high levels seemed to be obviated by a combination of processing methods (SHD+SND).","author":[{"dropping-particle":"","family":"Fasuyi","given":"Ayodeji O","non-dropping-particle":"","parse-names":false,"suffix":""}],"container-title":"Pakistan Journal of Nutrition","id":"ITEM-1","issue":"1","issued":{"date-parts":[["2005"]]},"page":"37-42","title":"Nutrient Composition and Processing Effects on Cassava Leaf (Manihot esculenta, Crantz) Antinutrients","type":"article-journal","volume":"4"},"uris":["http://www.mendeley.com/documents/?uuid=084b7ab3-4c05-389f-9551-addc5d6b9888"]}],"mendeley":{"formattedCitation":"(Fasuyi, 2005)","manualFormatting":"(Fasuyi, 2005;","plainTextFormattedCitation":"(Fasuyi, 2005)","previouslyFormattedCitation":"(Fasuyi, 2005)"},"properties":{"noteIndex":0},"schema":"https://github.com/citation-style-language/schema/raw/master/csl-citation.json"}</w:instrText>
      </w:r>
      <w:r w:rsidRPr="00BC5F1D">
        <w:rPr>
          <w:rFonts w:ascii="Arial" w:hAnsi="Arial" w:cs="Arial"/>
          <w:sz w:val="20"/>
          <w:szCs w:val="20"/>
        </w:rPr>
        <w:fldChar w:fldCharType="separate"/>
      </w:r>
      <w:r w:rsidRPr="00BC5F1D">
        <w:rPr>
          <w:rFonts w:ascii="Arial" w:hAnsi="Arial" w:cs="Arial"/>
          <w:noProof/>
          <w:sz w:val="20"/>
          <w:szCs w:val="20"/>
          <w:lang w:val="en-US"/>
        </w:rPr>
        <w:t>(Fasuyi, 2005</w:t>
      </w:r>
      <w:r w:rsidR="00A075F3">
        <w:rPr>
          <w:rFonts w:ascii="Arial" w:hAnsi="Arial" w:cs="Arial"/>
          <w:noProof/>
          <w:sz w:val="20"/>
          <w:szCs w:val="20"/>
          <w:lang w:val="en-US"/>
        </w:rPr>
        <w:t>;</w:t>
      </w:r>
      <w:r w:rsidRPr="00BC5F1D">
        <w:rPr>
          <w:rFonts w:ascii="Arial" w:hAnsi="Arial" w:cs="Arial"/>
          <w:sz w:val="20"/>
          <w:szCs w:val="20"/>
        </w:rPr>
        <w:fldChar w:fldCharType="end"/>
      </w:r>
      <w:r w:rsidRPr="00BC5F1D">
        <w:rPr>
          <w:rFonts w:ascii="Arial" w:hAnsi="Arial" w:cs="Arial"/>
          <w:sz w:val="20"/>
          <w:szCs w:val="20"/>
        </w:rPr>
        <w:fldChar w:fldCharType="begin" w:fldLock="1"/>
      </w:r>
      <w:r w:rsidR="00A075F3">
        <w:rPr>
          <w:rFonts w:ascii="Arial" w:hAnsi="Arial" w:cs="Arial"/>
          <w:sz w:val="20"/>
          <w:szCs w:val="20"/>
          <w:lang w:val="en-US"/>
        </w:rPr>
        <w:instrText>ADDIN CSL_CITATION {"citationItems":[{"id":"ITEM-1","itemData":{"DOI":"10.5251/abjna.2014.5.3.104.108","ISSN":"2151-7525","abstract":"Baobab (Adansonia digitata L.) belongs to the Bombaceae family and is known generally as the African baobab. Baobab leaves are widely used, cooked as spinach, and frequently dried often powdered and used for sauces over porridges, thick gruels of grains or boiled rice. This study is investigating the effect of different common drying methods on the physical and chemical properties of African baobab leaves. Fresh and matured leaves were thoroughly washed and drained to remove all dirts and divided into five samples. Each sample was dried under the sun, under a shade, cabinet dryer set at a temperature of 50 0 C, and solar dryer respectively. Proximate, mineral and Vitamin A composition and colour determination were carried out on the fresh and dried samples. The results showed that the fresh sample is rich in Protein (12.28%). Shade drying was found most suitable among the drying methods because it was able to retain most of the nutrients with significant difference in proximate, ascorbic acid and mineral contents from other drying methods. Shade drying was therefore recommended.","author":[{"dropping-particle":"","family":"Abioye","given":"V F","non-dropping-particle":"","parse-names":false,"suffix":""},{"dropping-particle":"","family":"Adejuyitan","given":"J A","non-dropping-particle":"","parse-names":false,"suffix":""},{"dropping-particle":"","family":"Idowu","given":"C F","non-dropping-particle":"","parse-names":false,"suffix":""}],"container-title":"Agriculture and Biology Journal of North America","id":"ITEM-1","issue":"3","issued":{"date-parts":[["2014"]]},"page":"104-108","title":"Effects of different drying methods on the nutritional and quality attributes of baobab leaves (Adansonia digitata)","type":"article-journal","volume":"5"},"uris":["http://www.mendeley.com/documents/?uuid=90ea09a8-cc07-3f29-a57c-ff25ef2d0ddd"]}],"mendeley":{"formattedCitation":"(Abioye et al., 2014)","manualFormatting":" Abioye et al., 2014)","plainTextFormattedCitation":"(Abioye et al., 2014)","previouslyFormattedCitation":"(Abioye et al., 2014)"},"properties":{"noteIndex":0},"schema":"https://github.com/citation-style-language/schema/raw/master/csl-citation.json"}</w:instrText>
      </w:r>
      <w:r w:rsidRPr="00BC5F1D">
        <w:rPr>
          <w:rFonts w:ascii="Arial" w:hAnsi="Arial" w:cs="Arial"/>
          <w:sz w:val="20"/>
          <w:szCs w:val="20"/>
        </w:rPr>
        <w:fldChar w:fldCharType="separate"/>
      </w:r>
      <w:r w:rsidR="00A075F3">
        <w:rPr>
          <w:rFonts w:ascii="Arial" w:hAnsi="Arial" w:cs="Arial"/>
          <w:noProof/>
          <w:sz w:val="20"/>
          <w:szCs w:val="20"/>
          <w:lang w:val="en-US"/>
        </w:rPr>
        <w:t xml:space="preserve"> </w:t>
      </w:r>
      <w:r w:rsidRPr="00BC5F1D">
        <w:rPr>
          <w:rFonts w:ascii="Arial" w:hAnsi="Arial" w:cs="Arial"/>
          <w:noProof/>
          <w:sz w:val="20"/>
          <w:szCs w:val="20"/>
          <w:lang w:val="en-US"/>
        </w:rPr>
        <w:t>Abioye et al., 2014)</w:t>
      </w:r>
      <w:r w:rsidRPr="00BC5F1D">
        <w:rPr>
          <w:rFonts w:ascii="Arial" w:hAnsi="Arial" w:cs="Arial"/>
          <w:sz w:val="20"/>
          <w:szCs w:val="20"/>
        </w:rPr>
        <w:fldChar w:fldCharType="end"/>
      </w:r>
      <w:r w:rsidRPr="00BC5F1D">
        <w:rPr>
          <w:rFonts w:ascii="Arial" w:hAnsi="Arial" w:cs="Arial"/>
          <w:sz w:val="20"/>
          <w:szCs w:val="20"/>
          <w:lang w:val="en-US"/>
        </w:rPr>
        <w:t>, which ultimately impacts the energy value of each powder.</w:t>
      </w:r>
    </w:p>
    <w:p w14:paraId="6E7817E2" w14:textId="26D97A53" w:rsidR="00987502" w:rsidRPr="00BC5F1D" w:rsidRDefault="00987502" w:rsidP="00987502">
      <w:pPr>
        <w:spacing w:line="360" w:lineRule="auto"/>
        <w:jc w:val="both"/>
        <w:rPr>
          <w:rFonts w:ascii="Arial" w:hAnsi="Arial" w:cs="Arial"/>
          <w:sz w:val="20"/>
          <w:szCs w:val="20"/>
          <w:lang w:val="en-US"/>
        </w:rPr>
      </w:pPr>
      <w:r w:rsidRPr="00BC5F1D">
        <w:rPr>
          <w:rFonts w:ascii="Arial" w:hAnsi="Arial" w:cs="Arial"/>
          <w:sz w:val="20"/>
          <w:szCs w:val="20"/>
          <w:lang w:val="en-US"/>
        </w:rPr>
        <w:t xml:space="preserve">The energy values of the powders from </w:t>
      </w:r>
      <w:r w:rsidRPr="00BC5F1D">
        <w:rPr>
          <w:rFonts w:ascii="Arial" w:hAnsi="Arial" w:cs="Arial"/>
          <w:i/>
          <w:iCs/>
          <w:sz w:val="20"/>
          <w:szCs w:val="20"/>
          <w:lang w:val="en-US"/>
        </w:rPr>
        <w:t>A. digitata</w:t>
      </w:r>
      <w:r w:rsidRPr="00BC5F1D">
        <w:rPr>
          <w:rFonts w:ascii="Arial" w:hAnsi="Arial" w:cs="Arial"/>
          <w:sz w:val="20"/>
          <w:szCs w:val="20"/>
          <w:lang w:val="en-US"/>
        </w:rPr>
        <w:t xml:space="preserve">, </w:t>
      </w:r>
      <w:r w:rsidRPr="00BC5F1D">
        <w:rPr>
          <w:rFonts w:ascii="Arial" w:hAnsi="Arial" w:cs="Arial"/>
          <w:i/>
          <w:iCs/>
          <w:sz w:val="20"/>
          <w:szCs w:val="20"/>
          <w:lang w:val="en-US"/>
        </w:rPr>
        <w:t xml:space="preserve">C. </w:t>
      </w:r>
      <w:proofErr w:type="spellStart"/>
      <w:r w:rsidRPr="00BC5F1D">
        <w:rPr>
          <w:rFonts w:ascii="Arial" w:hAnsi="Arial" w:cs="Arial"/>
          <w:i/>
          <w:iCs/>
          <w:sz w:val="20"/>
          <w:szCs w:val="20"/>
          <w:lang w:val="en-US"/>
        </w:rPr>
        <w:t>olitorius</w:t>
      </w:r>
      <w:proofErr w:type="spellEnd"/>
      <w:r w:rsidRPr="00BC5F1D">
        <w:rPr>
          <w:rFonts w:ascii="Arial" w:hAnsi="Arial" w:cs="Arial"/>
          <w:sz w:val="20"/>
          <w:szCs w:val="20"/>
          <w:lang w:val="en-US"/>
        </w:rPr>
        <w:t xml:space="preserve">, and </w:t>
      </w:r>
      <w:r w:rsidRPr="00BC5F1D">
        <w:rPr>
          <w:rFonts w:ascii="Arial" w:hAnsi="Arial" w:cs="Arial"/>
          <w:i/>
          <w:iCs/>
          <w:sz w:val="20"/>
          <w:szCs w:val="20"/>
          <w:lang w:val="en-US"/>
        </w:rPr>
        <w:t>T. cordifolia</w:t>
      </w:r>
      <w:r w:rsidRPr="00BC5F1D">
        <w:rPr>
          <w:rFonts w:ascii="Arial" w:hAnsi="Arial" w:cs="Arial"/>
          <w:sz w:val="20"/>
          <w:szCs w:val="20"/>
          <w:lang w:val="en-US"/>
        </w:rPr>
        <w:t xml:space="preserve"> are 257.75 ± 3.98, 270.68 ± 1.65, and 283.90 ± 3.29 Kcal/100g, respectively (Table 1). These values are lower than the range of 331.07-359.87 Kcal/100g reported by </w:t>
      </w:r>
      <w:r w:rsidRPr="00BC5F1D">
        <w:rPr>
          <w:rFonts w:ascii="Arial" w:hAnsi="Arial" w:cs="Arial"/>
          <w:color w:val="000000" w:themeColor="text1"/>
          <w:sz w:val="20"/>
          <w:szCs w:val="20"/>
        </w:rPr>
        <w:fldChar w:fldCharType="begin" w:fldLock="1"/>
      </w:r>
      <w:r w:rsidR="000D5690">
        <w:rPr>
          <w:rFonts w:ascii="Arial" w:hAnsi="Arial" w:cs="Arial"/>
          <w:color w:val="000000" w:themeColor="text1"/>
          <w:sz w:val="20"/>
          <w:szCs w:val="20"/>
          <w:lang w:val="en-US"/>
        </w:rPr>
        <w:instrText>ADDIN CSL_CITATION {"citationItems":[{"id":"ITEM-1","itemData":{"DOI":"10.1016/j.afres.2024.100436","author":[{"dropping-particle":"","family":"Assiéné","given":"Agamou Julien Armel","non-dropping-particle":"","parse-names":false,"suffix":""},{"dropping-particle":"","family":"Djeukeu","given":"Asongni William","non-dropping-particle":"","parse-names":false,"suffix":""},{"dropping-particle":"","family":"Assiéné","given":"Oyong Damase Serge","non-dropping-particle":"","parse-names":false,"suffix":""},{"dropping-particle":"","family":"Mbida-Mbida","given":"Yolande Isabelle","non-dropping-particle":"","parse-names":false,"suffix":""},{"dropping-particle":"","family":"Nyangono","given":"Biyegue Christine Fernande","non-dropping-particle":"","parse-names":false,"suffix":""}],"container-title":"Applied Food Research","id":"ITEM-1","issue":"2024","issued":{"date-parts":[["2024"]]},"page":"100436","title":"Nutritional and bioactive potentials of a powder and a decoction made from Ceylon cinnamon bark , Laurus nobilis leaves , and Curcuma longa Linn rhizome","type":"article-journal","volume":"4"},"uris":["http://www.mendeley.com/documents/?uuid=247f6682-a14b-4aa3-98f0-35be9cfb12e9"]}],"mendeley":{"formattedCitation":"(Assiéné, Djeukeu, Assiéné, Mbida-Mbida, et al., 2024)","manualFormatting":"Assiéné, Djeukeu, Assiéné, Mbida-Mbida, et al. (2024)","plainTextFormattedCitation":"(Assiéné, Djeukeu, Assiéné, Mbida-Mbida, et al., 2024)","previouslyFormattedCitation":"(Assiéné, Djeukeu, Assiéné, Mbida-Mbida, et al., 2024)"},"properties":{"noteIndex":0},"schema":"https://github.com/citation-style-language/schema/raw/master/csl-citation.json"}</w:instrText>
      </w:r>
      <w:r w:rsidRPr="00BC5F1D">
        <w:rPr>
          <w:rFonts w:ascii="Arial" w:hAnsi="Arial" w:cs="Arial"/>
          <w:color w:val="000000" w:themeColor="text1"/>
          <w:sz w:val="20"/>
          <w:szCs w:val="20"/>
        </w:rPr>
        <w:fldChar w:fldCharType="separate"/>
      </w:r>
      <w:r w:rsidRPr="00BC5F1D">
        <w:rPr>
          <w:rFonts w:ascii="Arial" w:hAnsi="Arial" w:cs="Arial"/>
          <w:noProof/>
          <w:color w:val="000000" w:themeColor="text1"/>
          <w:sz w:val="20"/>
          <w:szCs w:val="20"/>
          <w:lang w:val="en-US"/>
        </w:rPr>
        <w:t xml:space="preserve">Assiéné, Djeukeu, Assiéné, Mbida-Mbida, et al. </w:t>
      </w:r>
      <w:r w:rsidR="000D5690">
        <w:rPr>
          <w:rFonts w:ascii="Arial" w:hAnsi="Arial" w:cs="Arial"/>
          <w:noProof/>
          <w:color w:val="000000" w:themeColor="text1"/>
          <w:sz w:val="20"/>
          <w:szCs w:val="20"/>
          <w:lang w:val="en-US"/>
        </w:rPr>
        <w:t>(</w:t>
      </w:r>
      <w:r w:rsidRPr="00BC5F1D">
        <w:rPr>
          <w:rFonts w:ascii="Arial" w:hAnsi="Arial" w:cs="Arial"/>
          <w:noProof/>
          <w:color w:val="000000" w:themeColor="text1"/>
          <w:sz w:val="20"/>
          <w:szCs w:val="20"/>
          <w:lang w:val="en-US"/>
        </w:rPr>
        <w:t>2024)</w:t>
      </w:r>
      <w:r w:rsidRPr="00BC5F1D">
        <w:rPr>
          <w:rFonts w:ascii="Arial" w:hAnsi="Arial" w:cs="Arial"/>
          <w:color w:val="000000" w:themeColor="text1"/>
          <w:sz w:val="20"/>
          <w:szCs w:val="20"/>
        </w:rPr>
        <w:fldChar w:fldCharType="end"/>
      </w:r>
      <w:r w:rsidRPr="00BC5F1D">
        <w:rPr>
          <w:rFonts w:ascii="Arial" w:hAnsi="Arial" w:cs="Arial"/>
          <w:sz w:val="20"/>
          <w:szCs w:val="20"/>
          <w:lang w:val="en-US"/>
        </w:rPr>
        <w:t xml:space="preserve"> for plant powders recommended in the fight against chronic diseases of dietary origin, such as type 2 diabetes. Indeed, the energy value of a powder is a key factor to consider before recommending it to a type 2 diabetic patient. Furthermore, the contribution of caloric nutrients to this energy value must be taken into account, prioritizing protein intake while reducing lipid and sugar intake </w:t>
      </w:r>
      <w:r w:rsidRPr="00BC5F1D">
        <w:rPr>
          <w:rFonts w:ascii="Arial" w:hAnsi="Arial" w:cs="Arial"/>
          <w:color w:val="000000" w:themeColor="text1"/>
          <w:sz w:val="20"/>
          <w:szCs w:val="20"/>
        </w:rPr>
        <w:fldChar w:fldCharType="begin" w:fldLock="1"/>
      </w:r>
      <w:r w:rsidRPr="00BC5F1D">
        <w:rPr>
          <w:rFonts w:ascii="Arial" w:hAnsi="Arial" w:cs="Arial"/>
          <w:color w:val="000000" w:themeColor="text1"/>
          <w:sz w:val="20"/>
          <w:szCs w:val="20"/>
          <w:lang w:val="en-US"/>
        </w:rPr>
        <w:instrText>ADDIN CSL_CITATION {"citationItems":[{"id":"ITEM-1","itemData":{"author":[{"dropping-particle":"","family":"Markovic","given":"Tania P","non-dropping-particle":"","parse-names":false,"suffix":""},{"dropping-particle":"","family":"Natoli","given":"Sharon J","non-dropping-particle":"","parse-names":false,"suffix":""}],"container-title":"Lifestyle Journal","id":"ITEM-1","issue":"3","issued":{"date-parts":[["2009"]]},"page":"149-151","title":"The importance of nutrient density","type":"article-journal","volume":"190"},"uris":["http://www.mendeley.com/documents/?uuid=48570d7e-7792-474e-b215-1ebacb740f2b"]}],"mendeley":{"formattedCitation":"(Markovic &amp; Natoli, 2009)","plainTextFormattedCitation":"(Markovic &amp; Natoli, 2009)","previouslyFormattedCitation":"(Markovic &amp; Natoli, 2009)"},"properties":{"noteIndex":0},"schema":"https://github.com/citation-style-language/schema/raw/master/csl-citation.json"}</w:instrText>
      </w:r>
      <w:r w:rsidRPr="00BC5F1D">
        <w:rPr>
          <w:rFonts w:ascii="Arial" w:hAnsi="Arial" w:cs="Arial"/>
          <w:color w:val="000000" w:themeColor="text1"/>
          <w:sz w:val="20"/>
          <w:szCs w:val="20"/>
        </w:rPr>
        <w:fldChar w:fldCharType="separate"/>
      </w:r>
      <w:r w:rsidRPr="00BC5F1D">
        <w:rPr>
          <w:rFonts w:ascii="Arial" w:hAnsi="Arial" w:cs="Arial"/>
          <w:noProof/>
          <w:color w:val="000000" w:themeColor="text1"/>
          <w:sz w:val="20"/>
          <w:szCs w:val="20"/>
          <w:lang w:val="en-US"/>
        </w:rPr>
        <w:t>(Markovic &amp; Natoli, 2009)</w:t>
      </w:r>
      <w:r w:rsidRPr="00BC5F1D">
        <w:rPr>
          <w:rFonts w:ascii="Arial" w:hAnsi="Arial" w:cs="Arial"/>
          <w:color w:val="000000" w:themeColor="text1"/>
          <w:sz w:val="20"/>
          <w:szCs w:val="20"/>
        </w:rPr>
        <w:fldChar w:fldCharType="end"/>
      </w:r>
      <w:r w:rsidRPr="00BC5F1D">
        <w:rPr>
          <w:rFonts w:ascii="Arial" w:hAnsi="Arial" w:cs="Arial"/>
          <w:color w:val="000000" w:themeColor="text1"/>
          <w:sz w:val="20"/>
          <w:szCs w:val="20"/>
          <w:lang w:val="en-US"/>
        </w:rPr>
        <w:t>.</w:t>
      </w:r>
      <w:r w:rsidRPr="00BC5F1D">
        <w:rPr>
          <w:rFonts w:ascii="Arial" w:hAnsi="Arial" w:cs="Arial"/>
          <w:sz w:val="20"/>
          <w:szCs w:val="20"/>
          <w:lang w:val="en-US"/>
        </w:rPr>
        <w:t xml:space="preserve"> In this regard, the energy value of </w:t>
      </w:r>
      <w:r w:rsidRPr="00BC5F1D">
        <w:rPr>
          <w:rFonts w:ascii="Arial" w:hAnsi="Arial" w:cs="Arial"/>
          <w:i/>
          <w:iCs/>
          <w:sz w:val="20"/>
          <w:szCs w:val="20"/>
          <w:lang w:val="en-US"/>
        </w:rPr>
        <w:t xml:space="preserve">C </w:t>
      </w:r>
      <w:proofErr w:type="spellStart"/>
      <w:r w:rsidRPr="00BC5F1D">
        <w:rPr>
          <w:rFonts w:ascii="Arial" w:hAnsi="Arial" w:cs="Arial"/>
          <w:i/>
          <w:iCs/>
          <w:sz w:val="20"/>
          <w:szCs w:val="20"/>
          <w:lang w:val="en-US"/>
        </w:rPr>
        <w:t>olitorius</w:t>
      </w:r>
      <w:proofErr w:type="spellEnd"/>
      <w:r w:rsidRPr="00BC5F1D">
        <w:rPr>
          <w:rFonts w:ascii="Arial" w:hAnsi="Arial" w:cs="Arial"/>
          <w:sz w:val="20"/>
          <w:szCs w:val="20"/>
          <w:lang w:val="en-US"/>
        </w:rPr>
        <w:t xml:space="preserve"> powder (270.68 Kcal/100g) would be the most recommended for a diabetic patient who chooses to benefit from it as a dietary supplement. In this form, it is not only protein intake that must be considered; fibers and minerals are equally important for the diabetic patient.</w:t>
      </w:r>
    </w:p>
    <w:p w14:paraId="1039291F" w14:textId="0BB1C388" w:rsidR="00987502" w:rsidRPr="00BC5F1D" w:rsidRDefault="00987502" w:rsidP="00987502">
      <w:pPr>
        <w:spacing w:line="360" w:lineRule="auto"/>
        <w:jc w:val="both"/>
        <w:rPr>
          <w:rFonts w:ascii="Arial" w:hAnsi="Arial" w:cs="Arial"/>
          <w:sz w:val="20"/>
          <w:szCs w:val="20"/>
          <w:lang w:val="en-US"/>
        </w:rPr>
      </w:pPr>
      <w:r w:rsidRPr="00BC5F1D">
        <w:rPr>
          <w:rFonts w:ascii="Arial" w:hAnsi="Arial" w:cs="Arial"/>
          <w:sz w:val="20"/>
          <w:szCs w:val="20"/>
          <w:lang w:val="en-US"/>
        </w:rPr>
        <w:t xml:space="preserve">Fibers are defined as carbohydrates that are not digested by human intestinal enzymes. They are essential in the process of stool evacuation along the intestinal lumen, and due to their satiating and chelating properties, they play a key role in regulating food intake. The crude fiber contents obtained from the powders of </w:t>
      </w:r>
      <w:r w:rsidRPr="00BC5F1D">
        <w:rPr>
          <w:rFonts w:ascii="Arial" w:hAnsi="Arial" w:cs="Arial"/>
          <w:i/>
          <w:iCs/>
          <w:sz w:val="20"/>
          <w:szCs w:val="20"/>
          <w:lang w:val="en-US"/>
        </w:rPr>
        <w:t xml:space="preserve">A </w:t>
      </w:r>
      <w:proofErr w:type="spellStart"/>
      <w:r w:rsidRPr="00BC5F1D">
        <w:rPr>
          <w:rFonts w:ascii="Arial" w:hAnsi="Arial" w:cs="Arial"/>
          <w:i/>
          <w:iCs/>
          <w:sz w:val="20"/>
          <w:szCs w:val="20"/>
          <w:lang w:val="en-US"/>
        </w:rPr>
        <w:t>digitata</w:t>
      </w:r>
      <w:proofErr w:type="spellEnd"/>
      <w:r w:rsidRPr="00BC5F1D">
        <w:rPr>
          <w:rFonts w:ascii="Arial" w:hAnsi="Arial" w:cs="Arial"/>
          <w:sz w:val="20"/>
          <w:szCs w:val="20"/>
          <w:lang w:val="en-US"/>
        </w:rPr>
        <w:t xml:space="preserve">, </w:t>
      </w:r>
      <w:r w:rsidRPr="00BC5F1D">
        <w:rPr>
          <w:rFonts w:ascii="Arial" w:hAnsi="Arial" w:cs="Arial"/>
          <w:i/>
          <w:iCs/>
          <w:sz w:val="20"/>
          <w:szCs w:val="20"/>
          <w:lang w:val="en-US"/>
        </w:rPr>
        <w:t xml:space="preserve">C </w:t>
      </w:r>
      <w:proofErr w:type="spellStart"/>
      <w:r w:rsidRPr="00BC5F1D">
        <w:rPr>
          <w:rFonts w:ascii="Arial" w:hAnsi="Arial" w:cs="Arial"/>
          <w:i/>
          <w:iCs/>
          <w:sz w:val="20"/>
          <w:szCs w:val="20"/>
          <w:lang w:val="en-US"/>
        </w:rPr>
        <w:t>olitorius</w:t>
      </w:r>
      <w:proofErr w:type="spellEnd"/>
      <w:r w:rsidRPr="00BC5F1D">
        <w:rPr>
          <w:rFonts w:ascii="Arial" w:hAnsi="Arial" w:cs="Arial"/>
          <w:sz w:val="20"/>
          <w:szCs w:val="20"/>
          <w:lang w:val="en-US"/>
        </w:rPr>
        <w:t xml:space="preserve">, and </w:t>
      </w:r>
      <w:r w:rsidRPr="00BC5F1D">
        <w:rPr>
          <w:rFonts w:ascii="Arial" w:hAnsi="Arial" w:cs="Arial"/>
          <w:i/>
          <w:iCs/>
          <w:sz w:val="20"/>
          <w:szCs w:val="20"/>
          <w:lang w:val="en-US"/>
        </w:rPr>
        <w:t>T. cordifolia</w:t>
      </w:r>
      <w:r w:rsidRPr="00BC5F1D">
        <w:rPr>
          <w:rFonts w:ascii="Arial" w:hAnsi="Arial" w:cs="Arial"/>
          <w:sz w:val="20"/>
          <w:szCs w:val="20"/>
          <w:lang w:val="en-US"/>
        </w:rPr>
        <w:t xml:space="preserve"> are 19.05 ± 0.10, 12.24 ± 0.50, and 18.98 ± 0.02 g/100g dry matter (DM), respectively (Table 1). It is observed that there is no significant difference between the crude fiber contents of </w:t>
      </w:r>
      <w:r w:rsidRPr="00BC5F1D">
        <w:rPr>
          <w:rFonts w:ascii="Arial" w:hAnsi="Arial" w:cs="Arial"/>
          <w:i/>
          <w:iCs/>
          <w:sz w:val="20"/>
          <w:szCs w:val="20"/>
          <w:lang w:val="en-US"/>
        </w:rPr>
        <w:t>A. digitata</w:t>
      </w:r>
      <w:r w:rsidRPr="00BC5F1D">
        <w:rPr>
          <w:rFonts w:ascii="Arial" w:hAnsi="Arial" w:cs="Arial"/>
          <w:sz w:val="20"/>
          <w:szCs w:val="20"/>
          <w:lang w:val="en-US"/>
        </w:rPr>
        <w:t xml:space="preserve"> powder (19.05 ± 0.10 g/100g DM) and </w:t>
      </w:r>
      <w:r w:rsidRPr="00BC5F1D">
        <w:rPr>
          <w:rFonts w:ascii="Arial" w:hAnsi="Arial" w:cs="Arial"/>
          <w:i/>
          <w:iCs/>
          <w:sz w:val="20"/>
          <w:szCs w:val="20"/>
          <w:lang w:val="en-US"/>
        </w:rPr>
        <w:t>T. cordifolia</w:t>
      </w:r>
      <w:r w:rsidRPr="00BC5F1D">
        <w:rPr>
          <w:rFonts w:ascii="Arial" w:hAnsi="Arial" w:cs="Arial"/>
          <w:sz w:val="20"/>
          <w:szCs w:val="20"/>
          <w:lang w:val="en-US"/>
        </w:rPr>
        <w:t xml:space="preserve"> powder (18.98 ± 0.02 g/100g DM). However, these values are higher than the 11.96 g/100g DM reported by </w:t>
      </w:r>
      <w:r w:rsidRPr="00BC5F1D">
        <w:rPr>
          <w:rFonts w:ascii="Arial" w:hAnsi="Arial" w:cs="Arial"/>
          <w:color w:val="FF0000"/>
          <w:sz w:val="20"/>
          <w:szCs w:val="20"/>
          <w:lang w:val="en-US"/>
        </w:rPr>
        <w:t xml:space="preserve"> </w:t>
      </w:r>
      <w:r w:rsidRPr="000D5690">
        <w:rPr>
          <w:rFonts w:ascii="Arial" w:hAnsi="Arial" w:cs="Arial"/>
          <w:color w:val="000000" w:themeColor="text1"/>
          <w:sz w:val="20"/>
          <w:szCs w:val="20"/>
        </w:rPr>
        <w:fldChar w:fldCharType="begin" w:fldLock="1"/>
      </w:r>
      <w:r w:rsidR="009A02E1">
        <w:rPr>
          <w:rFonts w:ascii="Arial" w:hAnsi="Arial" w:cs="Arial"/>
          <w:color w:val="000000" w:themeColor="text1"/>
          <w:sz w:val="20"/>
          <w:szCs w:val="20"/>
          <w:lang w:val="en-US"/>
        </w:rPr>
        <w:instrText>ADDIN CSL_CITATION {"citationItems":[{"id":"ITEM-1","itemData":{"DOI":"10.5251/abjna.2014.5.3.104.108","ISSN":"2151-7525","abstract":"Baobab (Adansonia digitata L.) belongs to the Bombaceae family and is known generally as the African baobab. Baobab leaves are widely used, cooked as spinach, and frequently dried often powdered and used for sauces over porridges, thick gruels of grains or boiled rice. This study is investigating the effect of different common drying methods on the physical and chemical properties of African baobab leaves. Fresh and matured leaves were thoroughly washed and drained to remove all dirts and divided into five samples. Each sample was dried under the sun, under a shade, cabinet dryer set at a temperature of 50 0 C, and solar dryer respectively. Proximate, mineral and Vitamin A composition and colour determination were carried out on the fresh and dried samples. The results showed that the fresh sample is rich in Protein (12.28%). Shade drying was found most suitable among the drying methods because it was able to retain most of the nutrients with significant difference in proximate, ascorbic acid and mineral contents from other drying methods. Shade drying was therefore recommended.","author":[{"dropping-particle":"","family":"Abioye","given":"V F","non-dropping-particle":"","parse-names":false,"suffix":""},{"dropping-particle":"","family":"Adejuyitan","given":"J A","non-dropping-particle":"","parse-names":false,"suffix":""},{"dropping-particle":"","family":"Idowu","given":"C F","non-dropping-particle":"","parse-names":false,"suffix":""}],"container-title":"Agriculture and Biology Journal of North America","id":"ITEM-1","issue":"3","issued":{"date-parts":[["2014"]]},"page":"104-108","title":"Effects of different drying methods on the nutritional and quality attributes of baobab leaves (Adansonia digitata)","type":"article-journal","volume":"5"},"uris":["http://www.mendeley.com/documents/?uuid=90ea09a8-cc07-3f29-a57c-ff25ef2d0ddd"]}],"mendeley":{"formattedCitation":"(Abioye et al., 2014)","manualFormatting":"Abioye et al. (2014)","plainTextFormattedCitation":"(Abioye et al., 2014)","previouslyFormattedCitation":"(Abioye et al., 2014)"},"properties":{"noteIndex":0},"schema":"https://github.com/citation-style-language/schema/raw/master/csl-citation.json"}</w:instrText>
      </w:r>
      <w:r w:rsidRPr="000D5690">
        <w:rPr>
          <w:rFonts w:ascii="Arial" w:hAnsi="Arial" w:cs="Arial"/>
          <w:color w:val="000000" w:themeColor="text1"/>
          <w:sz w:val="20"/>
          <w:szCs w:val="20"/>
        </w:rPr>
        <w:fldChar w:fldCharType="separate"/>
      </w:r>
      <w:r w:rsidRPr="000D5690">
        <w:rPr>
          <w:rFonts w:ascii="Arial" w:hAnsi="Arial" w:cs="Arial"/>
          <w:noProof/>
          <w:color w:val="000000" w:themeColor="text1"/>
          <w:sz w:val="20"/>
          <w:szCs w:val="20"/>
          <w:lang w:val="en-US"/>
        </w:rPr>
        <w:t xml:space="preserve">Abioye et al. </w:t>
      </w:r>
      <w:r w:rsidR="000D5690" w:rsidRPr="000D5690">
        <w:rPr>
          <w:rFonts w:ascii="Arial" w:hAnsi="Arial" w:cs="Arial"/>
          <w:noProof/>
          <w:color w:val="000000" w:themeColor="text1"/>
          <w:sz w:val="20"/>
          <w:szCs w:val="20"/>
          <w:lang w:val="en-US"/>
        </w:rPr>
        <w:t>(</w:t>
      </w:r>
      <w:r w:rsidRPr="000D5690">
        <w:rPr>
          <w:rFonts w:ascii="Arial" w:hAnsi="Arial" w:cs="Arial"/>
          <w:noProof/>
          <w:color w:val="000000" w:themeColor="text1"/>
          <w:sz w:val="20"/>
          <w:szCs w:val="20"/>
          <w:lang w:val="en-US"/>
        </w:rPr>
        <w:t>2014)</w:t>
      </w:r>
      <w:r w:rsidRPr="000D5690">
        <w:rPr>
          <w:rFonts w:ascii="Arial" w:hAnsi="Arial" w:cs="Arial"/>
          <w:color w:val="000000" w:themeColor="text1"/>
          <w:sz w:val="20"/>
          <w:szCs w:val="20"/>
        </w:rPr>
        <w:fldChar w:fldCharType="end"/>
      </w:r>
      <w:r w:rsidRPr="000D5690">
        <w:rPr>
          <w:rFonts w:ascii="Arial" w:hAnsi="Arial" w:cs="Arial"/>
          <w:color w:val="000000" w:themeColor="text1"/>
          <w:sz w:val="20"/>
          <w:szCs w:val="20"/>
          <w:lang w:val="en-US"/>
        </w:rPr>
        <w:t xml:space="preserve"> </w:t>
      </w:r>
      <w:r w:rsidRPr="00BC5F1D">
        <w:rPr>
          <w:rFonts w:ascii="Arial" w:hAnsi="Arial" w:cs="Arial"/>
          <w:sz w:val="20"/>
          <w:szCs w:val="20"/>
          <w:lang w:val="en-US"/>
        </w:rPr>
        <w:t xml:space="preserve">for sun-dried </w:t>
      </w:r>
      <w:r w:rsidRPr="00BC5F1D">
        <w:rPr>
          <w:rFonts w:ascii="Arial" w:hAnsi="Arial" w:cs="Arial"/>
          <w:i/>
          <w:iCs/>
          <w:sz w:val="20"/>
          <w:szCs w:val="20"/>
          <w:lang w:val="en-US"/>
        </w:rPr>
        <w:t>A. digitata</w:t>
      </w:r>
      <w:r w:rsidRPr="00BC5F1D">
        <w:rPr>
          <w:rFonts w:ascii="Arial" w:hAnsi="Arial" w:cs="Arial"/>
          <w:sz w:val="20"/>
          <w:szCs w:val="20"/>
          <w:lang w:val="en-US"/>
        </w:rPr>
        <w:t xml:space="preserve"> leaf powders. These differences can be explained by the previously mentioned reasons regarding caloric nutrients, as crude fibers (cellulose and hemicellulose) are primarily carbohydrates.</w:t>
      </w:r>
    </w:p>
    <w:p w14:paraId="571DF538" w14:textId="046B238A" w:rsidR="00987502" w:rsidRPr="00BC5F1D" w:rsidRDefault="00987502" w:rsidP="00C815B0">
      <w:pPr>
        <w:spacing w:line="360" w:lineRule="auto"/>
        <w:jc w:val="both"/>
        <w:rPr>
          <w:rFonts w:ascii="Arial" w:hAnsi="Arial" w:cs="Arial"/>
          <w:sz w:val="20"/>
          <w:szCs w:val="20"/>
          <w:lang w:val="en-US"/>
        </w:rPr>
      </w:pPr>
      <w:r w:rsidRPr="00BC5F1D">
        <w:rPr>
          <w:rFonts w:ascii="Arial" w:hAnsi="Arial" w:cs="Arial"/>
          <w:sz w:val="20"/>
          <w:szCs w:val="20"/>
          <w:lang w:val="en-US"/>
        </w:rPr>
        <w:t xml:space="preserve">Total ash content indicates the amount of minerals present in the powders. The values obtained in this study vary significantly from one powder to another. They are 10.78 ± 0.20, 10.28 ± 0.35, and 4.16 ± 0.10 g/100g dry matter (DM) for the powders of </w:t>
      </w:r>
      <w:r w:rsidRPr="00BC5F1D">
        <w:rPr>
          <w:rFonts w:ascii="Arial" w:hAnsi="Arial" w:cs="Arial"/>
          <w:i/>
          <w:iCs/>
          <w:sz w:val="20"/>
          <w:szCs w:val="20"/>
          <w:lang w:val="en-US"/>
        </w:rPr>
        <w:t>A. digitata</w:t>
      </w:r>
      <w:r w:rsidRPr="00BC5F1D">
        <w:rPr>
          <w:rFonts w:ascii="Arial" w:hAnsi="Arial" w:cs="Arial"/>
          <w:sz w:val="20"/>
          <w:szCs w:val="20"/>
          <w:lang w:val="en-US"/>
        </w:rPr>
        <w:t xml:space="preserve">, C. </w:t>
      </w:r>
      <w:proofErr w:type="spellStart"/>
      <w:r w:rsidRPr="00BC5F1D">
        <w:rPr>
          <w:rFonts w:ascii="Arial" w:hAnsi="Arial" w:cs="Arial"/>
          <w:sz w:val="20"/>
          <w:szCs w:val="20"/>
          <w:lang w:val="en-US"/>
        </w:rPr>
        <w:t>olitorius</w:t>
      </w:r>
      <w:proofErr w:type="spellEnd"/>
      <w:r w:rsidRPr="00BC5F1D">
        <w:rPr>
          <w:rFonts w:ascii="Arial" w:hAnsi="Arial" w:cs="Arial"/>
          <w:sz w:val="20"/>
          <w:szCs w:val="20"/>
          <w:lang w:val="en-US"/>
        </w:rPr>
        <w:t xml:space="preserve">, and </w:t>
      </w:r>
      <w:r w:rsidRPr="00BC5F1D">
        <w:rPr>
          <w:rFonts w:ascii="Arial" w:hAnsi="Arial" w:cs="Arial"/>
          <w:i/>
          <w:iCs/>
          <w:sz w:val="20"/>
          <w:szCs w:val="20"/>
          <w:lang w:val="en-US"/>
        </w:rPr>
        <w:t>T. cordifolia</w:t>
      </w:r>
      <w:r w:rsidRPr="00BC5F1D">
        <w:rPr>
          <w:rFonts w:ascii="Arial" w:hAnsi="Arial" w:cs="Arial"/>
          <w:sz w:val="20"/>
          <w:szCs w:val="20"/>
          <w:lang w:val="en-US"/>
        </w:rPr>
        <w:t xml:space="preserve">, respectively </w:t>
      </w:r>
      <w:r w:rsidRPr="00BC5F1D">
        <w:rPr>
          <w:rFonts w:ascii="Arial" w:hAnsi="Arial" w:cs="Arial"/>
          <w:sz w:val="20"/>
          <w:szCs w:val="20"/>
          <w:lang w:val="en-US"/>
        </w:rPr>
        <w:lastRenderedPageBreak/>
        <w:t xml:space="preserve">(Table 1). These values fall within the range of 7.25-26.79 g/100g DM reported by </w:t>
      </w:r>
      <w:r w:rsidRPr="00BC5F1D">
        <w:rPr>
          <w:rFonts w:ascii="Arial" w:hAnsi="Arial" w:cs="Arial"/>
          <w:sz w:val="20"/>
          <w:szCs w:val="20"/>
        </w:rPr>
        <w:fldChar w:fldCharType="begin" w:fldLock="1"/>
      </w:r>
      <w:r w:rsidR="000D5690">
        <w:rPr>
          <w:rFonts w:ascii="Arial" w:hAnsi="Arial" w:cs="Arial"/>
          <w:sz w:val="20"/>
          <w:szCs w:val="20"/>
          <w:lang w:val="en-US"/>
        </w:rPr>
        <w:instrText>ADDIN CSL_CITATION {"citationItems":[{"id":"ITEM-1","itemData":{"ISSN":"1857-7431","abstract":"In tropical Africa, leafy vegetables are traditionally cooked and eaten as a relish together with a starchy staple food. Nevertheless, scientific report on their nutritive potential is scanty. In order to contribute to their wider utilization and valorization, leafy vegetables consumed in Northern Côte d'Ivoire (Amaranthus hybridus, Andasonia digitata, Ceiba patendra, Hibiscus sabdariffa and Vigna unguiculata) have focused our attention. The physicochemical and nutritive properties of these leafy vegetables were investigated and the results obtained were as follow: moisture (69.93-87.40%), crude proteins (13.12-22.26%), crude fibres (12.11-33.00%), ash (7.25-26.79%), carbohydrates (26.19-59.99%), crude lipids (1.17-4.90%) and food energy (134.87-312.92 kcal/100g). The mineral elements contents were high with remarkable amount of K (848.3-3970 mg/100g), Ca (1331.15-4680 mg/100g), Mg (345.55-2110 mg/100g), P (343.53-1320 mg/100g) and Fe (30.71-90.00 mg/100g). The Ca/P ratio was desirable and ranged from 2.75 to 9.99. These leafy vegetables also contained appreciable levels of vitamin C (30.00-60.01 mg/100g) and polyphenols (134.07-294.83 mg/100g). The studied leafy vegetables highlighted antioxidant activity varying from 69.05 to 80.21%. All these results indicate that the studied leafy vegetables if consume in sufficient amount would contribute greatly to the nutritional requirement for human health and to the food security of Ivorian population.","author":[{"dropping-particle":"","family":"Patricia","given":"Oulai","non-dropping-particle":"","parse-names":false,"suffix":""},{"dropping-particle":"","family":"Zoue","given":"Lessoy","non-dropping-particle":"","parse-names":false,"suffix":""},{"dropping-particle":"","family":"Megnanou","given":"Rose-Monde","non-dropping-particle":"","parse-names":false,"suffix":""},{"dropping-particle":"","family":"Doue","given":"Ryta","non-dropping-particle":"","parse-names":false,"suffix":""},{"dropping-particle":"","family":"Niamke","given":"Sébastien","non-dropping-particle":"","parse-names":false,"suffix":""}],"container-title":"European Scientific Journal","id":"ITEM-1","issue":"6","issued":{"date-parts":[["2014"]]},"page":"1857-7881","title":"Proximate Composition and Nutritive Value of Leafy Vegetables Consumed in Northern Côte D'Ivoire","type":"article-journal","volume":"10"},"uris":["http://www.mendeley.com/documents/?uuid=8ae9951c-fcb4-409d-829a-06d1a632017f"]}],"mendeley":{"formattedCitation":"(Patricia et al., 2014)","manualFormatting":"Patricia et al. (2014)","plainTextFormattedCitation":"(Patricia et al., 2014)","previouslyFormattedCitation":"(Patricia et al., 2014)"},"properties":{"noteIndex":0},"schema":"https://github.com/citation-style-language/schema/raw/master/csl-citation.json"}</w:instrText>
      </w:r>
      <w:r w:rsidRPr="00BC5F1D">
        <w:rPr>
          <w:rFonts w:ascii="Arial" w:hAnsi="Arial" w:cs="Arial"/>
          <w:sz w:val="20"/>
          <w:szCs w:val="20"/>
        </w:rPr>
        <w:fldChar w:fldCharType="separate"/>
      </w:r>
      <w:r w:rsidRPr="00BC5F1D">
        <w:rPr>
          <w:rFonts w:ascii="Arial" w:hAnsi="Arial" w:cs="Arial"/>
          <w:noProof/>
          <w:sz w:val="20"/>
          <w:szCs w:val="20"/>
          <w:lang w:val="en-US"/>
        </w:rPr>
        <w:t xml:space="preserve">Patricia et al. </w:t>
      </w:r>
      <w:r w:rsidR="000D5690">
        <w:rPr>
          <w:rFonts w:ascii="Arial" w:hAnsi="Arial" w:cs="Arial"/>
          <w:noProof/>
          <w:sz w:val="20"/>
          <w:szCs w:val="20"/>
          <w:lang w:val="en-US"/>
        </w:rPr>
        <w:t>(</w:t>
      </w:r>
      <w:r w:rsidRPr="00BC5F1D">
        <w:rPr>
          <w:rFonts w:ascii="Arial" w:hAnsi="Arial" w:cs="Arial"/>
          <w:noProof/>
          <w:sz w:val="20"/>
          <w:szCs w:val="20"/>
          <w:lang w:val="en-US"/>
        </w:rPr>
        <w:t>2014)</w:t>
      </w:r>
      <w:r w:rsidRPr="00BC5F1D">
        <w:rPr>
          <w:rFonts w:ascii="Arial" w:hAnsi="Arial" w:cs="Arial"/>
          <w:sz w:val="20"/>
          <w:szCs w:val="20"/>
        </w:rPr>
        <w:fldChar w:fldCharType="end"/>
      </w:r>
      <w:r w:rsidRPr="00BC5F1D">
        <w:rPr>
          <w:rFonts w:ascii="Arial" w:hAnsi="Arial" w:cs="Arial"/>
          <w:sz w:val="20"/>
          <w:szCs w:val="20"/>
          <w:lang w:val="en-US"/>
        </w:rPr>
        <w:t xml:space="preserve"> for plant powders consumed in northern of Ivory Coast. They are also lower than the range of 6.30-7.23 g/100g DM reported by </w:t>
      </w:r>
      <w:r w:rsidRPr="00BC5F1D">
        <w:rPr>
          <w:rFonts w:ascii="Arial" w:hAnsi="Arial" w:cs="Arial"/>
          <w:sz w:val="20"/>
          <w:szCs w:val="20"/>
        </w:rPr>
        <w:fldChar w:fldCharType="begin" w:fldLock="1"/>
      </w:r>
      <w:r w:rsidR="000D5690">
        <w:rPr>
          <w:rFonts w:ascii="Arial" w:hAnsi="Arial" w:cs="Arial"/>
          <w:sz w:val="20"/>
          <w:szCs w:val="20"/>
          <w:lang w:val="en-US"/>
        </w:rPr>
        <w:instrText>ADDIN CSL_CITATION {"citationItems":[{"id":"ITEM-1","itemData":{"abstract":"The leaves of Moringa oleifera were harvested from Lafia in Nasarawa State of Nigeria during the rainy season in June 2011 for proximate, mineral and phytochemical analysis. The results of proximate analysis revealed the presence of high crude protein (17.01% ±0.1) and carbohydrate (63.11% ±0.09). The leaves also contained appreciable amounts of crude fibre (7.09% ±0.11), ash (7.93% ± 0.12), crude fat (2.11% ±0.11) and fatty acid (1.69% ±0.09). The total ash content showed it contained minerals, Ca (1.91% ±0.08), K (0.97% ±0.01), Na (192.95±4.4), Fe (107.48±8.2), Mn (81.65±2.31), Zn (60.06±0.3) and P (30.15±0.5) parts per million (ppm). Magnesium (0.38% ±0.01) and copper (6.10±0.19) were the least. The results of phytochemical analysis and anti-nutrients showed presence of tannins (21.19% ±0.25), phytates (2.57% ±0.13), trypsin inhibitors (3.0% ±0.04), saponins (1.60% ±0.05), oxalates (0.45% ±0.01) and cyanide content ((0.1% ±0.01). The presence of these essential nutrients and minerals implies Moringa oleifera leaves from Lafia, Nasarawa State could be utilized as a source of feed supplement to improve growth performance and health status of poultry. The benefits of essential nutrients and minerals in maintaining good health were also highlighted in this study.","author":[{"dropping-particle":"","family":"Ogbe","given":"A O","non-dropping-particle":"","parse-names":false,"suffix":""},{"dropping-particle":"","family":"Affiku","given":"John P","non-dropping-particle":"","parse-names":false,"suffix":""}],"container-title":"Journal of Microbiology","id":"ITEM-1","issue":"3","issued":{"date-parts":[["2011"]]},"number-of-pages":"296-308","title":"Proximate study, mineral and anti-nutrient composition of Moringa oleifera leaves harvested from Lafia, Nigeria: potential benefits in poultry nutrition and health","type":"report","volume":"12"},"uris":["http://www.mendeley.com/documents/?uuid=157b0b36-7b31-3d1a-8104-4068b5978c83"]}],"mendeley":{"formattedCitation":"(Ogbe &amp; Affiku, 2011)","manualFormatting":"Ogbe &amp; Affiku (2011)","plainTextFormattedCitation":"(Ogbe &amp; Affiku, 2011)","previouslyFormattedCitation":"(Ogbe &amp; Affiku, 2011)"},"properties":{"noteIndex":0},"schema":"https://github.com/citation-style-language/schema/raw/master/csl-citation.json"}</w:instrText>
      </w:r>
      <w:r w:rsidRPr="00BC5F1D">
        <w:rPr>
          <w:rFonts w:ascii="Arial" w:hAnsi="Arial" w:cs="Arial"/>
          <w:sz w:val="20"/>
          <w:szCs w:val="20"/>
        </w:rPr>
        <w:fldChar w:fldCharType="separate"/>
      </w:r>
      <w:r w:rsidRPr="00BC5F1D">
        <w:rPr>
          <w:rFonts w:ascii="Arial" w:hAnsi="Arial" w:cs="Arial"/>
          <w:noProof/>
          <w:sz w:val="20"/>
          <w:szCs w:val="20"/>
          <w:lang w:val="en-US"/>
        </w:rPr>
        <w:t xml:space="preserve">Ogbe &amp; Affiku </w:t>
      </w:r>
      <w:r w:rsidR="000D5690">
        <w:rPr>
          <w:rFonts w:ascii="Arial" w:hAnsi="Arial" w:cs="Arial"/>
          <w:noProof/>
          <w:sz w:val="20"/>
          <w:szCs w:val="20"/>
          <w:lang w:val="en-US"/>
        </w:rPr>
        <w:t>(</w:t>
      </w:r>
      <w:r w:rsidRPr="00BC5F1D">
        <w:rPr>
          <w:rFonts w:ascii="Arial" w:hAnsi="Arial" w:cs="Arial"/>
          <w:noProof/>
          <w:sz w:val="20"/>
          <w:szCs w:val="20"/>
          <w:lang w:val="en-US"/>
        </w:rPr>
        <w:t>2011)</w:t>
      </w:r>
      <w:r w:rsidRPr="00BC5F1D">
        <w:rPr>
          <w:rFonts w:ascii="Arial" w:hAnsi="Arial" w:cs="Arial"/>
          <w:sz w:val="20"/>
          <w:szCs w:val="20"/>
        </w:rPr>
        <w:fldChar w:fldCharType="end"/>
      </w:r>
      <w:r w:rsidRPr="00BC5F1D">
        <w:rPr>
          <w:rFonts w:ascii="Arial" w:hAnsi="Arial" w:cs="Arial"/>
          <w:sz w:val="20"/>
          <w:szCs w:val="20"/>
          <w:lang w:val="en-US"/>
        </w:rPr>
        <w:t xml:space="preserve"> and </w:t>
      </w:r>
      <w:r w:rsidRPr="00BC5F1D">
        <w:rPr>
          <w:rFonts w:ascii="Arial" w:hAnsi="Arial" w:cs="Arial"/>
          <w:sz w:val="20"/>
          <w:szCs w:val="20"/>
          <w:lang w:val="en-US"/>
        </w:rPr>
        <w:fldChar w:fldCharType="begin" w:fldLock="1"/>
      </w:r>
      <w:r w:rsidR="000D5690">
        <w:rPr>
          <w:rFonts w:ascii="Arial" w:hAnsi="Arial" w:cs="Arial"/>
          <w:sz w:val="20"/>
          <w:szCs w:val="20"/>
          <w:lang w:val="en-US"/>
        </w:rPr>
        <w:instrText>ADDIN CSL_CITATION {"citationItems":[{"id":"ITEM-1","itemData":{"ISBN":"2201-2796","ISSN":"2201-2796","abstract":"The leaves of Ceiba pentandra (Java), Manihot esculentus (Cassava) and Abelmoschus esculentus (Okra) are consumed as vegetables in Southwestern Nigeria. The proximate and phytochemical composition of these leaves were investigated using standard procedures. Powdered dried leaves of Java, Cassava and Okra were analysed for ash, moisture, fat, fibre, protein, carbohydrate, tannins, flavonoids, phenols and ascorbic acid composition. The percentage composition result values for ash, moisture, fat, fibre, protein and carbohydrate in the leaves ranged from 15.00% - 6.30%, 0.15% - 4.85%, 9.60% - 8.40%, 25.44% - 17.55%, 21.16% - 8.65% and 41.25% - 32.65% respectively. Tannins, flavonoids and phenols composition values ranges were 8.98% - 0.81%, 4.71% - 0.12% and 0.07% - 0.03% respectively while ascorbic acid content ranged from 3.16mg/100g to 2.84mg/100g. The result values obtained have shown that these leaves have good nutritive and therapeutic values and there is need for increased inclusion of these leaves as vegetables in everyday meal.","author":[{"dropping-particle":"","family":"Raimi","given":"Monsurat M.","non-dropping-particle":"","parse-names":false,"suffix":""},{"dropping-particle":"","family":"Oyekanmi","given":"Adeyinka M.","non-dropping-particle":"","parse-names":false,"suffix":""},{"dropping-particle":"","family":"Farombi","given":"Abolaji G","non-dropping-particle":"","parse-names":false,"suffix":""}],"container-title":"Scientific Research Journal (SCIRJ)","id":"ITEM-1","issue":"4","issued":{"date-parts":[["2014"]]},"page":"30-34","title":"Proximate and Phytochemical Composition of Leaves of Ceiba pentandra, Manihot esculentus and Abelmoschus esculentus in Southwestern Nigeria","type":"article-journal","volume":"2"},"uris":["http://www.mendeley.com/documents/?uuid=223a3444-7d99-465a-9bd8-8b153c6b1a6c"]}],"mendeley":{"formattedCitation":"(Raimi et al., 2014)","manualFormatting":"(Raimi et al. (2014)","plainTextFormattedCitation":"(Raimi et al., 2014)","previouslyFormattedCitation":"(Raimi et al., 2014)"},"properties":{"noteIndex":0},"schema":"https://github.com/citation-style-language/schema/raw/master/csl-citation.json"}</w:instrText>
      </w:r>
      <w:r w:rsidRPr="00BC5F1D">
        <w:rPr>
          <w:rFonts w:ascii="Arial" w:hAnsi="Arial" w:cs="Arial"/>
          <w:sz w:val="20"/>
          <w:szCs w:val="20"/>
          <w:lang w:val="en-US"/>
        </w:rPr>
        <w:fldChar w:fldCharType="separate"/>
      </w:r>
      <w:r w:rsidRPr="00BC5F1D">
        <w:rPr>
          <w:rFonts w:ascii="Arial" w:hAnsi="Arial" w:cs="Arial"/>
          <w:noProof/>
          <w:sz w:val="20"/>
          <w:szCs w:val="20"/>
          <w:lang w:val="en-US"/>
        </w:rPr>
        <w:t>(Raimi et al.</w:t>
      </w:r>
      <w:r w:rsidR="000D5690">
        <w:rPr>
          <w:rFonts w:ascii="Arial" w:hAnsi="Arial" w:cs="Arial"/>
          <w:noProof/>
          <w:sz w:val="20"/>
          <w:szCs w:val="20"/>
          <w:lang w:val="en-US"/>
        </w:rPr>
        <w:t xml:space="preserve"> (</w:t>
      </w:r>
      <w:r w:rsidRPr="00BC5F1D">
        <w:rPr>
          <w:rFonts w:ascii="Arial" w:hAnsi="Arial" w:cs="Arial"/>
          <w:noProof/>
          <w:sz w:val="20"/>
          <w:szCs w:val="20"/>
          <w:lang w:val="en-US"/>
        </w:rPr>
        <w:t>2014)</w:t>
      </w:r>
      <w:r w:rsidRPr="00BC5F1D">
        <w:rPr>
          <w:rFonts w:ascii="Arial" w:hAnsi="Arial" w:cs="Arial"/>
          <w:sz w:val="20"/>
          <w:szCs w:val="20"/>
          <w:lang w:val="en-US"/>
        </w:rPr>
        <w:fldChar w:fldCharType="end"/>
      </w:r>
      <w:r w:rsidRPr="00BC5F1D">
        <w:rPr>
          <w:rFonts w:ascii="Arial" w:hAnsi="Arial" w:cs="Arial"/>
          <w:sz w:val="20"/>
          <w:szCs w:val="20"/>
          <w:lang w:val="en-US"/>
        </w:rPr>
        <w:t xml:space="preserve"> for plant powders studied in Nigeria. However, it is essential to determine the quantities of each mineral of interest contained in these ashes before making any recommendations regarding the powder to a diabetic patient.</w:t>
      </w:r>
    </w:p>
    <w:p w14:paraId="436CAAAD" w14:textId="3FAF761D" w:rsidR="00524870" w:rsidRPr="00BC5F1D" w:rsidRDefault="000C6D82" w:rsidP="00A1137A">
      <w:pPr>
        <w:pStyle w:val="ListParagraph"/>
        <w:numPr>
          <w:ilvl w:val="2"/>
          <w:numId w:val="1"/>
        </w:numPr>
        <w:tabs>
          <w:tab w:val="left" w:pos="567"/>
        </w:tabs>
        <w:spacing w:line="360" w:lineRule="auto"/>
        <w:jc w:val="both"/>
        <w:rPr>
          <w:rFonts w:ascii="Arial" w:hAnsi="Arial" w:cs="Arial"/>
          <w:b/>
          <w:bCs/>
          <w:lang w:val="en-US"/>
        </w:rPr>
      </w:pPr>
      <w:r w:rsidRPr="00BC5F1D">
        <w:rPr>
          <w:rFonts w:ascii="Arial" w:hAnsi="Arial" w:cs="Arial"/>
          <w:b/>
          <w:bCs/>
          <w:lang w:val="en-US"/>
        </w:rPr>
        <w:t>Mi</w:t>
      </w:r>
      <w:r w:rsidR="002A4575" w:rsidRPr="00BC5F1D">
        <w:rPr>
          <w:rFonts w:ascii="Arial" w:hAnsi="Arial" w:cs="Arial"/>
          <w:b/>
          <w:bCs/>
          <w:lang w:val="en-US"/>
        </w:rPr>
        <w:t>neral</w:t>
      </w:r>
      <w:r w:rsidRPr="00BC5F1D">
        <w:rPr>
          <w:rFonts w:ascii="Arial" w:hAnsi="Arial" w:cs="Arial"/>
          <w:b/>
          <w:bCs/>
          <w:lang w:val="en-US"/>
        </w:rPr>
        <w:t xml:space="preserve"> content</w:t>
      </w:r>
    </w:p>
    <w:p w14:paraId="6FD0D362" w14:textId="787C9D72" w:rsidR="00524870" w:rsidRPr="00BC5F1D" w:rsidRDefault="00524870" w:rsidP="00524870">
      <w:pPr>
        <w:spacing w:line="360" w:lineRule="auto"/>
        <w:jc w:val="both"/>
        <w:rPr>
          <w:rFonts w:ascii="Arial" w:hAnsi="Arial" w:cs="Arial"/>
          <w:sz w:val="20"/>
          <w:szCs w:val="20"/>
          <w:lang w:val="en-US"/>
        </w:rPr>
      </w:pPr>
      <w:r w:rsidRPr="00BC5F1D">
        <w:rPr>
          <w:rFonts w:ascii="Arial" w:hAnsi="Arial" w:cs="Arial"/>
          <w:sz w:val="20"/>
          <w:szCs w:val="20"/>
          <w:lang w:val="en-US"/>
        </w:rPr>
        <w:t xml:space="preserve">Table 2 presents the trace element contents of the studied powders. No significant difference is observed between the zinc contents, with a maximum value of 98.71 ± 2.31 mg/100 g DM in </w:t>
      </w:r>
      <w:r w:rsidRPr="00BC5F1D">
        <w:rPr>
          <w:rFonts w:ascii="Arial" w:hAnsi="Arial" w:cs="Arial"/>
          <w:i/>
          <w:iCs/>
          <w:sz w:val="20"/>
          <w:szCs w:val="20"/>
          <w:lang w:val="en-US"/>
        </w:rPr>
        <w:t>T. cordifolia</w:t>
      </w:r>
      <w:r w:rsidRPr="00BC5F1D">
        <w:rPr>
          <w:rFonts w:ascii="Arial" w:hAnsi="Arial" w:cs="Arial"/>
          <w:sz w:val="20"/>
          <w:szCs w:val="20"/>
          <w:lang w:val="en-US"/>
        </w:rPr>
        <w:t xml:space="preserve"> powder. In contrast, significant differences are noted in the copper and iron contents, with maximum values of 26.71 ± 1.27 mg/100 g DM in </w:t>
      </w:r>
      <w:r w:rsidRPr="00BC5F1D">
        <w:rPr>
          <w:rFonts w:ascii="Arial" w:hAnsi="Arial" w:cs="Arial"/>
          <w:i/>
          <w:iCs/>
          <w:sz w:val="20"/>
          <w:szCs w:val="20"/>
          <w:lang w:val="en-US"/>
        </w:rPr>
        <w:t xml:space="preserve">C. </w:t>
      </w:r>
      <w:proofErr w:type="spellStart"/>
      <w:r w:rsidRPr="00BC5F1D">
        <w:rPr>
          <w:rFonts w:ascii="Arial" w:hAnsi="Arial" w:cs="Arial"/>
          <w:i/>
          <w:iCs/>
          <w:sz w:val="20"/>
          <w:szCs w:val="20"/>
          <w:lang w:val="en-US"/>
        </w:rPr>
        <w:t>olitorius</w:t>
      </w:r>
      <w:proofErr w:type="spellEnd"/>
      <w:r w:rsidRPr="00BC5F1D">
        <w:rPr>
          <w:rFonts w:ascii="Arial" w:hAnsi="Arial" w:cs="Arial"/>
          <w:sz w:val="20"/>
          <w:szCs w:val="20"/>
          <w:lang w:val="en-US"/>
        </w:rPr>
        <w:t xml:space="preserve"> powder and 18.36 ± 1.29 mg/100 g DM in </w:t>
      </w:r>
      <w:r w:rsidRPr="00BC5F1D">
        <w:rPr>
          <w:rFonts w:ascii="Arial" w:hAnsi="Arial" w:cs="Arial"/>
          <w:i/>
          <w:iCs/>
          <w:sz w:val="20"/>
          <w:szCs w:val="20"/>
          <w:lang w:val="en-US"/>
        </w:rPr>
        <w:t>A. digitata</w:t>
      </w:r>
      <w:r w:rsidRPr="00BC5F1D">
        <w:rPr>
          <w:rFonts w:ascii="Arial" w:hAnsi="Arial" w:cs="Arial"/>
          <w:sz w:val="20"/>
          <w:szCs w:val="20"/>
          <w:lang w:val="en-US"/>
        </w:rPr>
        <w:t xml:space="preserve"> powder, respectively. When comparing these values to those reported for powders regularly recommended by therapists to type 2 diabetic patients for their trace element contributions, such as the leaf powders of </w:t>
      </w:r>
      <w:r w:rsidRPr="00BC5F1D">
        <w:rPr>
          <w:rFonts w:ascii="Arial" w:hAnsi="Arial" w:cs="Arial"/>
          <w:i/>
          <w:iCs/>
          <w:sz w:val="20"/>
          <w:szCs w:val="20"/>
          <w:lang w:val="en-US"/>
        </w:rPr>
        <w:t>M</w:t>
      </w:r>
      <w:r w:rsidR="00FF01A1">
        <w:rPr>
          <w:rFonts w:ascii="Arial" w:hAnsi="Arial" w:cs="Arial"/>
          <w:i/>
          <w:iCs/>
          <w:sz w:val="20"/>
          <w:szCs w:val="20"/>
          <w:lang w:val="en-US"/>
        </w:rPr>
        <w:t xml:space="preserve">. </w:t>
      </w:r>
      <w:r w:rsidRPr="00BC5F1D">
        <w:rPr>
          <w:rFonts w:ascii="Arial" w:hAnsi="Arial" w:cs="Arial"/>
          <w:i/>
          <w:iCs/>
          <w:sz w:val="20"/>
          <w:szCs w:val="20"/>
          <w:lang w:val="en-US"/>
        </w:rPr>
        <w:t>oleifera</w:t>
      </w:r>
      <w:r w:rsidRPr="00BC5F1D">
        <w:rPr>
          <w:rFonts w:ascii="Arial" w:hAnsi="Arial" w:cs="Arial"/>
          <w:sz w:val="20"/>
          <w:szCs w:val="20"/>
          <w:lang w:val="en-US"/>
        </w:rPr>
        <w:t xml:space="preserve"> (2.46, 0.36, and 20.72 mg/100 g DM for zinc, copper, and iron, respectively) </w:t>
      </w:r>
      <w:r w:rsidRPr="00BC5F1D">
        <w:rPr>
          <w:rFonts w:ascii="Arial" w:hAnsi="Arial" w:cs="Arial"/>
          <w:sz w:val="20"/>
          <w:szCs w:val="20"/>
        </w:rPr>
        <w:fldChar w:fldCharType="begin" w:fldLock="1"/>
      </w:r>
      <w:r w:rsidRPr="00BC5F1D">
        <w:rPr>
          <w:rFonts w:ascii="Arial" w:hAnsi="Arial" w:cs="Arial"/>
          <w:sz w:val="20"/>
          <w:szCs w:val="20"/>
          <w:lang w:val="en-US"/>
        </w:rPr>
        <w:instrText>ADDIN CSL_CITATION {"citationItems":[{"id":"ITEM-1","itemData":{"author":[{"dropping-particle":"","family":"Assiéné","given":"Agamou Julien Armel","non-dropping-particle":"","parse-names":false,"suffix":""},{"dropping-particle":"","family":"Fombang","given":"Edith N","non-dropping-particle":"","parse-names":false,"suffix":""},{"dropping-particle":"","family":"Mbofung","given":"Carl M F","non-dropping-particle":"","parse-names":false,"suffix":""}],"container-title":"Journal of Experimental Biology and Agricultural Sciences","id":"ITEM-1","issue":"2320","issued":{"date-parts":[["2015"]]},"page":"541-555","title":"Particular benefits can be attributed to Moringa oleifera Lam leaves based on origin and stage of maturity","type":"article-journal","volume":"3"},"uris":["http://www.mendeley.com/documents/?uuid=ad6677fd-8485-431e-b9d6-9c126b256813"]}],"mendeley":{"formattedCitation":"(Assiéné et al., 2015)","plainTextFormattedCitation":"(Assiéné et al., 2015)","previouslyFormattedCitation":"(Assiéné et al., 2015)"},"properties":{"noteIndex":0},"schema":"https://github.com/citation-style-language/schema/raw/master/csl-citation.json"}</w:instrText>
      </w:r>
      <w:r w:rsidRPr="00BC5F1D">
        <w:rPr>
          <w:rFonts w:ascii="Arial" w:hAnsi="Arial" w:cs="Arial"/>
          <w:sz w:val="20"/>
          <w:szCs w:val="20"/>
        </w:rPr>
        <w:fldChar w:fldCharType="separate"/>
      </w:r>
      <w:r w:rsidRPr="00BC5F1D">
        <w:rPr>
          <w:rFonts w:ascii="Arial" w:hAnsi="Arial" w:cs="Arial"/>
          <w:noProof/>
          <w:sz w:val="20"/>
          <w:szCs w:val="20"/>
          <w:lang w:val="en-US"/>
        </w:rPr>
        <w:t>(Assiéné et al., 2015)</w:t>
      </w:r>
      <w:r w:rsidRPr="00BC5F1D">
        <w:rPr>
          <w:rFonts w:ascii="Arial" w:hAnsi="Arial" w:cs="Arial"/>
          <w:sz w:val="20"/>
          <w:szCs w:val="20"/>
        </w:rPr>
        <w:fldChar w:fldCharType="end"/>
      </w:r>
      <w:r w:rsidRPr="00BC5F1D">
        <w:rPr>
          <w:rFonts w:ascii="Arial" w:hAnsi="Arial" w:cs="Arial"/>
          <w:sz w:val="20"/>
          <w:szCs w:val="20"/>
          <w:lang w:val="en-US"/>
        </w:rPr>
        <w:t xml:space="preserve">, it is observed that they are considerably higher. The same observation applies to other plant powders (6.01, 2.54, and 4.85 mg/100 g DM for zinc, copper, and iron, respectively), which are also significant in the management of type 2 diabetes </w:t>
      </w:r>
      <w:r w:rsidRPr="00BC5F1D">
        <w:rPr>
          <w:rFonts w:ascii="Arial" w:hAnsi="Arial" w:cs="Arial"/>
          <w:sz w:val="20"/>
          <w:szCs w:val="20"/>
        </w:rPr>
        <w:fldChar w:fldCharType="begin" w:fldLock="1"/>
      </w:r>
      <w:r w:rsidRPr="00BC5F1D">
        <w:rPr>
          <w:rFonts w:ascii="Arial" w:hAnsi="Arial" w:cs="Arial"/>
          <w:sz w:val="20"/>
          <w:szCs w:val="20"/>
          <w:lang w:val="en-US"/>
        </w:rPr>
        <w:instrText>ADDIN CSL_CITATION {"citationItems":[{"id":"ITEM-1","itemData":{"DOI":"10.1016/j.afres.2024.100436","author":[{"dropping-particle":"","family":"Assiéné","given":"Agamou Julien Armel","non-dropping-particle":"","parse-names":false,"suffix":""},{"dropping-particle":"","family":"Djeukeu","given":"Asongni William","non-dropping-particle":"","parse-names":false,"suffix":""},{"dropping-particle":"","family":"Assiéné","given":"Oyong Damase Serge","non-dropping-particle":"","parse-names":false,"suffix":""},{"dropping-particle":"","family":"Mbida-Mbida","given":"Yolande Isabelle","non-dropping-particle":"","parse-names":false,"suffix":""},{"dropping-particle":"","family":"Nyangono","given":"Biyegue Christine Fernande","non-dropping-particle":"","parse-names":false,"suffix":""}],"container-title":"Applied Food Research","id":"ITEM-1","issue":"2024","issued":{"date-parts":[["2024"]]},"page":"100436","title":"Nutritional and bioactive potentials of a powder and a decoction made from Ceylon cinnamon bark , Laurus nobilis leaves , and Curcuma longa Linn rhizome","type":"article-journal","volume":"4"},"uris":["http://www.mendeley.com/documents/?uuid=247f6682-a14b-4aa3-98f0-35be9cfb12e9"]}],"mendeley":{"formattedCitation":"(Assiéné, Djeukeu, Assiéné, Mbida-Mbida, et al., 2024)","plainTextFormattedCitation":"(Assiéné, Djeukeu, Assiéné, Mbida-Mbida, et al., 2024)","previouslyFormattedCitation":"(Assiéné, Djeukeu, Assiéné, Mbida-Mbida, et al., 2024)"},"properties":{"noteIndex":0},"schema":"https://github.com/citation-style-language/schema/raw/master/csl-citation.json"}</w:instrText>
      </w:r>
      <w:r w:rsidRPr="00BC5F1D">
        <w:rPr>
          <w:rFonts w:ascii="Arial" w:hAnsi="Arial" w:cs="Arial"/>
          <w:sz w:val="20"/>
          <w:szCs w:val="20"/>
        </w:rPr>
        <w:fldChar w:fldCharType="separate"/>
      </w:r>
      <w:r w:rsidRPr="00BC5F1D">
        <w:rPr>
          <w:rFonts w:ascii="Arial" w:hAnsi="Arial" w:cs="Arial"/>
          <w:noProof/>
          <w:sz w:val="20"/>
          <w:szCs w:val="20"/>
          <w:lang w:val="en-US"/>
        </w:rPr>
        <w:t>(Assiéné, Djeukeu, Assiéné, Mbida-Mbida, et al., 2024)</w:t>
      </w:r>
      <w:r w:rsidRPr="00BC5F1D">
        <w:rPr>
          <w:rFonts w:ascii="Arial" w:hAnsi="Arial" w:cs="Arial"/>
          <w:sz w:val="20"/>
          <w:szCs w:val="20"/>
        </w:rPr>
        <w:fldChar w:fldCharType="end"/>
      </w:r>
      <w:r w:rsidRPr="00BC5F1D">
        <w:rPr>
          <w:rFonts w:ascii="Arial" w:hAnsi="Arial" w:cs="Arial"/>
          <w:sz w:val="20"/>
          <w:szCs w:val="20"/>
          <w:lang w:val="en-US"/>
        </w:rPr>
        <w:t xml:space="preserve">. </w:t>
      </w:r>
    </w:p>
    <w:p w14:paraId="394A5861" w14:textId="7C0BFE22" w:rsidR="00524870" w:rsidRPr="00BC5F1D" w:rsidRDefault="00524870" w:rsidP="00524870">
      <w:pPr>
        <w:spacing w:line="360" w:lineRule="auto"/>
        <w:jc w:val="both"/>
        <w:rPr>
          <w:rFonts w:ascii="Arial" w:hAnsi="Arial" w:cs="Arial"/>
          <w:sz w:val="20"/>
          <w:szCs w:val="20"/>
          <w:lang w:val="en-US"/>
        </w:rPr>
      </w:pPr>
      <w:r w:rsidRPr="00BC5F1D">
        <w:rPr>
          <w:rFonts w:ascii="Arial" w:hAnsi="Arial" w:cs="Arial"/>
          <w:sz w:val="20"/>
          <w:szCs w:val="20"/>
          <w:lang w:val="en-US"/>
        </w:rPr>
        <w:t xml:space="preserve">Table 2 also shows that the </w:t>
      </w:r>
      <w:proofErr w:type="spellStart"/>
      <w:r w:rsidRPr="00BC5F1D">
        <w:rPr>
          <w:rFonts w:ascii="Arial" w:hAnsi="Arial" w:cs="Arial"/>
          <w:sz w:val="20"/>
          <w:szCs w:val="20"/>
          <w:lang w:val="en-US"/>
        </w:rPr>
        <w:t>macroelement</w:t>
      </w:r>
      <w:proofErr w:type="spellEnd"/>
      <w:r w:rsidRPr="00BC5F1D">
        <w:rPr>
          <w:rFonts w:ascii="Arial" w:hAnsi="Arial" w:cs="Arial"/>
          <w:sz w:val="20"/>
          <w:szCs w:val="20"/>
          <w:lang w:val="en-US"/>
        </w:rPr>
        <w:t xml:space="preserve"> contents (phosphorus, potassium, magnesium, calcium, sodium) of the studied powders vary significantly from one powder to another. However, only </w:t>
      </w:r>
      <w:r w:rsidRPr="00BC5F1D">
        <w:rPr>
          <w:rFonts w:ascii="Arial" w:hAnsi="Arial" w:cs="Arial"/>
          <w:i/>
          <w:iCs/>
          <w:sz w:val="20"/>
          <w:szCs w:val="20"/>
          <w:lang w:val="en-US"/>
        </w:rPr>
        <w:t xml:space="preserve">C. </w:t>
      </w:r>
      <w:proofErr w:type="spellStart"/>
      <w:r w:rsidRPr="00BC5F1D">
        <w:rPr>
          <w:rFonts w:ascii="Arial" w:hAnsi="Arial" w:cs="Arial"/>
          <w:i/>
          <w:iCs/>
          <w:sz w:val="20"/>
          <w:szCs w:val="20"/>
          <w:lang w:val="en-US"/>
        </w:rPr>
        <w:t>olitorius</w:t>
      </w:r>
      <w:proofErr w:type="spellEnd"/>
      <w:r w:rsidRPr="00BC5F1D">
        <w:rPr>
          <w:rFonts w:ascii="Arial" w:hAnsi="Arial" w:cs="Arial"/>
          <w:sz w:val="20"/>
          <w:szCs w:val="20"/>
          <w:lang w:val="en-US"/>
        </w:rPr>
        <w:t xml:space="preserve"> powder exhibits the highest contents of phosphorus (340.00 ± 2.10 mg/100 g DM), potassium (1957.41 ± 3.89 mg/100 g DM), magnesium (580.00 ± 1.45 mg/100 g DM), calcium (2200.00 ± 4.00 mg/100 g DM), and sodium (195.27 ± 1.00 mg/100 g DM). Compared to powders recommended for managing type 2 diabetes, these values are lower than 440 mg/100 g DM for phosphorus and 2410 mg/100 g DM for potassium, while being higher than 400 mg/100 g DM for magnesium, 1580 mg/100 g DM for calcium, and 150 mg/100 g DM for sodium reported by </w:t>
      </w:r>
      <w:r w:rsidRPr="00BC5F1D">
        <w:rPr>
          <w:rFonts w:ascii="Arial" w:hAnsi="Arial" w:cs="Arial"/>
          <w:sz w:val="20"/>
          <w:szCs w:val="20"/>
        </w:rPr>
        <w:fldChar w:fldCharType="begin" w:fldLock="1"/>
      </w:r>
      <w:r w:rsidR="000D5690">
        <w:rPr>
          <w:rFonts w:ascii="Arial" w:hAnsi="Arial" w:cs="Arial"/>
          <w:sz w:val="20"/>
          <w:szCs w:val="20"/>
          <w:lang w:val="en-US"/>
        </w:rPr>
        <w:instrText>ADDIN CSL_CITATION {"citationItems":[{"id":"ITEM-1","itemData":{"author":[{"dropping-particle":"","family":"Assiéné","given":"Agamou Julien Armel","non-dropping-particle":"","parse-names":false,"suffix":""},{"dropping-particle":"","family":"Fombang","given":"Edith N","non-dropping-particle":"","parse-names":false,"suffix":""},{"dropping-particle":"","family":"Mbofung","given":"Carl M F","non-dropping-particle":"","parse-names":false,"suffix":""}],"container-title":"Journal of Experimental Biology and Agricultural Sciences","id":"ITEM-1","issue":"2320","issued":{"date-parts":[["2015"]]},"page":"541-555","title":"Particular benefits can be attributed to Moringa oleifera Lam leaves based on origin and stage of maturity","type":"article-journal","volume":"3"},"uris":["http://www.mendeley.com/documents/?uuid=ad6677fd-8485-431e-b9d6-9c126b256813"]}],"mendeley":{"formattedCitation":"(Assiéné et al., 2015)","manualFormatting":"Assiéné et al. (2015)","plainTextFormattedCitation":"(Assiéné et al., 2015)","previouslyFormattedCitation":"(Assiéné et al., 2015)"},"properties":{"noteIndex":0},"schema":"https://github.com/citation-style-language/schema/raw/master/csl-citation.json"}</w:instrText>
      </w:r>
      <w:r w:rsidRPr="00BC5F1D">
        <w:rPr>
          <w:rFonts w:ascii="Arial" w:hAnsi="Arial" w:cs="Arial"/>
          <w:sz w:val="20"/>
          <w:szCs w:val="20"/>
        </w:rPr>
        <w:fldChar w:fldCharType="separate"/>
      </w:r>
      <w:r w:rsidRPr="00BC5F1D">
        <w:rPr>
          <w:rFonts w:ascii="Arial" w:hAnsi="Arial" w:cs="Arial"/>
          <w:noProof/>
          <w:sz w:val="20"/>
          <w:szCs w:val="20"/>
          <w:lang w:val="en-US"/>
        </w:rPr>
        <w:t>Assiéné et al.</w:t>
      </w:r>
      <w:r w:rsidR="000D5690">
        <w:rPr>
          <w:rFonts w:ascii="Arial" w:hAnsi="Arial" w:cs="Arial"/>
          <w:noProof/>
          <w:sz w:val="20"/>
          <w:szCs w:val="20"/>
          <w:lang w:val="en-US"/>
        </w:rPr>
        <w:t xml:space="preserve"> (</w:t>
      </w:r>
      <w:r w:rsidRPr="00BC5F1D">
        <w:rPr>
          <w:rFonts w:ascii="Arial" w:hAnsi="Arial" w:cs="Arial"/>
          <w:noProof/>
          <w:sz w:val="20"/>
          <w:szCs w:val="20"/>
          <w:lang w:val="en-US"/>
        </w:rPr>
        <w:t>2015)</w:t>
      </w:r>
      <w:r w:rsidRPr="00BC5F1D">
        <w:rPr>
          <w:rFonts w:ascii="Arial" w:hAnsi="Arial" w:cs="Arial"/>
          <w:sz w:val="20"/>
          <w:szCs w:val="20"/>
        </w:rPr>
        <w:fldChar w:fldCharType="end"/>
      </w:r>
      <w:r w:rsidRPr="00BC5F1D">
        <w:rPr>
          <w:rFonts w:ascii="Arial" w:hAnsi="Arial" w:cs="Arial"/>
          <w:sz w:val="20"/>
          <w:szCs w:val="20"/>
          <w:lang w:val="en-US"/>
        </w:rPr>
        <w:t xml:space="preserve"> on </w:t>
      </w:r>
      <w:r w:rsidRPr="00BC5F1D">
        <w:rPr>
          <w:rFonts w:ascii="Arial" w:hAnsi="Arial" w:cs="Arial"/>
          <w:i/>
          <w:iCs/>
          <w:sz w:val="20"/>
          <w:szCs w:val="20"/>
          <w:lang w:val="en-US"/>
        </w:rPr>
        <w:t>M. oleifera</w:t>
      </w:r>
      <w:r w:rsidRPr="00BC5F1D">
        <w:rPr>
          <w:rFonts w:ascii="Arial" w:hAnsi="Arial" w:cs="Arial"/>
          <w:sz w:val="20"/>
          <w:szCs w:val="20"/>
          <w:lang w:val="en-US"/>
        </w:rPr>
        <w:t xml:space="preserve"> leaf powders. These values are also lower than 88.39 mg/100 g DM for phosphorus, 639.68 mg/100 g DM for potassium, 24.30 mg/100 g DM for magnesium, 43.60 mg/100 g DM for sodium, and higher than 1120 mg/100 g DM for calcium reported by </w:t>
      </w:r>
      <w:r w:rsidRPr="00BC5F1D">
        <w:rPr>
          <w:rFonts w:ascii="Arial" w:hAnsi="Arial" w:cs="Arial"/>
          <w:sz w:val="20"/>
          <w:szCs w:val="20"/>
        </w:rPr>
        <w:fldChar w:fldCharType="begin" w:fldLock="1"/>
      </w:r>
      <w:r w:rsidR="0073701E">
        <w:rPr>
          <w:rFonts w:ascii="Arial" w:hAnsi="Arial" w:cs="Arial"/>
          <w:sz w:val="20"/>
          <w:szCs w:val="20"/>
          <w:lang w:val="en-US"/>
        </w:rPr>
        <w:instrText>ADDIN CSL_CITATION {"citationItems":[{"id":"ITEM-1","itemData":{"DOI":"10.1016/j.afres.2024.100436","author":[{"dropping-particle":"","family":"Assiéné","given":"Agamou Julien Armel","non-dropping-particle":"","parse-names":false,"suffix":""},{"dropping-particle":"","family":"Djeukeu","given":"Asongni William","non-dropping-particle":"","parse-names":false,"suffix":""},{"dropping-particle":"","family":"Assiéné","given":"Oyong Damase Serge","non-dropping-particle":"","parse-names":false,"suffix":""},{"dropping-particle":"","family":"Mbida-Mbida","given":"Yolande Isabelle","non-dropping-particle":"","parse-names":false,"suffix":""},{"dropping-particle":"","family":"Nyangono","given":"Biyegue Christine Fernande","non-dropping-particle":"","parse-names":false,"suffix":""}],"container-title":"Applied Food Research","id":"ITEM-1","issue":"2024","issued":{"date-parts":[["2024"]]},"page":"100436","title":"Nutritional and bioactive potentials of a powder and a decoction made from Ceylon cinnamon bark , Laurus nobilis leaves , and Curcuma longa Linn rhizome","type":"article-journal","volume":"4"},"uris":["http://www.mendeley.com/documents/?uuid=247f6682-a14b-4aa3-98f0-35be9cfb12e9"]}],"mendeley":{"formattedCitation":"(Assiéné, Djeukeu, Assiéné, Mbida-Mbida, et al., 2024)","manualFormatting":"Assiéné, Djeukeu, Assiéné, Mbida-Mbida, et al. (2024)","plainTextFormattedCitation":"(Assiéné, Djeukeu, Assiéné, Mbida-Mbida, et al., 2024)","previouslyFormattedCitation":"(Assiéné, Djeukeu, Assiéné, Mbida-Mbida, et al., 2024)"},"properties":{"noteIndex":0},"schema":"https://github.com/citation-style-language/schema/raw/master/csl-citation.json"}</w:instrText>
      </w:r>
      <w:r w:rsidRPr="00BC5F1D">
        <w:rPr>
          <w:rFonts w:ascii="Arial" w:hAnsi="Arial" w:cs="Arial"/>
          <w:sz w:val="20"/>
          <w:szCs w:val="20"/>
        </w:rPr>
        <w:fldChar w:fldCharType="separate"/>
      </w:r>
      <w:r w:rsidRPr="00BC5F1D">
        <w:rPr>
          <w:rFonts w:ascii="Arial" w:hAnsi="Arial" w:cs="Arial"/>
          <w:noProof/>
          <w:sz w:val="20"/>
          <w:szCs w:val="20"/>
          <w:lang w:val="en-US"/>
        </w:rPr>
        <w:t xml:space="preserve">Assiéné, Djeukeu, Assiéné, Mbida-Mbida, et al. </w:t>
      </w:r>
      <w:r w:rsidR="0073701E">
        <w:rPr>
          <w:rFonts w:ascii="Arial" w:hAnsi="Arial" w:cs="Arial"/>
          <w:noProof/>
          <w:sz w:val="20"/>
          <w:szCs w:val="20"/>
          <w:lang w:val="en-US"/>
        </w:rPr>
        <w:t>(</w:t>
      </w:r>
      <w:r w:rsidRPr="00BC5F1D">
        <w:rPr>
          <w:rFonts w:ascii="Arial" w:hAnsi="Arial" w:cs="Arial"/>
          <w:noProof/>
          <w:sz w:val="20"/>
          <w:szCs w:val="20"/>
          <w:lang w:val="en-US"/>
        </w:rPr>
        <w:t>2024)</w:t>
      </w:r>
      <w:r w:rsidRPr="00BC5F1D">
        <w:rPr>
          <w:rFonts w:ascii="Arial" w:hAnsi="Arial" w:cs="Arial"/>
          <w:sz w:val="20"/>
          <w:szCs w:val="20"/>
        </w:rPr>
        <w:fldChar w:fldCharType="end"/>
      </w:r>
      <w:r w:rsidRPr="00BC5F1D">
        <w:rPr>
          <w:rFonts w:ascii="Arial" w:hAnsi="Arial" w:cs="Arial"/>
          <w:sz w:val="20"/>
          <w:szCs w:val="20"/>
          <w:lang w:val="en-US"/>
        </w:rPr>
        <w:t xml:space="preserve"> on other powders also recommended for managing chronic diseases of dietary origin, such as type 2 diabetes.</w:t>
      </w:r>
    </w:p>
    <w:p w14:paraId="5C5B6F60" w14:textId="4C1FA85D" w:rsidR="00524870" w:rsidRPr="00BC5F1D" w:rsidRDefault="00524870" w:rsidP="00A1137A">
      <w:pPr>
        <w:spacing w:line="360" w:lineRule="auto"/>
        <w:jc w:val="both"/>
        <w:rPr>
          <w:rFonts w:ascii="Arial" w:hAnsi="Arial" w:cs="Arial"/>
          <w:sz w:val="20"/>
          <w:szCs w:val="20"/>
          <w:lang w:val="en-US"/>
        </w:rPr>
      </w:pPr>
      <w:r w:rsidRPr="00BC5F1D">
        <w:rPr>
          <w:rFonts w:ascii="Arial" w:hAnsi="Arial" w:cs="Arial"/>
          <w:sz w:val="20"/>
          <w:szCs w:val="20"/>
          <w:lang w:val="en-US"/>
        </w:rPr>
        <w:t xml:space="preserve">The observed differences in mineral contents, both for trace elements and </w:t>
      </w:r>
      <w:proofErr w:type="spellStart"/>
      <w:r w:rsidRPr="00BC5F1D">
        <w:rPr>
          <w:rFonts w:ascii="Arial" w:hAnsi="Arial" w:cs="Arial"/>
          <w:sz w:val="20"/>
          <w:szCs w:val="20"/>
          <w:lang w:val="en-US"/>
        </w:rPr>
        <w:t>macroelements</w:t>
      </w:r>
      <w:proofErr w:type="spellEnd"/>
      <w:r w:rsidRPr="00BC5F1D">
        <w:rPr>
          <w:rFonts w:ascii="Arial" w:hAnsi="Arial" w:cs="Arial"/>
          <w:sz w:val="20"/>
          <w:szCs w:val="20"/>
          <w:lang w:val="en-US"/>
        </w:rPr>
        <w:t>, can be explained by several factors, including environmental conditions, topography, and seasons, which directly affect the absorption of minerals through plant roots from the soil. Additionally, post-harvest treatments applied to the harvested organs may also play a role</w:t>
      </w:r>
      <w:r w:rsidR="000B0BC0">
        <w:rPr>
          <w:rFonts w:ascii="Arial" w:hAnsi="Arial" w:cs="Arial"/>
          <w:sz w:val="20"/>
          <w:szCs w:val="20"/>
          <w:lang w:val="en-US"/>
        </w:rPr>
        <w:t xml:space="preserve"> </w:t>
      </w:r>
      <w:r w:rsidR="000B0BC0">
        <w:rPr>
          <w:rFonts w:ascii="Arial" w:hAnsi="Arial" w:cs="Arial"/>
          <w:sz w:val="20"/>
          <w:szCs w:val="20"/>
          <w:lang w:val="en-US"/>
        </w:rPr>
        <w:fldChar w:fldCharType="begin" w:fldLock="1"/>
      </w:r>
      <w:r w:rsidR="000B0BC0">
        <w:rPr>
          <w:rFonts w:ascii="Arial" w:hAnsi="Arial" w:cs="Arial"/>
          <w:sz w:val="20"/>
          <w:szCs w:val="20"/>
          <w:lang w:val="en-US"/>
        </w:rPr>
        <w:instrText>ADDIN CSL_CITATION {"citationItems":[{"id":"ITEM-1","itemData":{"DOI":"10.12691/ajfst-5-2-4","abstract":"The antioxidant activity of plant materials is affected by post-harvest treatments. The present study was undertaken to evaluate the effects of steam blanching and two (solar and electric) drying methods on physicochemical composition, antioxidant activity (AOA) and rehydration properties of Moringa oleifera leaves. Fresh and blanched leaves of M. oleifera were dried by indirect solar-drying (≈35 ± 3°C, 12 h) and hot air electric drying (50°C, 5 h), and milled into flour (particle size ≤ 500 µm). Fresh, blanched and dried leaves were analyzed for their nutrient and phytochemical contents, antioxidant activity (Total Reducing Power (TRP) and 2,2-diphenyl-2-picryl hydrazyl (DPPH) scavenging activity) as well as rehydration properties (water absorption capacity (WAC) and water solubility index (WSI). Macronutrients content of M. oleifera leaves were unaffected by blanching and drying. Irrespective of drying method, drying had a significant negative effect (p &lt; 0.05) on phytochemical contents, TRP and DPPH scavenging activity of M. oleifera leaves. Blanching prior to drying, however, dimmed the negative effect of the latter. Blanched leaves exhibited higher carotenoids content, TRP and WAC compared to unblanched leaves; whereas blanching caused a decrease in DPPH scavenging activity, vitamin C and WSI. This study highlights that fresh and blanched Moringa oleifera leaves are more suiTableas a source of dietary antioxidants than dry leaves.","author":[{"dropping-particle":"","family":"Nobosse","given":"Pierre","non-dropping-particle":"","parse-names":false,"suffix":""},{"dropping-particle":"","family":"Fombang","given":"Edith N","non-dropping-particle":"","parse-names":false,"suffix":""},{"dropping-particle":"","family":"Mbofung","given":"Carl M F","non-dropping-particle":"","parse-names":false,"suffix":""}],"container-title":"American Journal of Food Science and Technology","id":"ITEM-1","issue":"2","issued":{"date-parts":[["2017"]]},"page":"53-60","title":"The Effect of Steam Blanching and Drying Method on Nutrients, Phytochemicals and Antioxidant Activity of Moringa (Moringa oleifera L.) Leaves","type":"article-journal","volume":"5"},"uris":["http://www.mendeley.com/documents/?uuid=201acc9f-7dff-36ce-9014-402b5d516962"]}],"mendeley":{"formattedCitation":"(Nobosse et al., 2017)","plainTextFormattedCitation":"(Nobosse et al., 2017)","previouslyFormattedCitation":"(Nobosse et al., 2017)"},"properties":{"noteIndex":0},"schema":"https://github.com/citation-style-language/schema/raw/master/csl-citation.json"}</w:instrText>
      </w:r>
      <w:r w:rsidR="000B0BC0">
        <w:rPr>
          <w:rFonts w:ascii="Arial" w:hAnsi="Arial" w:cs="Arial"/>
          <w:sz w:val="20"/>
          <w:szCs w:val="20"/>
          <w:lang w:val="en-US"/>
        </w:rPr>
        <w:fldChar w:fldCharType="separate"/>
      </w:r>
      <w:r w:rsidR="000B0BC0" w:rsidRPr="000B0BC0">
        <w:rPr>
          <w:rFonts w:ascii="Arial" w:hAnsi="Arial" w:cs="Arial"/>
          <w:noProof/>
          <w:sz w:val="20"/>
          <w:szCs w:val="20"/>
          <w:lang w:val="en-US"/>
        </w:rPr>
        <w:t>(Nobosse et al., 2017)</w:t>
      </w:r>
      <w:r w:rsidR="000B0BC0">
        <w:rPr>
          <w:rFonts w:ascii="Arial" w:hAnsi="Arial" w:cs="Arial"/>
          <w:sz w:val="20"/>
          <w:szCs w:val="20"/>
          <w:lang w:val="en-US"/>
        </w:rPr>
        <w:fldChar w:fldCharType="end"/>
      </w:r>
      <w:r w:rsidR="000B0BC0">
        <w:rPr>
          <w:rFonts w:ascii="Arial" w:hAnsi="Arial" w:cs="Arial"/>
          <w:sz w:val="20"/>
          <w:szCs w:val="20"/>
          <w:lang w:val="en-US"/>
        </w:rPr>
        <w:t>.</w:t>
      </w:r>
      <w:r w:rsidRPr="00BC5F1D">
        <w:rPr>
          <w:rFonts w:ascii="Arial" w:hAnsi="Arial" w:cs="Arial"/>
          <w:sz w:val="20"/>
          <w:szCs w:val="20"/>
          <w:lang w:val="en-US"/>
        </w:rPr>
        <w:t xml:space="preserve"> Indeed, the root hairs, which are tiny extensions of root cells, increase the root's surface area (greater absorption area), allowing for effective uptake of dissolved minerals in soil water. These minerals are then transported via water through the xylem vessels to the aerial parts of the plant, including stems and leaves. Many of these minerals found in the powders are involved in various metabolic reactions essential for plant </w:t>
      </w:r>
      <w:r w:rsidRPr="00BC5F1D">
        <w:rPr>
          <w:rFonts w:ascii="Arial" w:hAnsi="Arial" w:cs="Arial"/>
          <w:sz w:val="20"/>
          <w:szCs w:val="20"/>
          <w:lang w:val="en-US"/>
        </w:rPr>
        <w:lastRenderedPageBreak/>
        <w:t xml:space="preserve">development </w:t>
      </w:r>
      <w:r w:rsidR="000B0BC0">
        <w:rPr>
          <w:rFonts w:ascii="Arial" w:hAnsi="Arial" w:cs="Arial"/>
          <w:sz w:val="20"/>
          <w:szCs w:val="20"/>
          <w:lang w:val="en-US"/>
        </w:rPr>
        <w:fldChar w:fldCharType="begin" w:fldLock="1"/>
      </w:r>
      <w:r w:rsidR="00FF01A1">
        <w:rPr>
          <w:rFonts w:ascii="Arial" w:hAnsi="Arial" w:cs="Arial"/>
          <w:sz w:val="20"/>
          <w:szCs w:val="20"/>
          <w:lang w:val="en-US"/>
        </w:rPr>
        <w:instrText>ADDIN CSL_CITATION {"citationItems":[{"id":"ITEM-1","itemData":{"author":[{"dropping-particle":"","family":"Moreau","given":"François","non-dropping-particle":"","parse-names":false,"suffix":""},{"dropping-particle":"","family":"Prat","given":"Roger F","non-dropping-particle":"","parse-names":false,"suffix":""},{"dropping-particle":"","family":"Sentenac","given":"Herve","non-dropping-particle":"","parse-names":false,"suffix":""},{"dropping-particle":"","family":"Moreau","given":"François","non-dropping-particle":"","parse-names":false,"suffix":""},{"dropping-particle":"","family":"Prat","given":"Roger F","non-dropping-particle":"","parse-names":false,"suffix":""},{"dropping-particle":"","family":"Maurel","given":"Christophe","non-dropping-particle":"","parse-names":false,"suffix":""},{"dropping-particle":"","family":"Sentenac","given":"Herve","non-dropping-particle":"","parse-names":false,"suffix":""}],"edition":"Dunod","editor":[{"dropping-particle":"","family":"Dunod","given":"","non-dropping-particle":"","parse-names":false,"suffix":""}],"id":"ITEM-1","issued":{"date-parts":[["2017"]]},"number-of-pages":"242","publisher-place":"Paris","title":"Biologie végétale Nutrition et métabolisme","type":"book"},"uris":["http://www.mendeley.com/documents/?uuid=a63fae2d-204e-4541-a43f-c8f983fe6199"]}],"mendeley":{"formattedCitation":"(Moreau et al., 2017)","plainTextFormattedCitation":"(Moreau et al., 2017)","previouslyFormattedCitation":"(Moreau et al., 2017)"},"properties":{"noteIndex":0},"schema":"https://github.com/citation-style-language/schema/raw/master/csl-citation.json"}</w:instrText>
      </w:r>
      <w:r w:rsidR="000B0BC0">
        <w:rPr>
          <w:rFonts w:ascii="Arial" w:hAnsi="Arial" w:cs="Arial"/>
          <w:sz w:val="20"/>
          <w:szCs w:val="20"/>
          <w:lang w:val="en-US"/>
        </w:rPr>
        <w:fldChar w:fldCharType="separate"/>
      </w:r>
      <w:r w:rsidR="000B0BC0" w:rsidRPr="000B0BC0">
        <w:rPr>
          <w:rFonts w:ascii="Arial" w:hAnsi="Arial" w:cs="Arial"/>
          <w:noProof/>
          <w:sz w:val="20"/>
          <w:szCs w:val="20"/>
          <w:lang w:val="en-US"/>
        </w:rPr>
        <w:t>(Moreau et al., 2017)</w:t>
      </w:r>
      <w:r w:rsidR="000B0BC0">
        <w:rPr>
          <w:rFonts w:ascii="Arial" w:hAnsi="Arial" w:cs="Arial"/>
          <w:sz w:val="20"/>
          <w:szCs w:val="20"/>
          <w:lang w:val="en-US"/>
        </w:rPr>
        <w:fldChar w:fldCharType="end"/>
      </w:r>
      <w:r w:rsidR="000B0BC0">
        <w:rPr>
          <w:rFonts w:ascii="Arial" w:hAnsi="Arial" w:cs="Arial"/>
          <w:sz w:val="20"/>
          <w:szCs w:val="20"/>
          <w:lang w:val="en-US"/>
        </w:rPr>
        <w:t>.</w:t>
      </w:r>
      <w:r w:rsidRPr="00BC5F1D">
        <w:rPr>
          <w:rFonts w:ascii="Arial" w:hAnsi="Arial" w:cs="Arial"/>
          <w:color w:val="FF0000"/>
          <w:sz w:val="20"/>
          <w:szCs w:val="20"/>
          <w:lang w:val="en-US"/>
        </w:rPr>
        <w:t xml:space="preserve"> </w:t>
      </w:r>
      <w:r w:rsidRPr="00BC5F1D">
        <w:rPr>
          <w:rFonts w:ascii="Arial" w:hAnsi="Arial" w:cs="Arial"/>
          <w:sz w:val="20"/>
          <w:szCs w:val="20"/>
          <w:lang w:val="en-US"/>
        </w:rPr>
        <w:t>Furthermore, post-harvest treatments such as sieving may also influence the mineral contents of the powders.</w:t>
      </w:r>
    </w:p>
    <w:p w14:paraId="7C07B0AA" w14:textId="466BC5C0" w:rsidR="00A1137A" w:rsidRPr="00BC5F1D" w:rsidRDefault="00A1137A" w:rsidP="00A1137A">
      <w:pPr>
        <w:spacing w:line="360" w:lineRule="auto"/>
        <w:jc w:val="both"/>
        <w:rPr>
          <w:rFonts w:ascii="Arial" w:eastAsia="Calibri" w:hAnsi="Arial" w:cs="Arial"/>
          <w:sz w:val="20"/>
          <w:szCs w:val="20"/>
          <w:lang w:val="en-US"/>
        </w:rPr>
      </w:pPr>
      <w:bookmarkStart w:id="1" w:name="_Hlk189413533"/>
      <w:bookmarkStart w:id="2" w:name="_Hlk189413570"/>
      <w:r w:rsidRPr="00BC5F1D">
        <w:rPr>
          <w:rFonts w:ascii="Arial" w:eastAsia="Calibri" w:hAnsi="Arial" w:cs="Arial"/>
          <w:b/>
          <w:sz w:val="20"/>
          <w:szCs w:val="20"/>
          <w:lang w:val="en-US"/>
        </w:rPr>
        <w:t>Table</w:t>
      </w:r>
      <w:r w:rsidR="00513380" w:rsidRPr="00BC5F1D">
        <w:rPr>
          <w:rFonts w:ascii="Arial" w:eastAsia="Calibri" w:hAnsi="Arial" w:cs="Arial"/>
          <w:b/>
          <w:sz w:val="20"/>
          <w:szCs w:val="20"/>
          <w:lang w:val="en-US"/>
        </w:rPr>
        <w:t xml:space="preserve"> 2</w:t>
      </w:r>
      <w:r w:rsidR="00513380" w:rsidRPr="00BC5F1D">
        <w:rPr>
          <w:rFonts w:ascii="Arial" w:eastAsia="Calibri" w:hAnsi="Arial" w:cs="Arial"/>
          <w:sz w:val="20"/>
          <w:szCs w:val="20"/>
          <w:lang w:val="en-US"/>
        </w:rPr>
        <w:t>:</w:t>
      </w:r>
      <w:r w:rsidRPr="00BC5F1D">
        <w:rPr>
          <w:rFonts w:ascii="Arial" w:eastAsia="Calibri" w:hAnsi="Arial" w:cs="Arial"/>
          <w:sz w:val="20"/>
          <w:szCs w:val="20"/>
          <w:lang w:val="en-US"/>
        </w:rPr>
        <w:t xml:space="preserve">  Mineral content </w:t>
      </w:r>
      <w:r w:rsidR="00BC424A" w:rsidRPr="00BC5F1D">
        <w:rPr>
          <w:rFonts w:ascii="Arial" w:eastAsia="Calibri" w:hAnsi="Arial" w:cs="Arial"/>
          <w:sz w:val="20"/>
          <w:szCs w:val="20"/>
          <w:lang w:val="en-US"/>
        </w:rPr>
        <w:t>of</w:t>
      </w:r>
      <w:r w:rsidRPr="00BC5F1D">
        <w:rPr>
          <w:rFonts w:ascii="Arial" w:eastAsia="Calibri" w:hAnsi="Arial" w:cs="Arial"/>
          <w:sz w:val="20"/>
          <w:szCs w:val="20"/>
          <w:lang w:val="en-US"/>
        </w:rPr>
        <w:t xml:space="preserve"> powdered leaves of </w:t>
      </w:r>
      <w:r w:rsidRPr="00BC5F1D">
        <w:rPr>
          <w:rFonts w:ascii="Arial" w:eastAsia="Calibri" w:hAnsi="Arial" w:cs="Arial"/>
          <w:i/>
          <w:iCs/>
          <w:sz w:val="20"/>
          <w:szCs w:val="20"/>
          <w:lang w:val="en-US"/>
        </w:rPr>
        <w:t>A</w:t>
      </w:r>
      <w:r w:rsidR="00B6650A">
        <w:rPr>
          <w:rFonts w:ascii="Arial" w:eastAsia="Calibri" w:hAnsi="Arial" w:cs="Arial"/>
          <w:i/>
          <w:iCs/>
          <w:sz w:val="20"/>
          <w:szCs w:val="20"/>
          <w:lang w:val="en-US"/>
        </w:rPr>
        <w:t>.</w:t>
      </w:r>
      <w:r w:rsidRPr="00BC5F1D">
        <w:rPr>
          <w:rFonts w:ascii="Arial" w:eastAsia="Calibri" w:hAnsi="Arial" w:cs="Arial"/>
          <w:i/>
          <w:iCs/>
          <w:sz w:val="20"/>
          <w:szCs w:val="20"/>
          <w:lang w:val="en-US"/>
        </w:rPr>
        <w:t xml:space="preserve"> digitata, C</w:t>
      </w:r>
      <w:r w:rsidR="00B6650A">
        <w:rPr>
          <w:rFonts w:ascii="Arial" w:eastAsia="Calibri" w:hAnsi="Arial" w:cs="Arial"/>
          <w:i/>
          <w:iCs/>
          <w:sz w:val="20"/>
          <w:szCs w:val="20"/>
          <w:lang w:val="en-US"/>
        </w:rPr>
        <w:t>.</w:t>
      </w:r>
      <w:r w:rsidRPr="00BC5F1D">
        <w:rPr>
          <w:rFonts w:ascii="Arial" w:eastAsia="Calibri" w:hAnsi="Arial" w:cs="Arial"/>
          <w:i/>
          <w:iCs/>
          <w:sz w:val="20"/>
          <w:szCs w:val="20"/>
          <w:lang w:val="en-US"/>
        </w:rPr>
        <w:t xml:space="preserve"> </w:t>
      </w:r>
      <w:proofErr w:type="spellStart"/>
      <w:r w:rsidRPr="00BC5F1D">
        <w:rPr>
          <w:rFonts w:ascii="Arial" w:eastAsia="Calibri" w:hAnsi="Arial" w:cs="Arial"/>
          <w:i/>
          <w:iCs/>
          <w:sz w:val="20"/>
          <w:szCs w:val="20"/>
          <w:lang w:val="en-US"/>
        </w:rPr>
        <w:t>olitorius</w:t>
      </w:r>
      <w:proofErr w:type="spellEnd"/>
      <w:r w:rsidRPr="00BC5F1D">
        <w:rPr>
          <w:rFonts w:ascii="Arial" w:eastAsia="Calibri" w:hAnsi="Arial" w:cs="Arial"/>
          <w:i/>
          <w:iCs/>
          <w:sz w:val="20"/>
          <w:szCs w:val="20"/>
          <w:lang w:val="en-US"/>
        </w:rPr>
        <w:t xml:space="preserve"> </w:t>
      </w:r>
      <w:r w:rsidRPr="00BC5F1D">
        <w:rPr>
          <w:rFonts w:ascii="Arial" w:eastAsia="Calibri" w:hAnsi="Arial" w:cs="Arial"/>
          <w:sz w:val="20"/>
          <w:szCs w:val="20"/>
          <w:lang w:val="en-US"/>
        </w:rPr>
        <w:t xml:space="preserve">and bark of </w:t>
      </w:r>
      <w:r w:rsidR="009F3856" w:rsidRPr="00BC5F1D">
        <w:rPr>
          <w:rFonts w:ascii="Arial" w:hAnsi="Arial" w:cs="Arial"/>
          <w:i/>
          <w:iCs/>
          <w:sz w:val="20"/>
          <w:szCs w:val="20"/>
          <w:lang w:val="en-US"/>
        </w:rPr>
        <w:t>T</w:t>
      </w:r>
      <w:r w:rsidR="00B6650A">
        <w:rPr>
          <w:rFonts w:ascii="Arial" w:hAnsi="Arial" w:cs="Arial"/>
          <w:i/>
          <w:iCs/>
          <w:sz w:val="20"/>
          <w:szCs w:val="20"/>
          <w:lang w:val="en-US"/>
        </w:rPr>
        <w:t>.</w:t>
      </w:r>
      <w:r w:rsidR="009F3856" w:rsidRPr="00BC5F1D">
        <w:rPr>
          <w:rFonts w:ascii="Arial" w:hAnsi="Arial" w:cs="Arial"/>
          <w:i/>
          <w:iCs/>
          <w:sz w:val="20"/>
          <w:szCs w:val="20"/>
          <w:lang w:val="en-US"/>
        </w:rPr>
        <w:t xml:space="preserve"> cordifolia</w:t>
      </w:r>
      <w:r w:rsidR="001228A1" w:rsidRPr="00BC5F1D">
        <w:rPr>
          <w:rFonts w:ascii="Arial" w:eastAsia="Calibri" w:hAnsi="Arial" w:cs="Arial"/>
          <w:i/>
          <w:iCs/>
          <w:sz w:val="20"/>
          <w:szCs w:val="20"/>
          <w:lang w:val="en-US"/>
        </w:rPr>
        <w:t xml:space="preserve"> </w:t>
      </w:r>
      <w:r w:rsidR="00B34F2D" w:rsidRPr="00BC5F1D">
        <w:rPr>
          <w:rFonts w:ascii="Arial" w:eastAsia="Calibri" w:hAnsi="Arial" w:cs="Arial"/>
          <w:sz w:val="20"/>
          <w:szCs w:val="20"/>
          <w:lang w:val="en-US"/>
        </w:rPr>
        <w:t>(mg/100g DM)</w:t>
      </w:r>
    </w:p>
    <w:tbl>
      <w:tblPr>
        <w:tblW w:w="9072"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98"/>
        <w:gridCol w:w="2522"/>
        <w:gridCol w:w="2410"/>
        <w:gridCol w:w="1842"/>
      </w:tblGrid>
      <w:tr w:rsidR="00A1137A" w:rsidRPr="00BC5F1D" w14:paraId="3A67D885" w14:textId="77777777" w:rsidTr="00B6650A">
        <w:trPr>
          <w:trHeight w:val="444"/>
        </w:trPr>
        <w:tc>
          <w:tcPr>
            <w:tcW w:w="2298" w:type="dxa"/>
            <w:tcBorders>
              <w:bottom w:val="single" w:sz="4" w:space="0" w:color="auto"/>
              <w:right w:val="nil"/>
            </w:tcBorders>
          </w:tcPr>
          <w:p w14:paraId="4E115188" w14:textId="6B611F1F" w:rsidR="00A1137A" w:rsidRPr="00BC5F1D" w:rsidRDefault="00A1137A">
            <w:pPr>
              <w:spacing w:before="120" w:after="100" w:afterAutospacing="1" w:line="360" w:lineRule="auto"/>
              <w:rPr>
                <w:rFonts w:ascii="Arial" w:eastAsia="Calibri" w:hAnsi="Arial" w:cs="Arial"/>
                <w:b/>
                <w:sz w:val="20"/>
                <w:szCs w:val="20"/>
                <w:lang w:val="en-US"/>
              </w:rPr>
            </w:pPr>
            <w:r w:rsidRPr="00BC5F1D">
              <w:rPr>
                <w:rFonts w:ascii="Arial" w:eastAsia="Calibri" w:hAnsi="Arial" w:cs="Arial"/>
                <w:b/>
                <w:sz w:val="20"/>
                <w:szCs w:val="20"/>
                <w:lang w:val="en-US"/>
              </w:rPr>
              <w:t>Min</w:t>
            </w:r>
            <w:r w:rsidR="00513380" w:rsidRPr="00BC5F1D">
              <w:rPr>
                <w:rFonts w:ascii="Arial" w:eastAsia="Calibri" w:hAnsi="Arial" w:cs="Arial"/>
                <w:b/>
                <w:sz w:val="20"/>
                <w:szCs w:val="20"/>
                <w:lang w:val="en-US"/>
              </w:rPr>
              <w:t>eral</w:t>
            </w:r>
          </w:p>
        </w:tc>
        <w:tc>
          <w:tcPr>
            <w:tcW w:w="2522" w:type="dxa"/>
            <w:tcBorders>
              <w:left w:val="nil"/>
              <w:bottom w:val="single" w:sz="4" w:space="0" w:color="auto"/>
              <w:right w:val="nil"/>
            </w:tcBorders>
          </w:tcPr>
          <w:p w14:paraId="0971BE47" w14:textId="535781F1" w:rsidR="00A1137A" w:rsidRPr="00BC5F1D" w:rsidRDefault="00A1137A">
            <w:pPr>
              <w:spacing w:before="120" w:after="100" w:afterAutospacing="1" w:line="360" w:lineRule="auto"/>
              <w:rPr>
                <w:rFonts w:ascii="Arial" w:eastAsia="Calibri" w:hAnsi="Arial" w:cs="Arial"/>
                <w:b/>
                <w:i/>
                <w:iCs/>
                <w:sz w:val="20"/>
                <w:szCs w:val="20"/>
                <w:lang w:val="en-US"/>
              </w:rPr>
            </w:pPr>
            <w:r w:rsidRPr="00BC5F1D">
              <w:rPr>
                <w:rFonts w:ascii="Arial" w:eastAsia="Calibri" w:hAnsi="Arial" w:cs="Arial"/>
                <w:b/>
                <w:i/>
                <w:iCs/>
                <w:sz w:val="20"/>
                <w:szCs w:val="20"/>
                <w:lang w:val="en-US"/>
              </w:rPr>
              <w:t xml:space="preserve"> </w:t>
            </w:r>
            <w:bookmarkStart w:id="3" w:name="_Hlk186455765"/>
            <w:r w:rsidR="00513380" w:rsidRPr="00BC5F1D">
              <w:rPr>
                <w:rFonts w:ascii="Arial" w:eastAsia="Calibri" w:hAnsi="Arial" w:cs="Arial"/>
                <w:b/>
                <w:i/>
                <w:iCs/>
                <w:sz w:val="20"/>
                <w:szCs w:val="20"/>
                <w:lang w:val="en-US"/>
              </w:rPr>
              <w:t>A</w:t>
            </w:r>
            <w:r w:rsidR="00B6650A">
              <w:rPr>
                <w:rFonts w:ascii="Arial" w:eastAsia="Calibri" w:hAnsi="Arial" w:cs="Arial"/>
                <w:b/>
                <w:i/>
                <w:iCs/>
                <w:sz w:val="20"/>
                <w:szCs w:val="20"/>
                <w:lang w:val="en-US"/>
              </w:rPr>
              <w:t>.</w:t>
            </w:r>
            <w:r w:rsidR="00513380" w:rsidRPr="00BC5F1D">
              <w:rPr>
                <w:rFonts w:ascii="Arial" w:eastAsia="Calibri" w:hAnsi="Arial" w:cs="Arial"/>
                <w:b/>
                <w:i/>
                <w:iCs/>
                <w:sz w:val="20"/>
                <w:szCs w:val="20"/>
                <w:lang w:val="en-US"/>
              </w:rPr>
              <w:t xml:space="preserve"> digitata</w:t>
            </w:r>
            <w:bookmarkEnd w:id="3"/>
          </w:p>
        </w:tc>
        <w:tc>
          <w:tcPr>
            <w:tcW w:w="2410" w:type="dxa"/>
            <w:tcBorders>
              <w:left w:val="nil"/>
              <w:bottom w:val="single" w:sz="4" w:space="0" w:color="auto"/>
              <w:right w:val="nil"/>
            </w:tcBorders>
          </w:tcPr>
          <w:p w14:paraId="6B9D6489" w14:textId="6BF345C7" w:rsidR="00A1137A" w:rsidRPr="00BC5F1D" w:rsidRDefault="00A1137A">
            <w:pPr>
              <w:spacing w:before="120" w:after="100" w:afterAutospacing="1" w:line="360" w:lineRule="auto"/>
              <w:rPr>
                <w:rFonts w:ascii="Arial" w:eastAsia="Calibri" w:hAnsi="Arial" w:cs="Arial"/>
                <w:b/>
                <w:i/>
                <w:iCs/>
                <w:sz w:val="20"/>
                <w:szCs w:val="20"/>
                <w:lang w:val="en-US"/>
              </w:rPr>
            </w:pPr>
            <w:r w:rsidRPr="00BC5F1D">
              <w:rPr>
                <w:rFonts w:ascii="Arial" w:eastAsia="Calibri" w:hAnsi="Arial" w:cs="Arial"/>
                <w:b/>
                <w:i/>
                <w:iCs/>
                <w:sz w:val="20"/>
                <w:szCs w:val="20"/>
                <w:lang w:val="en-US"/>
              </w:rPr>
              <w:t>C</w:t>
            </w:r>
            <w:r w:rsidR="00B6650A">
              <w:rPr>
                <w:rFonts w:ascii="Arial" w:eastAsia="Calibri" w:hAnsi="Arial" w:cs="Arial"/>
                <w:b/>
                <w:i/>
                <w:iCs/>
                <w:sz w:val="20"/>
                <w:szCs w:val="20"/>
                <w:lang w:val="en-US"/>
              </w:rPr>
              <w:t>.</w:t>
            </w:r>
            <w:r w:rsidRPr="00BC5F1D">
              <w:rPr>
                <w:rFonts w:ascii="Arial" w:eastAsia="Calibri" w:hAnsi="Arial" w:cs="Arial"/>
                <w:b/>
                <w:i/>
                <w:iCs/>
                <w:sz w:val="20"/>
                <w:szCs w:val="20"/>
                <w:lang w:val="en-US"/>
              </w:rPr>
              <w:t xml:space="preserve"> </w:t>
            </w:r>
            <w:proofErr w:type="spellStart"/>
            <w:r w:rsidRPr="00BC5F1D">
              <w:rPr>
                <w:rFonts w:ascii="Arial" w:eastAsia="Calibri" w:hAnsi="Arial" w:cs="Arial"/>
                <w:b/>
                <w:i/>
                <w:iCs/>
                <w:sz w:val="20"/>
                <w:szCs w:val="20"/>
                <w:lang w:val="en-US"/>
              </w:rPr>
              <w:t>olitorius</w:t>
            </w:r>
            <w:proofErr w:type="spellEnd"/>
          </w:p>
        </w:tc>
        <w:tc>
          <w:tcPr>
            <w:tcW w:w="1842" w:type="dxa"/>
            <w:tcBorders>
              <w:left w:val="nil"/>
              <w:bottom w:val="single" w:sz="4" w:space="0" w:color="auto"/>
            </w:tcBorders>
          </w:tcPr>
          <w:p w14:paraId="1026C532" w14:textId="3C1494B3" w:rsidR="00A1137A" w:rsidRPr="00BC5F1D" w:rsidRDefault="00481778">
            <w:pPr>
              <w:spacing w:before="120" w:after="100" w:afterAutospacing="1" w:line="360" w:lineRule="auto"/>
              <w:rPr>
                <w:rFonts w:ascii="Arial" w:eastAsia="Calibri" w:hAnsi="Arial" w:cs="Arial"/>
                <w:b/>
                <w:bCs/>
                <w:i/>
                <w:iCs/>
                <w:sz w:val="20"/>
                <w:szCs w:val="20"/>
                <w:lang w:val="en-US"/>
              </w:rPr>
            </w:pPr>
            <w:r w:rsidRPr="00BC5F1D">
              <w:rPr>
                <w:rFonts w:ascii="Arial" w:hAnsi="Arial" w:cs="Arial"/>
                <w:b/>
                <w:bCs/>
                <w:i/>
                <w:iCs/>
                <w:sz w:val="20"/>
                <w:szCs w:val="20"/>
                <w:lang w:val="en-US"/>
              </w:rPr>
              <w:t>T</w:t>
            </w:r>
            <w:r w:rsidR="00B6650A">
              <w:rPr>
                <w:rFonts w:ascii="Arial" w:hAnsi="Arial" w:cs="Arial"/>
                <w:b/>
                <w:bCs/>
                <w:i/>
                <w:iCs/>
                <w:sz w:val="20"/>
                <w:szCs w:val="20"/>
                <w:lang w:val="en-US"/>
              </w:rPr>
              <w:t>.</w:t>
            </w:r>
            <w:r w:rsidRPr="00BC5F1D">
              <w:rPr>
                <w:rFonts w:ascii="Arial" w:hAnsi="Arial" w:cs="Arial"/>
                <w:b/>
                <w:bCs/>
                <w:i/>
                <w:iCs/>
                <w:sz w:val="20"/>
                <w:szCs w:val="20"/>
                <w:lang w:val="en-US"/>
              </w:rPr>
              <w:t xml:space="preserve"> cordifolia</w:t>
            </w:r>
          </w:p>
        </w:tc>
      </w:tr>
      <w:tr w:rsidR="00A1137A" w:rsidRPr="00BC5F1D" w14:paraId="00AC3BB8" w14:textId="77777777" w:rsidTr="00B6650A">
        <w:trPr>
          <w:trHeight w:val="444"/>
        </w:trPr>
        <w:tc>
          <w:tcPr>
            <w:tcW w:w="9072" w:type="dxa"/>
            <w:gridSpan w:val="4"/>
            <w:tcBorders>
              <w:bottom w:val="single" w:sz="4" w:space="0" w:color="auto"/>
            </w:tcBorders>
          </w:tcPr>
          <w:p w14:paraId="3CEA397D" w14:textId="12374B58" w:rsidR="00A1137A" w:rsidRPr="00BC5F1D" w:rsidRDefault="00A1137A">
            <w:pPr>
              <w:spacing w:before="120" w:after="100" w:afterAutospacing="1" w:line="360" w:lineRule="auto"/>
              <w:rPr>
                <w:rFonts w:ascii="Arial" w:eastAsia="Calibri" w:hAnsi="Arial" w:cs="Arial"/>
                <w:b/>
                <w:sz w:val="20"/>
                <w:szCs w:val="20"/>
                <w:lang w:val="en-US"/>
              </w:rPr>
            </w:pPr>
            <w:r w:rsidRPr="00BC5F1D">
              <w:rPr>
                <w:rFonts w:ascii="Arial" w:eastAsia="Calibri" w:hAnsi="Arial" w:cs="Arial"/>
                <w:b/>
                <w:sz w:val="20"/>
                <w:szCs w:val="20"/>
                <w:lang w:val="en-US"/>
              </w:rPr>
              <w:t>Trace ele</w:t>
            </w:r>
            <w:r w:rsidR="00513380" w:rsidRPr="00BC5F1D">
              <w:rPr>
                <w:rFonts w:ascii="Arial" w:eastAsia="Calibri" w:hAnsi="Arial" w:cs="Arial"/>
                <w:b/>
                <w:sz w:val="20"/>
                <w:szCs w:val="20"/>
                <w:lang w:val="en-US"/>
              </w:rPr>
              <w:t>ment</w:t>
            </w:r>
          </w:p>
        </w:tc>
      </w:tr>
      <w:tr w:rsidR="00513380" w:rsidRPr="00BC5F1D" w14:paraId="457A47AD" w14:textId="77777777" w:rsidTr="00B6650A">
        <w:trPr>
          <w:trHeight w:val="498"/>
        </w:trPr>
        <w:tc>
          <w:tcPr>
            <w:tcW w:w="2298" w:type="dxa"/>
            <w:tcBorders>
              <w:bottom w:val="nil"/>
              <w:right w:val="nil"/>
            </w:tcBorders>
          </w:tcPr>
          <w:p w14:paraId="6A7BA402" w14:textId="77777777" w:rsidR="00513380" w:rsidRPr="00BC5F1D" w:rsidRDefault="00513380" w:rsidP="00513380">
            <w:pPr>
              <w:spacing w:before="120" w:after="100" w:afterAutospacing="1" w:line="360" w:lineRule="auto"/>
              <w:rPr>
                <w:rFonts w:ascii="Arial" w:eastAsia="Calibri" w:hAnsi="Arial" w:cs="Arial"/>
                <w:sz w:val="20"/>
                <w:szCs w:val="20"/>
                <w:lang w:val="en-US"/>
              </w:rPr>
            </w:pPr>
            <w:r w:rsidRPr="00BC5F1D">
              <w:rPr>
                <w:rFonts w:ascii="Arial" w:eastAsia="Calibri" w:hAnsi="Arial" w:cs="Arial"/>
                <w:sz w:val="20"/>
                <w:szCs w:val="20"/>
                <w:lang w:val="en-US"/>
              </w:rPr>
              <w:t xml:space="preserve">Zinc (Zn) </w:t>
            </w:r>
          </w:p>
        </w:tc>
        <w:tc>
          <w:tcPr>
            <w:tcW w:w="2522" w:type="dxa"/>
            <w:tcBorders>
              <w:left w:val="nil"/>
              <w:bottom w:val="nil"/>
              <w:right w:val="nil"/>
            </w:tcBorders>
          </w:tcPr>
          <w:p w14:paraId="244FDA57" w14:textId="6DE9C180" w:rsidR="00513380" w:rsidRPr="00BC5F1D" w:rsidRDefault="00513380" w:rsidP="00513380">
            <w:pPr>
              <w:spacing w:before="120" w:after="100" w:afterAutospacing="1" w:line="360" w:lineRule="auto"/>
              <w:rPr>
                <w:rFonts w:ascii="Arial" w:eastAsia="Calibri" w:hAnsi="Arial" w:cs="Arial"/>
                <w:sz w:val="20"/>
                <w:szCs w:val="20"/>
                <w:lang w:val="en-US"/>
              </w:rPr>
            </w:pPr>
            <w:r w:rsidRPr="00BC5F1D">
              <w:rPr>
                <w:rFonts w:ascii="Arial" w:eastAsia="Calibri" w:hAnsi="Arial" w:cs="Arial"/>
                <w:sz w:val="20"/>
                <w:szCs w:val="20"/>
                <w:lang w:val="en-US"/>
              </w:rPr>
              <w:t>95.51 ± 2.34</w:t>
            </w:r>
            <w:r w:rsidRPr="00BC5F1D">
              <w:rPr>
                <w:rFonts w:ascii="Arial" w:eastAsia="Calibri" w:hAnsi="Arial" w:cs="Arial"/>
                <w:sz w:val="20"/>
                <w:szCs w:val="20"/>
                <w:vertAlign w:val="superscript"/>
                <w:lang w:val="en-US"/>
              </w:rPr>
              <w:t>a</w:t>
            </w:r>
            <w:r w:rsidRPr="00BC5F1D">
              <w:rPr>
                <w:rFonts w:ascii="Arial" w:eastAsia="Calibri" w:hAnsi="Arial" w:cs="Arial"/>
                <w:sz w:val="20"/>
                <w:szCs w:val="20"/>
                <w:lang w:val="en-US"/>
              </w:rPr>
              <w:t xml:space="preserve"> </w:t>
            </w:r>
          </w:p>
        </w:tc>
        <w:tc>
          <w:tcPr>
            <w:tcW w:w="2410" w:type="dxa"/>
            <w:tcBorders>
              <w:left w:val="nil"/>
              <w:bottom w:val="nil"/>
              <w:right w:val="nil"/>
            </w:tcBorders>
          </w:tcPr>
          <w:p w14:paraId="2677F2FB" w14:textId="21F1802B" w:rsidR="00513380" w:rsidRPr="00BC5F1D" w:rsidRDefault="00513380" w:rsidP="00513380">
            <w:pPr>
              <w:spacing w:before="120" w:after="100" w:afterAutospacing="1" w:line="360" w:lineRule="auto"/>
              <w:rPr>
                <w:rFonts w:ascii="Arial" w:eastAsia="Calibri" w:hAnsi="Arial" w:cs="Arial"/>
                <w:sz w:val="20"/>
                <w:szCs w:val="20"/>
                <w:lang w:val="en-US"/>
              </w:rPr>
            </w:pPr>
            <w:r w:rsidRPr="00BC5F1D">
              <w:rPr>
                <w:rFonts w:ascii="Arial" w:eastAsia="Calibri" w:hAnsi="Arial" w:cs="Arial"/>
                <w:sz w:val="20"/>
                <w:szCs w:val="20"/>
                <w:lang w:val="en-US"/>
              </w:rPr>
              <w:t>94.44 ± 1.91</w:t>
            </w:r>
            <w:r w:rsidRPr="00BC5F1D">
              <w:rPr>
                <w:rFonts w:ascii="Arial" w:eastAsia="Calibri" w:hAnsi="Arial" w:cs="Arial"/>
                <w:sz w:val="20"/>
                <w:szCs w:val="20"/>
                <w:vertAlign w:val="superscript"/>
                <w:lang w:val="en-US"/>
              </w:rPr>
              <w:t>a</w:t>
            </w:r>
            <w:r w:rsidRPr="00BC5F1D">
              <w:rPr>
                <w:rFonts w:ascii="Arial" w:eastAsia="Calibri" w:hAnsi="Arial" w:cs="Arial"/>
                <w:sz w:val="20"/>
                <w:szCs w:val="20"/>
                <w:lang w:val="en-US"/>
              </w:rPr>
              <w:t xml:space="preserve"> </w:t>
            </w:r>
          </w:p>
        </w:tc>
        <w:tc>
          <w:tcPr>
            <w:tcW w:w="1842" w:type="dxa"/>
            <w:tcBorders>
              <w:left w:val="nil"/>
              <w:bottom w:val="nil"/>
            </w:tcBorders>
          </w:tcPr>
          <w:p w14:paraId="62B14393" w14:textId="3D06EFD4" w:rsidR="00513380" w:rsidRPr="00BC5F1D" w:rsidRDefault="00513380" w:rsidP="00513380">
            <w:pPr>
              <w:spacing w:before="120" w:after="100" w:afterAutospacing="1" w:line="360" w:lineRule="auto"/>
              <w:rPr>
                <w:rFonts w:ascii="Arial" w:eastAsia="Calibri" w:hAnsi="Arial" w:cs="Arial"/>
                <w:sz w:val="20"/>
                <w:szCs w:val="20"/>
                <w:lang w:val="en-US"/>
              </w:rPr>
            </w:pPr>
            <w:r w:rsidRPr="00BC5F1D">
              <w:rPr>
                <w:rFonts w:ascii="Arial" w:eastAsia="Calibri" w:hAnsi="Arial" w:cs="Arial"/>
                <w:sz w:val="20"/>
                <w:szCs w:val="20"/>
                <w:lang w:val="en-US"/>
              </w:rPr>
              <w:t xml:space="preserve">98.71 </w:t>
            </w:r>
            <w:r w:rsidRPr="00BC5F1D">
              <w:rPr>
                <w:rFonts w:ascii="Arial" w:eastAsia="Calibri" w:hAnsi="Arial" w:cs="Arial"/>
                <w:bCs/>
                <w:sz w:val="20"/>
                <w:szCs w:val="20"/>
                <w:lang w:val="en-US"/>
              </w:rPr>
              <w:t>± 2.31</w:t>
            </w:r>
            <w:r w:rsidRPr="00BC5F1D">
              <w:rPr>
                <w:rFonts w:ascii="Arial" w:eastAsia="Calibri" w:hAnsi="Arial" w:cs="Arial"/>
                <w:bCs/>
                <w:sz w:val="20"/>
                <w:szCs w:val="20"/>
                <w:vertAlign w:val="superscript"/>
                <w:lang w:val="en-US"/>
              </w:rPr>
              <w:t>a</w:t>
            </w:r>
            <w:r w:rsidRPr="00BC5F1D">
              <w:rPr>
                <w:rFonts w:ascii="Arial" w:eastAsia="Calibri" w:hAnsi="Arial" w:cs="Arial"/>
                <w:bCs/>
                <w:sz w:val="20"/>
                <w:szCs w:val="20"/>
                <w:lang w:val="en-US"/>
              </w:rPr>
              <w:t xml:space="preserve"> </w:t>
            </w:r>
          </w:p>
        </w:tc>
      </w:tr>
      <w:tr w:rsidR="00513380" w:rsidRPr="00BC5F1D" w14:paraId="1983CF06" w14:textId="77777777" w:rsidTr="00B6650A">
        <w:trPr>
          <w:trHeight w:val="515"/>
        </w:trPr>
        <w:tc>
          <w:tcPr>
            <w:tcW w:w="2298" w:type="dxa"/>
            <w:tcBorders>
              <w:top w:val="nil"/>
              <w:bottom w:val="nil"/>
              <w:right w:val="nil"/>
            </w:tcBorders>
          </w:tcPr>
          <w:p w14:paraId="7F1C998D" w14:textId="6B211587" w:rsidR="00513380" w:rsidRPr="00BC5F1D" w:rsidRDefault="00513380" w:rsidP="00513380">
            <w:pPr>
              <w:spacing w:before="120" w:after="100" w:afterAutospacing="1" w:line="360" w:lineRule="auto"/>
              <w:rPr>
                <w:rFonts w:ascii="Arial" w:eastAsia="Calibri" w:hAnsi="Arial" w:cs="Arial"/>
                <w:sz w:val="20"/>
                <w:szCs w:val="20"/>
                <w:lang w:val="en-US"/>
              </w:rPr>
            </w:pPr>
            <w:r w:rsidRPr="00BC5F1D">
              <w:rPr>
                <w:rFonts w:ascii="Arial" w:eastAsia="Calibri" w:hAnsi="Arial" w:cs="Arial"/>
                <w:sz w:val="20"/>
                <w:szCs w:val="20"/>
                <w:lang w:val="en-US"/>
              </w:rPr>
              <w:t>C</w:t>
            </w:r>
            <w:r w:rsidR="006762F8" w:rsidRPr="00BC5F1D">
              <w:rPr>
                <w:rFonts w:ascii="Arial" w:eastAsia="Calibri" w:hAnsi="Arial" w:cs="Arial"/>
                <w:sz w:val="20"/>
                <w:szCs w:val="20"/>
                <w:lang w:val="en-US"/>
              </w:rPr>
              <w:t>opper</w:t>
            </w:r>
            <w:r w:rsidRPr="00BC5F1D">
              <w:rPr>
                <w:rFonts w:ascii="Arial" w:eastAsia="Calibri" w:hAnsi="Arial" w:cs="Arial"/>
                <w:sz w:val="20"/>
                <w:szCs w:val="20"/>
                <w:lang w:val="en-US"/>
              </w:rPr>
              <w:t xml:space="preserve"> (Cu)</w:t>
            </w:r>
          </w:p>
        </w:tc>
        <w:tc>
          <w:tcPr>
            <w:tcW w:w="2522" w:type="dxa"/>
            <w:tcBorders>
              <w:top w:val="nil"/>
              <w:left w:val="nil"/>
              <w:bottom w:val="nil"/>
              <w:right w:val="nil"/>
            </w:tcBorders>
          </w:tcPr>
          <w:p w14:paraId="073BB109" w14:textId="37CA8FB1" w:rsidR="00513380" w:rsidRPr="00BC5F1D" w:rsidRDefault="00513380" w:rsidP="00513380">
            <w:pPr>
              <w:spacing w:before="120" w:after="100" w:afterAutospacing="1" w:line="360" w:lineRule="auto"/>
              <w:rPr>
                <w:rFonts w:ascii="Arial" w:eastAsia="Calibri" w:hAnsi="Arial" w:cs="Arial"/>
                <w:sz w:val="20"/>
                <w:szCs w:val="20"/>
                <w:lang w:val="en-US"/>
              </w:rPr>
            </w:pPr>
            <w:r w:rsidRPr="00BC5F1D">
              <w:rPr>
                <w:rFonts w:ascii="Arial" w:eastAsia="Calibri" w:hAnsi="Arial" w:cs="Arial"/>
                <w:sz w:val="20"/>
                <w:szCs w:val="20"/>
                <w:lang w:val="en-US"/>
              </w:rPr>
              <w:t>13.27 ± 0.93</w:t>
            </w:r>
            <w:r w:rsidRPr="00BC5F1D">
              <w:rPr>
                <w:rFonts w:ascii="Arial" w:eastAsia="Calibri" w:hAnsi="Arial" w:cs="Arial"/>
                <w:sz w:val="20"/>
                <w:szCs w:val="20"/>
                <w:vertAlign w:val="superscript"/>
                <w:lang w:val="en-US"/>
              </w:rPr>
              <w:t>b</w:t>
            </w:r>
            <w:r w:rsidRPr="00BC5F1D">
              <w:rPr>
                <w:rFonts w:ascii="Arial" w:eastAsia="Calibri" w:hAnsi="Arial" w:cs="Arial"/>
                <w:sz w:val="20"/>
                <w:szCs w:val="20"/>
                <w:lang w:val="en-US"/>
              </w:rPr>
              <w:t xml:space="preserve"> </w:t>
            </w:r>
          </w:p>
        </w:tc>
        <w:tc>
          <w:tcPr>
            <w:tcW w:w="2410" w:type="dxa"/>
            <w:tcBorders>
              <w:top w:val="nil"/>
              <w:left w:val="nil"/>
              <w:bottom w:val="nil"/>
              <w:right w:val="nil"/>
            </w:tcBorders>
          </w:tcPr>
          <w:p w14:paraId="18034EA9" w14:textId="769A6B70" w:rsidR="00513380" w:rsidRPr="00BC5F1D" w:rsidRDefault="00513380" w:rsidP="00513380">
            <w:pPr>
              <w:spacing w:before="120" w:after="100" w:afterAutospacing="1" w:line="360" w:lineRule="auto"/>
              <w:rPr>
                <w:rFonts w:ascii="Arial" w:eastAsia="Calibri" w:hAnsi="Arial" w:cs="Arial"/>
                <w:sz w:val="20"/>
                <w:szCs w:val="20"/>
                <w:lang w:val="en-US"/>
              </w:rPr>
            </w:pPr>
            <w:bookmarkStart w:id="4" w:name="OLE_LINK1"/>
            <w:r w:rsidRPr="00BC5F1D">
              <w:rPr>
                <w:rFonts w:ascii="Arial" w:eastAsia="Calibri" w:hAnsi="Arial" w:cs="Arial"/>
                <w:sz w:val="20"/>
                <w:szCs w:val="20"/>
                <w:lang w:val="en-US"/>
              </w:rPr>
              <w:t>26.71 ± 1.27</w:t>
            </w:r>
            <w:bookmarkEnd w:id="4"/>
            <w:r w:rsidRPr="00BC5F1D">
              <w:rPr>
                <w:rFonts w:ascii="Arial" w:eastAsia="Calibri" w:hAnsi="Arial" w:cs="Arial"/>
                <w:sz w:val="20"/>
                <w:szCs w:val="20"/>
                <w:vertAlign w:val="superscript"/>
                <w:lang w:val="en-US"/>
              </w:rPr>
              <w:t>c</w:t>
            </w:r>
          </w:p>
        </w:tc>
        <w:tc>
          <w:tcPr>
            <w:tcW w:w="1842" w:type="dxa"/>
            <w:tcBorders>
              <w:top w:val="nil"/>
              <w:left w:val="nil"/>
              <w:bottom w:val="nil"/>
            </w:tcBorders>
          </w:tcPr>
          <w:p w14:paraId="51ED5933" w14:textId="18F92DF6" w:rsidR="00513380" w:rsidRPr="00BC5F1D" w:rsidRDefault="00513380" w:rsidP="00513380">
            <w:pPr>
              <w:spacing w:before="120" w:after="100" w:afterAutospacing="1" w:line="360" w:lineRule="auto"/>
              <w:rPr>
                <w:rFonts w:ascii="Arial" w:eastAsia="Calibri" w:hAnsi="Arial" w:cs="Arial"/>
                <w:sz w:val="20"/>
                <w:szCs w:val="20"/>
                <w:lang w:val="en-US"/>
              </w:rPr>
            </w:pPr>
            <w:r w:rsidRPr="00BC5F1D">
              <w:rPr>
                <w:rFonts w:ascii="Arial" w:eastAsia="Calibri" w:hAnsi="Arial" w:cs="Arial"/>
                <w:sz w:val="20"/>
                <w:szCs w:val="20"/>
                <w:lang w:val="en-US"/>
              </w:rPr>
              <w:t xml:space="preserve">4.72 </w:t>
            </w:r>
            <w:r w:rsidRPr="00BC5F1D">
              <w:rPr>
                <w:rFonts w:ascii="Arial" w:eastAsia="Calibri" w:hAnsi="Arial" w:cs="Arial"/>
                <w:bCs/>
                <w:sz w:val="20"/>
                <w:szCs w:val="20"/>
                <w:lang w:val="en-US"/>
              </w:rPr>
              <w:t>±</w:t>
            </w:r>
            <w:r w:rsidRPr="00BC5F1D">
              <w:rPr>
                <w:rFonts w:ascii="Arial" w:eastAsia="Calibri" w:hAnsi="Arial" w:cs="Arial"/>
                <w:sz w:val="20"/>
                <w:szCs w:val="20"/>
                <w:lang w:val="en-US"/>
              </w:rPr>
              <w:t xml:space="preserve"> </w:t>
            </w:r>
            <w:r w:rsidRPr="00BC5F1D">
              <w:rPr>
                <w:rFonts w:ascii="Arial" w:eastAsia="Calibri" w:hAnsi="Arial" w:cs="Arial"/>
                <w:bCs/>
                <w:sz w:val="20"/>
                <w:szCs w:val="20"/>
                <w:lang w:val="en-US"/>
              </w:rPr>
              <w:t>0.09</w:t>
            </w:r>
            <w:r w:rsidRPr="00BC5F1D">
              <w:rPr>
                <w:rFonts w:ascii="Arial" w:eastAsia="Calibri" w:hAnsi="Arial" w:cs="Arial"/>
                <w:bCs/>
                <w:sz w:val="20"/>
                <w:szCs w:val="20"/>
                <w:vertAlign w:val="superscript"/>
                <w:lang w:val="en-US"/>
              </w:rPr>
              <w:t xml:space="preserve">a </w:t>
            </w:r>
          </w:p>
        </w:tc>
      </w:tr>
      <w:tr w:rsidR="00513380" w:rsidRPr="00BC5F1D" w14:paraId="5A9EEC58" w14:textId="77777777" w:rsidTr="00B6650A">
        <w:trPr>
          <w:trHeight w:val="515"/>
        </w:trPr>
        <w:tc>
          <w:tcPr>
            <w:tcW w:w="2298" w:type="dxa"/>
            <w:tcBorders>
              <w:top w:val="nil"/>
              <w:bottom w:val="nil"/>
              <w:right w:val="nil"/>
            </w:tcBorders>
          </w:tcPr>
          <w:p w14:paraId="70A9D652" w14:textId="0FF83611" w:rsidR="00513380" w:rsidRPr="00BC5F1D" w:rsidRDefault="006762F8" w:rsidP="00513380">
            <w:pPr>
              <w:spacing w:before="120" w:after="100" w:afterAutospacing="1" w:line="360" w:lineRule="auto"/>
              <w:rPr>
                <w:rFonts w:ascii="Arial" w:eastAsia="Calibri" w:hAnsi="Arial" w:cs="Arial"/>
                <w:sz w:val="20"/>
                <w:szCs w:val="20"/>
                <w:lang w:val="en-US"/>
              </w:rPr>
            </w:pPr>
            <w:r w:rsidRPr="00BC5F1D">
              <w:rPr>
                <w:rFonts w:ascii="Arial" w:eastAsia="Calibri" w:hAnsi="Arial" w:cs="Arial"/>
                <w:sz w:val="20"/>
                <w:szCs w:val="20"/>
                <w:lang w:val="en-US"/>
              </w:rPr>
              <w:t>Iron</w:t>
            </w:r>
            <w:r w:rsidR="00513380" w:rsidRPr="00BC5F1D">
              <w:rPr>
                <w:rFonts w:ascii="Arial" w:eastAsia="Calibri" w:hAnsi="Arial" w:cs="Arial"/>
                <w:sz w:val="20"/>
                <w:szCs w:val="20"/>
                <w:lang w:val="en-US"/>
              </w:rPr>
              <w:t xml:space="preserve"> (Fe)</w:t>
            </w:r>
          </w:p>
        </w:tc>
        <w:tc>
          <w:tcPr>
            <w:tcW w:w="2522" w:type="dxa"/>
            <w:tcBorders>
              <w:top w:val="nil"/>
              <w:left w:val="nil"/>
              <w:bottom w:val="nil"/>
              <w:right w:val="nil"/>
            </w:tcBorders>
          </w:tcPr>
          <w:p w14:paraId="3E8FEA05" w14:textId="44BADEF6" w:rsidR="00513380" w:rsidRPr="00BC5F1D" w:rsidRDefault="00513380" w:rsidP="00513380">
            <w:pPr>
              <w:spacing w:before="120" w:after="100" w:afterAutospacing="1" w:line="360" w:lineRule="auto"/>
              <w:rPr>
                <w:rFonts w:ascii="Arial" w:eastAsia="Calibri" w:hAnsi="Arial" w:cs="Arial"/>
                <w:sz w:val="20"/>
                <w:szCs w:val="20"/>
                <w:lang w:val="en-US"/>
              </w:rPr>
            </w:pPr>
            <w:r w:rsidRPr="00BC5F1D">
              <w:rPr>
                <w:rFonts w:ascii="Arial" w:eastAsia="Calibri" w:hAnsi="Arial" w:cs="Arial"/>
                <w:sz w:val="20"/>
                <w:szCs w:val="20"/>
                <w:lang w:val="en-US"/>
              </w:rPr>
              <w:t>18.36 ± 1.29</w:t>
            </w:r>
            <w:r w:rsidRPr="00BC5F1D">
              <w:rPr>
                <w:rFonts w:ascii="Arial" w:eastAsia="Calibri" w:hAnsi="Arial" w:cs="Arial"/>
                <w:sz w:val="20"/>
                <w:szCs w:val="20"/>
                <w:vertAlign w:val="superscript"/>
                <w:lang w:val="en-US"/>
              </w:rPr>
              <w:t>c</w:t>
            </w:r>
            <w:r w:rsidRPr="00BC5F1D">
              <w:rPr>
                <w:rFonts w:ascii="Arial" w:eastAsia="Calibri" w:hAnsi="Arial" w:cs="Arial"/>
                <w:sz w:val="20"/>
                <w:szCs w:val="20"/>
                <w:lang w:val="en-US"/>
              </w:rPr>
              <w:t xml:space="preserve"> </w:t>
            </w:r>
          </w:p>
        </w:tc>
        <w:tc>
          <w:tcPr>
            <w:tcW w:w="2410" w:type="dxa"/>
            <w:tcBorders>
              <w:top w:val="nil"/>
              <w:left w:val="nil"/>
              <w:bottom w:val="nil"/>
              <w:right w:val="nil"/>
            </w:tcBorders>
          </w:tcPr>
          <w:p w14:paraId="3211A0C0" w14:textId="6E93EADB" w:rsidR="00513380" w:rsidRPr="00BC5F1D" w:rsidRDefault="00513380" w:rsidP="00513380">
            <w:pPr>
              <w:spacing w:before="120" w:after="100" w:afterAutospacing="1" w:line="360" w:lineRule="auto"/>
              <w:rPr>
                <w:rFonts w:ascii="Arial" w:eastAsia="Calibri" w:hAnsi="Arial" w:cs="Arial"/>
                <w:sz w:val="20"/>
                <w:szCs w:val="20"/>
                <w:lang w:val="en-US"/>
              </w:rPr>
            </w:pPr>
            <w:r w:rsidRPr="00BC5F1D">
              <w:rPr>
                <w:rFonts w:ascii="Arial" w:eastAsia="Calibri" w:hAnsi="Arial" w:cs="Arial"/>
                <w:sz w:val="20"/>
                <w:szCs w:val="20"/>
                <w:lang w:val="en-US"/>
              </w:rPr>
              <w:t>14.05 ± 0.14</w:t>
            </w:r>
            <w:r w:rsidRPr="00BC5F1D">
              <w:rPr>
                <w:rFonts w:ascii="Arial" w:eastAsia="Calibri" w:hAnsi="Arial" w:cs="Arial"/>
                <w:sz w:val="20"/>
                <w:szCs w:val="20"/>
                <w:vertAlign w:val="superscript"/>
                <w:lang w:val="en-US"/>
              </w:rPr>
              <w:t>b</w:t>
            </w:r>
          </w:p>
        </w:tc>
        <w:tc>
          <w:tcPr>
            <w:tcW w:w="1842" w:type="dxa"/>
            <w:tcBorders>
              <w:top w:val="nil"/>
              <w:left w:val="nil"/>
              <w:bottom w:val="nil"/>
            </w:tcBorders>
          </w:tcPr>
          <w:p w14:paraId="6950C4E8" w14:textId="3FE2DC15" w:rsidR="00513380" w:rsidRPr="00BC5F1D" w:rsidRDefault="00513380" w:rsidP="00513380">
            <w:pPr>
              <w:spacing w:before="120" w:after="100" w:afterAutospacing="1" w:line="360" w:lineRule="auto"/>
              <w:rPr>
                <w:rFonts w:ascii="Arial" w:eastAsia="Calibri" w:hAnsi="Arial" w:cs="Arial"/>
                <w:sz w:val="20"/>
                <w:szCs w:val="20"/>
                <w:lang w:val="en-US"/>
              </w:rPr>
            </w:pPr>
            <w:r w:rsidRPr="00BC5F1D">
              <w:rPr>
                <w:rFonts w:ascii="Arial" w:eastAsia="Calibri" w:hAnsi="Arial" w:cs="Arial"/>
                <w:sz w:val="20"/>
                <w:szCs w:val="20"/>
                <w:lang w:val="en-US"/>
              </w:rPr>
              <w:t xml:space="preserve">9.82 </w:t>
            </w:r>
            <w:r w:rsidRPr="00BC5F1D">
              <w:rPr>
                <w:rFonts w:ascii="Arial" w:eastAsia="Calibri" w:hAnsi="Arial" w:cs="Arial"/>
                <w:bCs/>
                <w:sz w:val="20"/>
                <w:szCs w:val="20"/>
                <w:lang w:val="en-US"/>
              </w:rPr>
              <w:t>± 0</w:t>
            </w:r>
            <w:r w:rsidRPr="00BC5F1D">
              <w:rPr>
                <w:rFonts w:ascii="Arial" w:eastAsia="Calibri" w:hAnsi="Arial" w:cs="Arial"/>
                <w:sz w:val="20"/>
                <w:szCs w:val="20"/>
                <w:lang w:val="en-US"/>
              </w:rPr>
              <w:t>.50</w:t>
            </w:r>
            <w:r w:rsidRPr="00BC5F1D">
              <w:rPr>
                <w:rFonts w:ascii="Arial" w:eastAsia="Calibri" w:hAnsi="Arial" w:cs="Arial"/>
                <w:sz w:val="20"/>
                <w:szCs w:val="20"/>
                <w:vertAlign w:val="superscript"/>
                <w:lang w:val="en-US"/>
              </w:rPr>
              <w:t>a</w:t>
            </w:r>
            <w:r w:rsidRPr="00BC5F1D">
              <w:rPr>
                <w:rFonts w:ascii="Arial" w:eastAsia="Calibri" w:hAnsi="Arial" w:cs="Arial"/>
                <w:sz w:val="20"/>
                <w:szCs w:val="20"/>
                <w:lang w:val="en-US"/>
              </w:rPr>
              <w:t xml:space="preserve"> </w:t>
            </w:r>
          </w:p>
        </w:tc>
      </w:tr>
      <w:tr w:rsidR="00513380" w:rsidRPr="00BC5F1D" w14:paraId="620E2FF2" w14:textId="77777777" w:rsidTr="00B6650A">
        <w:trPr>
          <w:trHeight w:val="226"/>
        </w:trPr>
        <w:tc>
          <w:tcPr>
            <w:tcW w:w="9072" w:type="dxa"/>
            <w:gridSpan w:val="4"/>
            <w:tcBorders>
              <w:top w:val="nil"/>
              <w:bottom w:val="single" w:sz="4" w:space="0" w:color="auto"/>
            </w:tcBorders>
          </w:tcPr>
          <w:p w14:paraId="1DDDD3AC" w14:textId="62D2F801" w:rsidR="00513380" w:rsidRPr="00BC5F1D" w:rsidRDefault="00513380" w:rsidP="00513380">
            <w:pPr>
              <w:spacing w:before="120" w:after="100" w:afterAutospacing="1" w:line="360" w:lineRule="auto"/>
              <w:rPr>
                <w:rFonts w:ascii="Arial" w:eastAsia="Calibri" w:hAnsi="Arial" w:cs="Arial"/>
                <w:b/>
                <w:bCs/>
                <w:color w:val="FF0000"/>
                <w:sz w:val="20"/>
                <w:szCs w:val="20"/>
                <w:lang w:val="en-US"/>
              </w:rPr>
            </w:pPr>
            <w:r w:rsidRPr="00BC5F1D">
              <w:rPr>
                <w:rFonts w:ascii="Arial" w:eastAsia="Calibri" w:hAnsi="Arial" w:cs="Arial"/>
                <w:b/>
                <w:bCs/>
                <w:color w:val="000000" w:themeColor="text1"/>
                <w:sz w:val="20"/>
                <w:szCs w:val="20"/>
                <w:lang w:val="en-US"/>
              </w:rPr>
              <w:t xml:space="preserve">Macro element </w:t>
            </w:r>
          </w:p>
        </w:tc>
      </w:tr>
      <w:tr w:rsidR="00513380" w:rsidRPr="00BC5F1D" w14:paraId="71BD6608" w14:textId="77777777" w:rsidTr="00B6650A">
        <w:trPr>
          <w:trHeight w:val="515"/>
        </w:trPr>
        <w:tc>
          <w:tcPr>
            <w:tcW w:w="2298" w:type="dxa"/>
            <w:tcBorders>
              <w:top w:val="single" w:sz="4" w:space="0" w:color="auto"/>
              <w:bottom w:val="nil"/>
              <w:right w:val="nil"/>
            </w:tcBorders>
          </w:tcPr>
          <w:p w14:paraId="5552352C" w14:textId="10746CCC" w:rsidR="00513380" w:rsidRPr="00BC5F1D" w:rsidRDefault="00513380"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Phosphor</w:t>
            </w:r>
            <w:r w:rsidR="006762F8" w:rsidRPr="00BC5F1D">
              <w:rPr>
                <w:rFonts w:ascii="Arial" w:eastAsia="Calibri" w:hAnsi="Arial" w:cs="Arial"/>
                <w:color w:val="000000" w:themeColor="text1"/>
                <w:sz w:val="20"/>
                <w:szCs w:val="20"/>
                <w:lang w:val="en-US"/>
              </w:rPr>
              <w:t>us</w:t>
            </w:r>
            <w:r w:rsidRPr="00BC5F1D">
              <w:rPr>
                <w:rFonts w:ascii="Arial" w:eastAsia="Calibri" w:hAnsi="Arial" w:cs="Arial"/>
                <w:color w:val="000000" w:themeColor="text1"/>
                <w:sz w:val="20"/>
                <w:szCs w:val="20"/>
                <w:lang w:val="en-US"/>
              </w:rPr>
              <w:t xml:space="preserve"> (P) </w:t>
            </w:r>
          </w:p>
        </w:tc>
        <w:tc>
          <w:tcPr>
            <w:tcW w:w="2522" w:type="dxa"/>
            <w:tcBorders>
              <w:top w:val="single" w:sz="4" w:space="0" w:color="auto"/>
              <w:left w:val="nil"/>
              <w:bottom w:val="nil"/>
              <w:right w:val="nil"/>
            </w:tcBorders>
          </w:tcPr>
          <w:p w14:paraId="4DCEC628" w14:textId="5044D885" w:rsidR="00513380" w:rsidRPr="00BC5F1D" w:rsidRDefault="00B50A52"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bCs/>
                <w:color w:val="000000" w:themeColor="text1"/>
                <w:sz w:val="20"/>
                <w:szCs w:val="20"/>
                <w:lang w:val="en-US"/>
              </w:rPr>
              <w:t xml:space="preserve">121.85 </w:t>
            </w:r>
            <w:r w:rsidR="00513380" w:rsidRPr="00BC5F1D">
              <w:rPr>
                <w:rFonts w:ascii="Arial" w:eastAsia="Calibri" w:hAnsi="Arial" w:cs="Arial"/>
                <w:bCs/>
                <w:color w:val="000000" w:themeColor="text1"/>
                <w:sz w:val="20"/>
                <w:szCs w:val="20"/>
                <w:lang w:val="en-US"/>
              </w:rPr>
              <w:t xml:space="preserve">± </w:t>
            </w:r>
            <w:r w:rsidRPr="00BC5F1D">
              <w:rPr>
                <w:rFonts w:ascii="Arial" w:eastAsia="Calibri" w:hAnsi="Arial" w:cs="Arial"/>
                <w:bCs/>
                <w:color w:val="000000" w:themeColor="text1"/>
                <w:sz w:val="20"/>
                <w:szCs w:val="20"/>
                <w:lang w:val="en-US"/>
              </w:rPr>
              <w:t>1.12</w:t>
            </w:r>
            <w:r w:rsidR="00513380" w:rsidRPr="00BC5F1D">
              <w:rPr>
                <w:rFonts w:ascii="Arial" w:eastAsia="Calibri" w:hAnsi="Arial" w:cs="Arial"/>
                <w:bCs/>
                <w:color w:val="000000" w:themeColor="text1"/>
                <w:sz w:val="20"/>
                <w:szCs w:val="20"/>
                <w:vertAlign w:val="superscript"/>
                <w:lang w:val="en-US"/>
              </w:rPr>
              <w:t>b</w:t>
            </w:r>
            <w:r w:rsidR="00513380" w:rsidRPr="00BC5F1D">
              <w:rPr>
                <w:rFonts w:ascii="Arial" w:eastAsia="Calibri" w:hAnsi="Arial" w:cs="Arial"/>
                <w:bCs/>
                <w:color w:val="000000" w:themeColor="text1"/>
                <w:sz w:val="20"/>
                <w:szCs w:val="20"/>
                <w:lang w:val="en-US"/>
              </w:rPr>
              <w:t xml:space="preserve"> </w:t>
            </w:r>
          </w:p>
        </w:tc>
        <w:tc>
          <w:tcPr>
            <w:tcW w:w="2410" w:type="dxa"/>
            <w:tcBorders>
              <w:top w:val="single" w:sz="4" w:space="0" w:color="auto"/>
              <w:left w:val="nil"/>
              <w:bottom w:val="nil"/>
              <w:right w:val="nil"/>
            </w:tcBorders>
          </w:tcPr>
          <w:p w14:paraId="1094B8F6" w14:textId="7BFFFF32" w:rsidR="00513380" w:rsidRPr="00BC5F1D" w:rsidRDefault="00513380"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34</w:t>
            </w:r>
            <w:r w:rsidR="00B50A52" w:rsidRPr="00BC5F1D">
              <w:rPr>
                <w:rFonts w:ascii="Arial" w:eastAsia="Calibri" w:hAnsi="Arial" w:cs="Arial"/>
                <w:color w:val="000000" w:themeColor="text1"/>
                <w:sz w:val="20"/>
                <w:szCs w:val="20"/>
                <w:lang w:val="en-US"/>
              </w:rPr>
              <w:t>0.00</w:t>
            </w:r>
            <w:r w:rsidRPr="00BC5F1D">
              <w:rPr>
                <w:rFonts w:ascii="Arial" w:eastAsia="Calibri" w:hAnsi="Arial" w:cs="Arial"/>
                <w:color w:val="000000" w:themeColor="text1"/>
                <w:sz w:val="20"/>
                <w:szCs w:val="20"/>
                <w:lang w:val="en-US"/>
              </w:rPr>
              <w:t xml:space="preserve"> ± </w:t>
            </w:r>
            <w:r w:rsidR="00B50A52" w:rsidRPr="00BC5F1D">
              <w:rPr>
                <w:rFonts w:ascii="Arial" w:eastAsia="Calibri" w:hAnsi="Arial" w:cs="Arial"/>
                <w:color w:val="000000" w:themeColor="text1"/>
                <w:sz w:val="20"/>
                <w:szCs w:val="20"/>
                <w:lang w:val="en-US"/>
              </w:rPr>
              <w:t>2</w:t>
            </w:r>
            <w:r w:rsidRPr="00BC5F1D">
              <w:rPr>
                <w:rFonts w:ascii="Arial" w:eastAsia="Calibri" w:hAnsi="Arial" w:cs="Arial"/>
                <w:color w:val="000000" w:themeColor="text1"/>
                <w:sz w:val="20"/>
                <w:szCs w:val="20"/>
                <w:lang w:val="en-US"/>
              </w:rPr>
              <w:t>.</w:t>
            </w:r>
            <w:r w:rsidR="00B50A52" w:rsidRPr="00BC5F1D">
              <w:rPr>
                <w:rFonts w:ascii="Arial" w:eastAsia="Calibri" w:hAnsi="Arial" w:cs="Arial"/>
                <w:color w:val="000000" w:themeColor="text1"/>
                <w:sz w:val="20"/>
                <w:szCs w:val="20"/>
                <w:lang w:val="en-US"/>
              </w:rPr>
              <w:t>1</w:t>
            </w:r>
            <w:r w:rsidRPr="00BC5F1D">
              <w:rPr>
                <w:rFonts w:ascii="Arial" w:eastAsia="Calibri" w:hAnsi="Arial" w:cs="Arial"/>
                <w:color w:val="000000" w:themeColor="text1"/>
                <w:sz w:val="20"/>
                <w:szCs w:val="20"/>
                <w:lang w:val="en-US"/>
              </w:rPr>
              <w:t>0</w:t>
            </w:r>
            <w:r w:rsidRPr="00BC5F1D">
              <w:rPr>
                <w:rFonts w:ascii="Arial" w:eastAsia="Calibri" w:hAnsi="Arial" w:cs="Arial"/>
                <w:color w:val="000000" w:themeColor="text1"/>
                <w:sz w:val="20"/>
                <w:szCs w:val="20"/>
                <w:vertAlign w:val="superscript"/>
                <w:lang w:val="en-US"/>
              </w:rPr>
              <w:t>c</w:t>
            </w:r>
            <w:r w:rsidRPr="00BC5F1D">
              <w:rPr>
                <w:rFonts w:ascii="Arial" w:eastAsia="Calibri" w:hAnsi="Arial" w:cs="Arial"/>
                <w:color w:val="000000" w:themeColor="text1"/>
                <w:sz w:val="20"/>
                <w:szCs w:val="20"/>
                <w:lang w:val="en-US"/>
              </w:rPr>
              <w:t xml:space="preserve"> </w:t>
            </w:r>
          </w:p>
        </w:tc>
        <w:tc>
          <w:tcPr>
            <w:tcW w:w="1842" w:type="dxa"/>
            <w:tcBorders>
              <w:top w:val="single" w:sz="4" w:space="0" w:color="auto"/>
              <w:left w:val="nil"/>
              <w:bottom w:val="nil"/>
            </w:tcBorders>
          </w:tcPr>
          <w:p w14:paraId="34887355" w14:textId="4D3248BF" w:rsidR="00513380" w:rsidRPr="00BC5F1D" w:rsidRDefault="00513380"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9</w:t>
            </w:r>
            <w:r w:rsidR="00B50A52" w:rsidRPr="00BC5F1D">
              <w:rPr>
                <w:rFonts w:ascii="Arial" w:eastAsia="Calibri" w:hAnsi="Arial" w:cs="Arial"/>
                <w:color w:val="000000" w:themeColor="text1"/>
                <w:sz w:val="20"/>
                <w:szCs w:val="20"/>
                <w:lang w:val="en-US"/>
              </w:rPr>
              <w:t>6.60</w:t>
            </w:r>
            <w:r w:rsidRPr="00BC5F1D">
              <w:rPr>
                <w:rFonts w:ascii="Arial" w:eastAsia="Calibri" w:hAnsi="Arial" w:cs="Arial"/>
                <w:color w:val="000000" w:themeColor="text1"/>
                <w:sz w:val="20"/>
                <w:szCs w:val="20"/>
                <w:lang w:val="en-US"/>
              </w:rPr>
              <w:t xml:space="preserve"> </w:t>
            </w:r>
            <w:r w:rsidRPr="00BC5F1D">
              <w:rPr>
                <w:rFonts w:ascii="Arial" w:eastAsia="Calibri" w:hAnsi="Arial" w:cs="Arial"/>
                <w:bCs/>
                <w:color w:val="000000" w:themeColor="text1"/>
                <w:sz w:val="20"/>
                <w:szCs w:val="20"/>
                <w:lang w:val="en-US"/>
              </w:rPr>
              <w:t>± 0.</w:t>
            </w:r>
            <w:r w:rsidR="00B50A52" w:rsidRPr="00BC5F1D">
              <w:rPr>
                <w:rFonts w:ascii="Arial" w:eastAsia="Calibri" w:hAnsi="Arial" w:cs="Arial"/>
                <w:bCs/>
                <w:color w:val="000000" w:themeColor="text1"/>
                <w:sz w:val="20"/>
                <w:szCs w:val="20"/>
                <w:lang w:val="en-US"/>
              </w:rPr>
              <w:t>98</w:t>
            </w:r>
            <w:r w:rsidRPr="00BC5F1D">
              <w:rPr>
                <w:rFonts w:ascii="Arial" w:eastAsia="Calibri" w:hAnsi="Arial" w:cs="Arial"/>
                <w:bCs/>
                <w:color w:val="000000" w:themeColor="text1"/>
                <w:sz w:val="20"/>
                <w:szCs w:val="20"/>
                <w:vertAlign w:val="superscript"/>
                <w:lang w:val="en-US"/>
              </w:rPr>
              <w:t>a</w:t>
            </w:r>
            <w:r w:rsidRPr="00BC5F1D">
              <w:rPr>
                <w:rFonts w:ascii="Arial" w:eastAsia="Calibri" w:hAnsi="Arial" w:cs="Arial"/>
                <w:bCs/>
                <w:color w:val="000000" w:themeColor="text1"/>
                <w:sz w:val="20"/>
                <w:szCs w:val="20"/>
                <w:lang w:val="en-US"/>
              </w:rPr>
              <w:t xml:space="preserve"> </w:t>
            </w:r>
          </w:p>
        </w:tc>
      </w:tr>
      <w:tr w:rsidR="00513380" w:rsidRPr="00BC5F1D" w14:paraId="0D322B2B" w14:textId="77777777" w:rsidTr="00B6650A">
        <w:trPr>
          <w:trHeight w:val="515"/>
        </w:trPr>
        <w:tc>
          <w:tcPr>
            <w:tcW w:w="2298" w:type="dxa"/>
            <w:tcBorders>
              <w:top w:val="nil"/>
              <w:bottom w:val="nil"/>
              <w:right w:val="nil"/>
            </w:tcBorders>
          </w:tcPr>
          <w:p w14:paraId="0A003F2A" w14:textId="77777777" w:rsidR="00513380" w:rsidRPr="00BC5F1D" w:rsidRDefault="00513380"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 xml:space="preserve">Potassium (K) </w:t>
            </w:r>
          </w:p>
        </w:tc>
        <w:tc>
          <w:tcPr>
            <w:tcW w:w="2522" w:type="dxa"/>
            <w:tcBorders>
              <w:top w:val="nil"/>
              <w:left w:val="nil"/>
              <w:bottom w:val="nil"/>
              <w:right w:val="nil"/>
            </w:tcBorders>
          </w:tcPr>
          <w:p w14:paraId="4683E448" w14:textId="5F0F46D4" w:rsidR="00513380" w:rsidRPr="00BC5F1D" w:rsidRDefault="001E33F3"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928.26</w:t>
            </w:r>
            <w:r w:rsidR="00513380" w:rsidRPr="00BC5F1D">
              <w:rPr>
                <w:rFonts w:ascii="Arial" w:eastAsia="Calibri" w:hAnsi="Arial" w:cs="Arial"/>
                <w:color w:val="000000" w:themeColor="text1"/>
                <w:sz w:val="20"/>
                <w:szCs w:val="20"/>
                <w:lang w:val="en-US"/>
              </w:rPr>
              <w:t xml:space="preserve"> </w:t>
            </w:r>
            <w:r w:rsidR="00513380" w:rsidRPr="00BC5F1D">
              <w:rPr>
                <w:rFonts w:ascii="Arial" w:eastAsia="Calibri" w:hAnsi="Arial" w:cs="Arial"/>
                <w:bCs/>
                <w:color w:val="000000" w:themeColor="text1"/>
                <w:sz w:val="20"/>
                <w:szCs w:val="20"/>
                <w:lang w:val="en-US"/>
              </w:rPr>
              <w:t>± 2</w:t>
            </w:r>
            <w:r w:rsidRPr="00BC5F1D">
              <w:rPr>
                <w:rFonts w:ascii="Arial" w:eastAsia="Calibri" w:hAnsi="Arial" w:cs="Arial"/>
                <w:bCs/>
                <w:color w:val="000000" w:themeColor="text1"/>
                <w:sz w:val="20"/>
                <w:szCs w:val="20"/>
                <w:lang w:val="en-US"/>
              </w:rPr>
              <w:t>.89</w:t>
            </w:r>
            <w:r w:rsidR="00513380" w:rsidRPr="00BC5F1D">
              <w:rPr>
                <w:rFonts w:ascii="Arial" w:eastAsia="Calibri" w:hAnsi="Arial" w:cs="Arial"/>
                <w:bCs/>
                <w:color w:val="000000" w:themeColor="text1"/>
                <w:sz w:val="20"/>
                <w:szCs w:val="20"/>
                <w:vertAlign w:val="superscript"/>
                <w:lang w:val="en-US"/>
              </w:rPr>
              <w:t>a</w:t>
            </w:r>
            <w:r w:rsidR="00513380" w:rsidRPr="00BC5F1D">
              <w:rPr>
                <w:rFonts w:ascii="Arial" w:eastAsia="Calibri" w:hAnsi="Arial" w:cs="Arial"/>
                <w:bCs/>
                <w:color w:val="000000" w:themeColor="text1"/>
                <w:sz w:val="20"/>
                <w:szCs w:val="20"/>
                <w:lang w:val="en-US"/>
              </w:rPr>
              <w:t xml:space="preserve"> </w:t>
            </w:r>
          </w:p>
        </w:tc>
        <w:tc>
          <w:tcPr>
            <w:tcW w:w="2410" w:type="dxa"/>
            <w:tcBorders>
              <w:top w:val="nil"/>
              <w:left w:val="nil"/>
              <w:bottom w:val="nil"/>
              <w:right w:val="nil"/>
            </w:tcBorders>
          </w:tcPr>
          <w:p w14:paraId="4CD97692" w14:textId="42137550" w:rsidR="00513380" w:rsidRPr="00BC5F1D" w:rsidRDefault="00513380"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19</w:t>
            </w:r>
            <w:r w:rsidR="001E33F3" w:rsidRPr="00BC5F1D">
              <w:rPr>
                <w:rFonts w:ascii="Arial" w:eastAsia="Calibri" w:hAnsi="Arial" w:cs="Arial"/>
                <w:color w:val="000000" w:themeColor="text1"/>
                <w:sz w:val="20"/>
                <w:szCs w:val="20"/>
                <w:lang w:val="en-US"/>
              </w:rPr>
              <w:t>57.41</w:t>
            </w:r>
            <w:r w:rsidRPr="00BC5F1D">
              <w:rPr>
                <w:rFonts w:ascii="Arial" w:eastAsia="Calibri" w:hAnsi="Arial" w:cs="Arial"/>
                <w:color w:val="000000" w:themeColor="text1"/>
                <w:sz w:val="20"/>
                <w:szCs w:val="20"/>
                <w:lang w:val="en-US"/>
              </w:rPr>
              <w:t xml:space="preserve"> ± </w:t>
            </w:r>
            <w:r w:rsidR="001E33F3" w:rsidRPr="00BC5F1D">
              <w:rPr>
                <w:rFonts w:ascii="Arial" w:eastAsia="Calibri" w:hAnsi="Arial" w:cs="Arial"/>
                <w:color w:val="000000" w:themeColor="text1"/>
                <w:sz w:val="20"/>
                <w:szCs w:val="20"/>
                <w:lang w:val="en-US"/>
              </w:rPr>
              <w:t>3</w:t>
            </w:r>
            <w:r w:rsidRPr="00BC5F1D">
              <w:rPr>
                <w:rFonts w:ascii="Arial" w:eastAsia="Calibri" w:hAnsi="Arial" w:cs="Arial"/>
                <w:color w:val="000000" w:themeColor="text1"/>
                <w:sz w:val="20"/>
                <w:szCs w:val="20"/>
                <w:lang w:val="en-US"/>
              </w:rPr>
              <w:t>.</w:t>
            </w:r>
            <w:r w:rsidR="001E33F3" w:rsidRPr="00BC5F1D">
              <w:rPr>
                <w:rFonts w:ascii="Arial" w:eastAsia="Calibri" w:hAnsi="Arial" w:cs="Arial"/>
                <w:color w:val="000000" w:themeColor="text1"/>
                <w:sz w:val="20"/>
                <w:szCs w:val="20"/>
                <w:lang w:val="en-US"/>
              </w:rPr>
              <w:t>89</w:t>
            </w:r>
            <w:r w:rsidR="001E33F3" w:rsidRPr="00BC5F1D">
              <w:rPr>
                <w:rFonts w:ascii="Arial" w:eastAsia="Calibri" w:hAnsi="Arial" w:cs="Arial"/>
                <w:color w:val="000000" w:themeColor="text1"/>
                <w:sz w:val="20"/>
                <w:szCs w:val="20"/>
                <w:vertAlign w:val="superscript"/>
                <w:lang w:val="en-US"/>
              </w:rPr>
              <w:t>c</w:t>
            </w:r>
            <w:r w:rsidRPr="00BC5F1D">
              <w:rPr>
                <w:rFonts w:ascii="Arial" w:eastAsia="Calibri" w:hAnsi="Arial" w:cs="Arial"/>
                <w:color w:val="000000" w:themeColor="text1"/>
                <w:sz w:val="20"/>
                <w:szCs w:val="20"/>
                <w:lang w:val="en-US"/>
              </w:rPr>
              <w:t xml:space="preserve"> </w:t>
            </w:r>
          </w:p>
        </w:tc>
        <w:tc>
          <w:tcPr>
            <w:tcW w:w="1842" w:type="dxa"/>
            <w:tcBorders>
              <w:top w:val="nil"/>
              <w:left w:val="nil"/>
              <w:bottom w:val="nil"/>
            </w:tcBorders>
          </w:tcPr>
          <w:p w14:paraId="4DA6A5C4" w14:textId="560CC81F" w:rsidR="00513380" w:rsidRPr="00BC5F1D" w:rsidRDefault="001E33F3"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967.50</w:t>
            </w:r>
            <w:r w:rsidR="00513380" w:rsidRPr="00BC5F1D">
              <w:rPr>
                <w:rFonts w:ascii="Arial" w:eastAsia="Calibri" w:hAnsi="Arial" w:cs="Arial"/>
                <w:color w:val="000000" w:themeColor="text1"/>
                <w:sz w:val="20"/>
                <w:szCs w:val="20"/>
                <w:lang w:val="en-US"/>
              </w:rPr>
              <w:t xml:space="preserve"> </w:t>
            </w:r>
            <w:r w:rsidR="00513380" w:rsidRPr="00BC5F1D">
              <w:rPr>
                <w:rFonts w:ascii="Arial" w:eastAsia="Calibri" w:hAnsi="Arial" w:cs="Arial"/>
                <w:bCs/>
                <w:color w:val="000000" w:themeColor="text1"/>
                <w:sz w:val="20"/>
                <w:szCs w:val="20"/>
                <w:lang w:val="en-US"/>
              </w:rPr>
              <w:t>± 3</w:t>
            </w:r>
            <w:r w:rsidRPr="00BC5F1D">
              <w:rPr>
                <w:rFonts w:ascii="Arial" w:eastAsia="Calibri" w:hAnsi="Arial" w:cs="Arial"/>
                <w:bCs/>
                <w:color w:val="000000" w:themeColor="text1"/>
                <w:sz w:val="20"/>
                <w:szCs w:val="20"/>
                <w:lang w:val="en-US"/>
              </w:rPr>
              <w:t>.98</w:t>
            </w:r>
            <w:r w:rsidRPr="00BC5F1D">
              <w:rPr>
                <w:rFonts w:ascii="Arial" w:eastAsia="Calibri" w:hAnsi="Arial" w:cs="Arial"/>
                <w:bCs/>
                <w:color w:val="000000" w:themeColor="text1"/>
                <w:sz w:val="20"/>
                <w:szCs w:val="20"/>
                <w:vertAlign w:val="superscript"/>
                <w:lang w:val="en-US"/>
              </w:rPr>
              <w:t>b</w:t>
            </w:r>
            <w:r w:rsidR="00513380" w:rsidRPr="00BC5F1D">
              <w:rPr>
                <w:rFonts w:ascii="Arial" w:eastAsia="Calibri" w:hAnsi="Arial" w:cs="Arial"/>
                <w:bCs/>
                <w:color w:val="000000" w:themeColor="text1"/>
                <w:sz w:val="20"/>
                <w:szCs w:val="20"/>
                <w:lang w:val="en-US"/>
              </w:rPr>
              <w:t xml:space="preserve"> </w:t>
            </w:r>
          </w:p>
        </w:tc>
      </w:tr>
      <w:tr w:rsidR="00772E0A" w:rsidRPr="00BC5F1D" w14:paraId="507EDBA3" w14:textId="77777777" w:rsidTr="00B6650A">
        <w:trPr>
          <w:trHeight w:val="515"/>
        </w:trPr>
        <w:tc>
          <w:tcPr>
            <w:tcW w:w="2298" w:type="dxa"/>
            <w:tcBorders>
              <w:top w:val="nil"/>
              <w:bottom w:val="nil"/>
              <w:right w:val="nil"/>
            </w:tcBorders>
          </w:tcPr>
          <w:p w14:paraId="33D46974" w14:textId="0789210D" w:rsidR="00772E0A" w:rsidRPr="00BC5F1D" w:rsidRDefault="00772E0A"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Magnesium (Mg)</w:t>
            </w:r>
          </w:p>
        </w:tc>
        <w:tc>
          <w:tcPr>
            <w:tcW w:w="2522" w:type="dxa"/>
            <w:tcBorders>
              <w:top w:val="nil"/>
              <w:left w:val="nil"/>
              <w:bottom w:val="nil"/>
              <w:right w:val="nil"/>
            </w:tcBorders>
          </w:tcPr>
          <w:p w14:paraId="76DE6818" w14:textId="0E17DDD2" w:rsidR="00772E0A" w:rsidRPr="00BC5F1D" w:rsidRDefault="00772E0A" w:rsidP="00513380">
            <w:pPr>
              <w:spacing w:before="120" w:after="100" w:afterAutospacing="1" w:line="360" w:lineRule="auto"/>
              <w:rPr>
                <w:rFonts w:ascii="Arial" w:eastAsia="Calibri" w:hAnsi="Arial" w:cs="Arial"/>
                <w:color w:val="000000" w:themeColor="text1"/>
                <w:sz w:val="20"/>
                <w:szCs w:val="20"/>
                <w:vertAlign w:val="superscript"/>
                <w:lang w:val="en-US"/>
              </w:rPr>
            </w:pPr>
            <w:r w:rsidRPr="00BC5F1D">
              <w:rPr>
                <w:rFonts w:ascii="Arial" w:eastAsia="Calibri" w:hAnsi="Arial" w:cs="Arial"/>
                <w:color w:val="000000" w:themeColor="text1"/>
                <w:sz w:val="20"/>
                <w:szCs w:val="20"/>
                <w:lang w:val="en-US"/>
              </w:rPr>
              <w:t xml:space="preserve">63.18 </w:t>
            </w:r>
            <w:r w:rsidRPr="00BC5F1D">
              <w:rPr>
                <w:rFonts w:ascii="Arial" w:eastAsia="Calibri" w:hAnsi="Arial" w:cs="Arial"/>
                <w:bCs/>
                <w:color w:val="000000" w:themeColor="text1"/>
                <w:sz w:val="20"/>
                <w:szCs w:val="20"/>
                <w:lang w:val="en-US"/>
              </w:rPr>
              <w:t>±</w:t>
            </w:r>
            <w:r w:rsidR="001E33F3" w:rsidRPr="00BC5F1D">
              <w:rPr>
                <w:rFonts w:ascii="Arial" w:eastAsia="Calibri" w:hAnsi="Arial" w:cs="Arial"/>
                <w:bCs/>
                <w:color w:val="000000" w:themeColor="text1"/>
                <w:sz w:val="20"/>
                <w:szCs w:val="20"/>
                <w:lang w:val="en-US"/>
              </w:rPr>
              <w:t xml:space="preserve"> 0.45</w:t>
            </w:r>
            <w:r w:rsidR="001E33F3" w:rsidRPr="00BC5F1D">
              <w:rPr>
                <w:rFonts w:ascii="Arial" w:eastAsia="Calibri" w:hAnsi="Arial" w:cs="Arial"/>
                <w:bCs/>
                <w:color w:val="000000" w:themeColor="text1"/>
                <w:sz w:val="20"/>
                <w:szCs w:val="20"/>
                <w:vertAlign w:val="superscript"/>
                <w:lang w:val="en-US"/>
              </w:rPr>
              <w:t>b</w:t>
            </w:r>
          </w:p>
        </w:tc>
        <w:tc>
          <w:tcPr>
            <w:tcW w:w="2410" w:type="dxa"/>
            <w:tcBorders>
              <w:top w:val="nil"/>
              <w:left w:val="nil"/>
              <w:bottom w:val="nil"/>
              <w:right w:val="nil"/>
            </w:tcBorders>
          </w:tcPr>
          <w:p w14:paraId="4D4C6292" w14:textId="44A577D6" w:rsidR="00772E0A" w:rsidRPr="00BC5F1D" w:rsidRDefault="00772E0A"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580.00 ±</w:t>
            </w:r>
            <w:r w:rsidR="001E33F3" w:rsidRPr="00BC5F1D">
              <w:rPr>
                <w:rFonts w:ascii="Arial" w:eastAsia="Calibri" w:hAnsi="Arial" w:cs="Arial"/>
                <w:color w:val="000000" w:themeColor="text1"/>
                <w:sz w:val="20"/>
                <w:szCs w:val="20"/>
                <w:lang w:val="en-US"/>
              </w:rPr>
              <w:t xml:space="preserve"> 1.45</w:t>
            </w:r>
            <w:r w:rsidR="001E33F3" w:rsidRPr="00BC5F1D">
              <w:rPr>
                <w:rFonts w:ascii="Arial" w:eastAsia="Calibri" w:hAnsi="Arial" w:cs="Arial"/>
                <w:color w:val="000000" w:themeColor="text1"/>
                <w:sz w:val="20"/>
                <w:szCs w:val="20"/>
                <w:vertAlign w:val="superscript"/>
                <w:lang w:val="en-US"/>
              </w:rPr>
              <w:t>c</w:t>
            </w:r>
          </w:p>
        </w:tc>
        <w:tc>
          <w:tcPr>
            <w:tcW w:w="1842" w:type="dxa"/>
            <w:tcBorders>
              <w:top w:val="nil"/>
              <w:left w:val="nil"/>
              <w:bottom w:val="nil"/>
            </w:tcBorders>
          </w:tcPr>
          <w:p w14:paraId="066E4CA4" w14:textId="4346CC49" w:rsidR="00772E0A" w:rsidRPr="00BC5F1D" w:rsidRDefault="00772E0A"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 xml:space="preserve">58.32 </w:t>
            </w:r>
            <w:r w:rsidRPr="00BC5F1D">
              <w:rPr>
                <w:rFonts w:ascii="Arial" w:eastAsia="Calibri" w:hAnsi="Arial" w:cs="Arial"/>
                <w:bCs/>
                <w:color w:val="000000" w:themeColor="text1"/>
                <w:sz w:val="20"/>
                <w:szCs w:val="20"/>
                <w:lang w:val="en-US"/>
              </w:rPr>
              <w:t xml:space="preserve">± </w:t>
            </w:r>
            <w:r w:rsidR="001E33F3" w:rsidRPr="00BC5F1D">
              <w:rPr>
                <w:rFonts w:ascii="Arial" w:eastAsia="Calibri" w:hAnsi="Arial" w:cs="Arial"/>
                <w:bCs/>
                <w:color w:val="000000" w:themeColor="text1"/>
                <w:sz w:val="20"/>
                <w:szCs w:val="20"/>
                <w:lang w:val="en-US"/>
              </w:rPr>
              <w:t>0.49</w:t>
            </w:r>
            <w:r w:rsidR="001E33F3" w:rsidRPr="00BC5F1D">
              <w:rPr>
                <w:rFonts w:ascii="Arial" w:eastAsia="Calibri" w:hAnsi="Arial" w:cs="Arial"/>
                <w:bCs/>
                <w:color w:val="000000" w:themeColor="text1"/>
                <w:sz w:val="20"/>
                <w:szCs w:val="20"/>
                <w:vertAlign w:val="superscript"/>
                <w:lang w:val="en-US"/>
              </w:rPr>
              <w:t>a</w:t>
            </w:r>
          </w:p>
        </w:tc>
      </w:tr>
      <w:bookmarkEnd w:id="1"/>
      <w:tr w:rsidR="00513380" w:rsidRPr="00BC5F1D" w14:paraId="0824E0CA" w14:textId="77777777" w:rsidTr="00B6650A">
        <w:trPr>
          <w:trHeight w:val="515"/>
        </w:trPr>
        <w:tc>
          <w:tcPr>
            <w:tcW w:w="2298" w:type="dxa"/>
            <w:tcBorders>
              <w:top w:val="nil"/>
              <w:bottom w:val="nil"/>
              <w:right w:val="nil"/>
            </w:tcBorders>
          </w:tcPr>
          <w:p w14:paraId="58AED7BA" w14:textId="77777777" w:rsidR="00513380" w:rsidRPr="00BC5F1D" w:rsidRDefault="00513380"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 xml:space="preserve">Calcium (Ca) </w:t>
            </w:r>
          </w:p>
        </w:tc>
        <w:tc>
          <w:tcPr>
            <w:tcW w:w="2522" w:type="dxa"/>
            <w:tcBorders>
              <w:top w:val="nil"/>
              <w:left w:val="nil"/>
              <w:bottom w:val="nil"/>
              <w:right w:val="nil"/>
            </w:tcBorders>
          </w:tcPr>
          <w:p w14:paraId="4696E2DF" w14:textId="1AA534BB" w:rsidR="00513380" w:rsidRPr="00BC5F1D" w:rsidRDefault="00513380"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2</w:t>
            </w:r>
            <w:r w:rsidR="001E33F3" w:rsidRPr="00BC5F1D">
              <w:rPr>
                <w:rFonts w:ascii="Arial" w:eastAsia="Calibri" w:hAnsi="Arial" w:cs="Arial"/>
                <w:color w:val="000000" w:themeColor="text1"/>
                <w:sz w:val="20"/>
                <w:szCs w:val="20"/>
                <w:lang w:val="en-US"/>
              </w:rPr>
              <w:t>088</w:t>
            </w:r>
            <w:r w:rsidRPr="00BC5F1D">
              <w:rPr>
                <w:rFonts w:ascii="Arial" w:eastAsia="Calibri" w:hAnsi="Arial" w:cs="Arial"/>
                <w:color w:val="000000" w:themeColor="text1"/>
                <w:sz w:val="20"/>
                <w:szCs w:val="20"/>
                <w:lang w:val="en-US"/>
              </w:rPr>
              <w:t>.0</w:t>
            </w:r>
            <w:r w:rsidR="001E33F3" w:rsidRPr="00BC5F1D">
              <w:rPr>
                <w:rFonts w:ascii="Arial" w:eastAsia="Calibri" w:hAnsi="Arial" w:cs="Arial"/>
                <w:color w:val="000000" w:themeColor="text1"/>
                <w:sz w:val="20"/>
                <w:szCs w:val="20"/>
                <w:lang w:val="en-US"/>
              </w:rPr>
              <w:t>0</w:t>
            </w:r>
            <w:r w:rsidRPr="00BC5F1D">
              <w:rPr>
                <w:rFonts w:ascii="Arial" w:eastAsia="Calibri" w:hAnsi="Arial" w:cs="Arial"/>
                <w:color w:val="000000" w:themeColor="text1"/>
                <w:sz w:val="20"/>
                <w:szCs w:val="20"/>
                <w:lang w:val="en-US"/>
              </w:rPr>
              <w:t xml:space="preserve"> </w:t>
            </w:r>
            <w:r w:rsidRPr="00BC5F1D">
              <w:rPr>
                <w:rFonts w:ascii="Arial" w:eastAsia="Calibri" w:hAnsi="Arial" w:cs="Arial"/>
                <w:bCs/>
                <w:color w:val="000000" w:themeColor="text1"/>
                <w:sz w:val="20"/>
                <w:szCs w:val="20"/>
                <w:lang w:val="en-US"/>
              </w:rPr>
              <w:t>± 3</w:t>
            </w:r>
            <w:r w:rsidR="001E33F3" w:rsidRPr="00BC5F1D">
              <w:rPr>
                <w:rFonts w:ascii="Arial" w:eastAsia="Calibri" w:hAnsi="Arial" w:cs="Arial"/>
                <w:bCs/>
                <w:color w:val="000000" w:themeColor="text1"/>
                <w:sz w:val="20"/>
                <w:szCs w:val="20"/>
                <w:lang w:val="en-US"/>
              </w:rPr>
              <w:t>.97</w:t>
            </w:r>
            <w:r w:rsidR="0044590D" w:rsidRPr="00BC5F1D">
              <w:rPr>
                <w:rFonts w:ascii="Arial" w:eastAsia="Calibri" w:hAnsi="Arial" w:cs="Arial"/>
                <w:bCs/>
                <w:color w:val="000000" w:themeColor="text1"/>
                <w:sz w:val="20"/>
                <w:szCs w:val="20"/>
                <w:vertAlign w:val="superscript"/>
                <w:lang w:val="en-US"/>
              </w:rPr>
              <w:t>b</w:t>
            </w:r>
            <w:r w:rsidRPr="00BC5F1D">
              <w:rPr>
                <w:rFonts w:ascii="Arial" w:eastAsia="Calibri" w:hAnsi="Arial" w:cs="Arial"/>
                <w:bCs/>
                <w:color w:val="000000" w:themeColor="text1"/>
                <w:sz w:val="20"/>
                <w:szCs w:val="20"/>
                <w:lang w:val="en-US"/>
              </w:rPr>
              <w:t xml:space="preserve"> </w:t>
            </w:r>
          </w:p>
        </w:tc>
        <w:tc>
          <w:tcPr>
            <w:tcW w:w="2410" w:type="dxa"/>
            <w:tcBorders>
              <w:top w:val="nil"/>
              <w:left w:val="nil"/>
              <w:bottom w:val="nil"/>
              <w:right w:val="nil"/>
            </w:tcBorders>
          </w:tcPr>
          <w:p w14:paraId="258A58DC" w14:textId="34326E69" w:rsidR="00513380" w:rsidRPr="00BC5F1D" w:rsidRDefault="00513380"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2</w:t>
            </w:r>
            <w:r w:rsidR="001E33F3" w:rsidRPr="00BC5F1D">
              <w:rPr>
                <w:rFonts w:ascii="Arial" w:eastAsia="Calibri" w:hAnsi="Arial" w:cs="Arial"/>
                <w:color w:val="000000" w:themeColor="text1"/>
                <w:sz w:val="20"/>
                <w:szCs w:val="20"/>
                <w:lang w:val="en-US"/>
              </w:rPr>
              <w:t>200</w:t>
            </w:r>
            <w:r w:rsidRPr="00BC5F1D">
              <w:rPr>
                <w:rFonts w:ascii="Arial" w:eastAsia="Calibri" w:hAnsi="Arial" w:cs="Arial"/>
                <w:color w:val="000000" w:themeColor="text1"/>
                <w:sz w:val="20"/>
                <w:szCs w:val="20"/>
                <w:lang w:val="en-US"/>
              </w:rPr>
              <w:t xml:space="preserve">.00 ± </w:t>
            </w:r>
            <w:r w:rsidR="001E33F3" w:rsidRPr="00BC5F1D">
              <w:rPr>
                <w:rFonts w:ascii="Arial" w:eastAsia="Calibri" w:hAnsi="Arial" w:cs="Arial"/>
                <w:color w:val="000000" w:themeColor="text1"/>
                <w:sz w:val="20"/>
                <w:szCs w:val="20"/>
                <w:lang w:val="en-US"/>
              </w:rPr>
              <w:t>4</w:t>
            </w:r>
            <w:r w:rsidRPr="00BC5F1D">
              <w:rPr>
                <w:rFonts w:ascii="Arial" w:eastAsia="Calibri" w:hAnsi="Arial" w:cs="Arial"/>
                <w:color w:val="000000" w:themeColor="text1"/>
                <w:sz w:val="20"/>
                <w:szCs w:val="20"/>
                <w:lang w:val="en-US"/>
              </w:rPr>
              <w:t>.00</w:t>
            </w:r>
            <w:r w:rsidR="0044590D" w:rsidRPr="00BC5F1D">
              <w:rPr>
                <w:rFonts w:ascii="Arial" w:eastAsia="Calibri" w:hAnsi="Arial" w:cs="Arial"/>
                <w:color w:val="000000" w:themeColor="text1"/>
                <w:sz w:val="20"/>
                <w:szCs w:val="20"/>
                <w:vertAlign w:val="superscript"/>
                <w:lang w:val="en-US"/>
              </w:rPr>
              <w:t>c</w:t>
            </w:r>
            <w:r w:rsidRPr="00BC5F1D">
              <w:rPr>
                <w:rFonts w:ascii="Arial" w:eastAsia="Calibri" w:hAnsi="Arial" w:cs="Arial"/>
                <w:color w:val="000000" w:themeColor="text1"/>
                <w:sz w:val="20"/>
                <w:szCs w:val="20"/>
                <w:lang w:val="en-US"/>
              </w:rPr>
              <w:t xml:space="preserve"> </w:t>
            </w:r>
          </w:p>
        </w:tc>
        <w:tc>
          <w:tcPr>
            <w:tcW w:w="1842" w:type="dxa"/>
            <w:tcBorders>
              <w:top w:val="nil"/>
              <w:left w:val="nil"/>
              <w:bottom w:val="nil"/>
            </w:tcBorders>
          </w:tcPr>
          <w:p w14:paraId="477FAD37" w14:textId="5D95FA2C" w:rsidR="00513380" w:rsidRPr="00BC5F1D" w:rsidRDefault="00513380"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3</w:t>
            </w:r>
            <w:r w:rsidR="001E33F3" w:rsidRPr="00BC5F1D">
              <w:rPr>
                <w:rFonts w:ascii="Arial" w:eastAsia="Calibri" w:hAnsi="Arial" w:cs="Arial"/>
                <w:color w:val="000000" w:themeColor="text1"/>
                <w:sz w:val="20"/>
                <w:szCs w:val="20"/>
                <w:lang w:val="en-US"/>
              </w:rPr>
              <w:t>36.00</w:t>
            </w:r>
            <w:r w:rsidRPr="00BC5F1D">
              <w:rPr>
                <w:rFonts w:ascii="Arial" w:eastAsia="Calibri" w:hAnsi="Arial" w:cs="Arial"/>
                <w:color w:val="000000" w:themeColor="text1"/>
                <w:sz w:val="20"/>
                <w:szCs w:val="20"/>
                <w:lang w:val="en-US"/>
              </w:rPr>
              <w:t xml:space="preserve"> </w:t>
            </w:r>
            <w:r w:rsidRPr="00BC5F1D">
              <w:rPr>
                <w:rFonts w:ascii="Arial" w:eastAsia="Calibri" w:hAnsi="Arial" w:cs="Arial"/>
                <w:bCs/>
                <w:color w:val="000000" w:themeColor="text1"/>
                <w:sz w:val="20"/>
                <w:szCs w:val="20"/>
                <w:lang w:val="en-US"/>
              </w:rPr>
              <w:t xml:space="preserve">± </w:t>
            </w:r>
            <w:r w:rsidR="001E33F3" w:rsidRPr="00BC5F1D">
              <w:rPr>
                <w:rFonts w:ascii="Arial" w:eastAsia="Calibri" w:hAnsi="Arial" w:cs="Arial"/>
                <w:bCs/>
                <w:color w:val="000000" w:themeColor="text1"/>
                <w:sz w:val="20"/>
                <w:szCs w:val="20"/>
                <w:lang w:val="en-US"/>
              </w:rPr>
              <w:t>2</w:t>
            </w:r>
            <w:r w:rsidRPr="00BC5F1D">
              <w:rPr>
                <w:rFonts w:ascii="Arial" w:eastAsia="Calibri" w:hAnsi="Arial" w:cs="Arial"/>
                <w:bCs/>
                <w:color w:val="000000" w:themeColor="text1"/>
                <w:sz w:val="20"/>
                <w:szCs w:val="20"/>
                <w:lang w:val="en-US"/>
              </w:rPr>
              <w:t>.00</w:t>
            </w:r>
            <w:r w:rsidRPr="00BC5F1D">
              <w:rPr>
                <w:rFonts w:ascii="Arial" w:eastAsia="Calibri" w:hAnsi="Arial" w:cs="Arial"/>
                <w:bCs/>
                <w:color w:val="000000" w:themeColor="text1"/>
                <w:sz w:val="20"/>
                <w:szCs w:val="20"/>
                <w:vertAlign w:val="superscript"/>
                <w:lang w:val="en-US"/>
              </w:rPr>
              <w:t>a</w:t>
            </w:r>
            <w:r w:rsidRPr="00BC5F1D">
              <w:rPr>
                <w:rFonts w:ascii="Arial" w:eastAsia="Calibri" w:hAnsi="Arial" w:cs="Arial"/>
                <w:bCs/>
                <w:color w:val="000000" w:themeColor="text1"/>
                <w:sz w:val="20"/>
                <w:szCs w:val="20"/>
                <w:lang w:val="en-US"/>
              </w:rPr>
              <w:t xml:space="preserve"> </w:t>
            </w:r>
          </w:p>
        </w:tc>
      </w:tr>
      <w:tr w:rsidR="00513380" w:rsidRPr="00BC5F1D" w14:paraId="03A93185" w14:textId="77777777" w:rsidTr="00B6650A">
        <w:trPr>
          <w:trHeight w:val="515"/>
        </w:trPr>
        <w:tc>
          <w:tcPr>
            <w:tcW w:w="2298" w:type="dxa"/>
            <w:tcBorders>
              <w:top w:val="nil"/>
              <w:bottom w:val="single" w:sz="4" w:space="0" w:color="auto"/>
              <w:right w:val="nil"/>
            </w:tcBorders>
          </w:tcPr>
          <w:p w14:paraId="09D055A4" w14:textId="77777777" w:rsidR="00513380" w:rsidRPr="00BC5F1D" w:rsidRDefault="00513380"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 xml:space="preserve">Sodium (Na)  </w:t>
            </w:r>
          </w:p>
        </w:tc>
        <w:tc>
          <w:tcPr>
            <w:tcW w:w="2522" w:type="dxa"/>
            <w:tcBorders>
              <w:top w:val="nil"/>
              <w:left w:val="nil"/>
              <w:bottom w:val="single" w:sz="4" w:space="0" w:color="auto"/>
              <w:right w:val="nil"/>
            </w:tcBorders>
          </w:tcPr>
          <w:p w14:paraId="18722728" w14:textId="012FEE0F" w:rsidR="00513380" w:rsidRPr="00BC5F1D" w:rsidRDefault="00513380"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8</w:t>
            </w:r>
            <w:r w:rsidR="00B34F2D" w:rsidRPr="00BC5F1D">
              <w:rPr>
                <w:rFonts w:ascii="Arial" w:eastAsia="Calibri" w:hAnsi="Arial" w:cs="Arial"/>
                <w:color w:val="000000" w:themeColor="text1"/>
                <w:sz w:val="20"/>
                <w:szCs w:val="20"/>
                <w:lang w:val="en-US"/>
              </w:rPr>
              <w:t>6.56</w:t>
            </w:r>
            <w:r w:rsidRPr="00BC5F1D">
              <w:rPr>
                <w:rFonts w:ascii="Arial" w:eastAsia="Calibri" w:hAnsi="Arial" w:cs="Arial"/>
                <w:color w:val="000000" w:themeColor="text1"/>
                <w:sz w:val="20"/>
                <w:szCs w:val="20"/>
                <w:lang w:val="en-US"/>
              </w:rPr>
              <w:t xml:space="preserve"> </w:t>
            </w:r>
            <w:r w:rsidRPr="00BC5F1D">
              <w:rPr>
                <w:rFonts w:ascii="Arial" w:eastAsia="Calibri" w:hAnsi="Arial" w:cs="Arial"/>
                <w:bCs/>
                <w:color w:val="000000" w:themeColor="text1"/>
                <w:sz w:val="20"/>
                <w:szCs w:val="20"/>
                <w:lang w:val="en-US"/>
              </w:rPr>
              <w:t>± 0.</w:t>
            </w:r>
            <w:r w:rsidR="00B34F2D" w:rsidRPr="00BC5F1D">
              <w:rPr>
                <w:rFonts w:ascii="Arial" w:eastAsia="Calibri" w:hAnsi="Arial" w:cs="Arial"/>
                <w:bCs/>
                <w:color w:val="000000" w:themeColor="text1"/>
                <w:sz w:val="20"/>
                <w:szCs w:val="20"/>
                <w:lang w:val="en-US"/>
              </w:rPr>
              <w:t>78</w:t>
            </w:r>
            <w:r w:rsidRPr="00BC5F1D">
              <w:rPr>
                <w:rFonts w:ascii="Arial" w:eastAsia="Calibri" w:hAnsi="Arial" w:cs="Arial"/>
                <w:bCs/>
                <w:color w:val="000000" w:themeColor="text1"/>
                <w:sz w:val="20"/>
                <w:szCs w:val="20"/>
                <w:vertAlign w:val="superscript"/>
                <w:lang w:val="en-US"/>
              </w:rPr>
              <w:t>a</w:t>
            </w:r>
            <w:r w:rsidRPr="00BC5F1D">
              <w:rPr>
                <w:rFonts w:ascii="Arial" w:eastAsia="Calibri" w:hAnsi="Arial" w:cs="Arial"/>
                <w:bCs/>
                <w:color w:val="000000" w:themeColor="text1"/>
                <w:sz w:val="20"/>
                <w:szCs w:val="20"/>
                <w:lang w:val="en-US"/>
              </w:rPr>
              <w:t xml:space="preserve"> </w:t>
            </w:r>
          </w:p>
        </w:tc>
        <w:tc>
          <w:tcPr>
            <w:tcW w:w="2410" w:type="dxa"/>
            <w:tcBorders>
              <w:top w:val="nil"/>
              <w:left w:val="nil"/>
              <w:bottom w:val="single" w:sz="4" w:space="0" w:color="auto"/>
              <w:right w:val="nil"/>
            </w:tcBorders>
          </w:tcPr>
          <w:p w14:paraId="6E54F44F" w14:textId="08F39CCA" w:rsidR="00513380" w:rsidRPr="00BC5F1D" w:rsidRDefault="00513380"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19</w:t>
            </w:r>
            <w:r w:rsidR="00B34F2D" w:rsidRPr="00BC5F1D">
              <w:rPr>
                <w:rFonts w:ascii="Arial" w:eastAsia="Calibri" w:hAnsi="Arial" w:cs="Arial"/>
                <w:color w:val="000000" w:themeColor="text1"/>
                <w:sz w:val="20"/>
                <w:szCs w:val="20"/>
                <w:lang w:val="en-US"/>
              </w:rPr>
              <w:t>5.27</w:t>
            </w:r>
            <w:r w:rsidRPr="00BC5F1D">
              <w:rPr>
                <w:rFonts w:ascii="Arial" w:eastAsia="Calibri" w:hAnsi="Arial" w:cs="Arial"/>
                <w:color w:val="000000" w:themeColor="text1"/>
                <w:sz w:val="20"/>
                <w:szCs w:val="20"/>
                <w:lang w:val="en-US"/>
              </w:rPr>
              <w:t xml:space="preserve"> ± </w:t>
            </w:r>
            <w:r w:rsidR="00B34F2D" w:rsidRPr="00BC5F1D">
              <w:rPr>
                <w:rFonts w:ascii="Arial" w:eastAsia="Calibri" w:hAnsi="Arial" w:cs="Arial"/>
                <w:color w:val="000000" w:themeColor="text1"/>
                <w:sz w:val="20"/>
                <w:szCs w:val="20"/>
                <w:lang w:val="en-US"/>
              </w:rPr>
              <w:t>1</w:t>
            </w:r>
            <w:r w:rsidRPr="00BC5F1D">
              <w:rPr>
                <w:rFonts w:ascii="Arial" w:eastAsia="Calibri" w:hAnsi="Arial" w:cs="Arial"/>
                <w:color w:val="000000" w:themeColor="text1"/>
                <w:sz w:val="20"/>
                <w:szCs w:val="20"/>
                <w:lang w:val="en-US"/>
              </w:rPr>
              <w:t>.00</w:t>
            </w:r>
            <w:r w:rsidRPr="00BC5F1D">
              <w:rPr>
                <w:rFonts w:ascii="Arial" w:eastAsia="Calibri" w:hAnsi="Arial" w:cs="Arial"/>
                <w:color w:val="000000" w:themeColor="text1"/>
                <w:sz w:val="20"/>
                <w:szCs w:val="20"/>
                <w:vertAlign w:val="superscript"/>
                <w:lang w:val="en-US"/>
              </w:rPr>
              <w:t>c</w:t>
            </w:r>
            <w:r w:rsidRPr="00BC5F1D">
              <w:rPr>
                <w:rFonts w:ascii="Arial" w:eastAsia="Calibri" w:hAnsi="Arial" w:cs="Arial"/>
                <w:color w:val="000000" w:themeColor="text1"/>
                <w:sz w:val="20"/>
                <w:szCs w:val="20"/>
                <w:lang w:val="en-US"/>
              </w:rPr>
              <w:t xml:space="preserve"> </w:t>
            </w:r>
          </w:p>
        </w:tc>
        <w:tc>
          <w:tcPr>
            <w:tcW w:w="1842" w:type="dxa"/>
            <w:tcBorders>
              <w:top w:val="nil"/>
              <w:left w:val="nil"/>
              <w:bottom w:val="single" w:sz="4" w:space="0" w:color="auto"/>
            </w:tcBorders>
          </w:tcPr>
          <w:p w14:paraId="4C2D5F2D" w14:textId="4D386787" w:rsidR="00513380" w:rsidRPr="00BC5F1D" w:rsidRDefault="00513380" w:rsidP="00513380">
            <w:pPr>
              <w:spacing w:before="120" w:after="100" w:afterAutospacing="1" w:line="360" w:lineRule="auto"/>
              <w:rPr>
                <w:rFonts w:ascii="Arial" w:eastAsia="Calibri" w:hAnsi="Arial" w:cs="Arial"/>
                <w:color w:val="000000" w:themeColor="text1"/>
                <w:sz w:val="20"/>
                <w:szCs w:val="20"/>
                <w:lang w:val="en-US"/>
              </w:rPr>
            </w:pPr>
            <w:r w:rsidRPr="00BC5F1D">
              <w:rPr>
                <w:rFonts w:ascii="Arial" w:eastAsia="Calibri" w:hAnsi="Arial" w:cs="Arial"/>
                <w:color w:val="000000" w:themeColor="text1"/>
                <w:sz w:val="20"/>
                <w:szCs w:val="20"/>
                <w:lang w:val="en-US"/>
              </w:rPr>
              <w:t>10</w:t>
            </w:r>
            <w:r w:rsidR="00B34F2D" w:rsidRPr="00BC5F1D">
              <w:rPr>
                <w:rFonts w:ascii="Arial" w:eastAsia="Calibri" w:hAnsi="Arial" w:cs="Arial"/>
                <w:color w:val="000000" w:themeColor="text1"/>
                <w:sz w:val="20"/>
                <w:szCs w:val="20"/>
                <w:lang w:val="en-US"/>
              </w:rPr>
              <w:t>1.74</w:t>
            </w:r>
            <w:r w:rsidRPr="00BC5F1D">
              <w:rPr>
                <w:rFonts w:ascii="Arial" w:eastAsia="Calibri" w:hAnsi="Arial" w:cs="Arial"/>
                <w:color w:val="000000" w:themeColor="text1"/>
                <w:sz w:val="20"/>
                <w:szCs w:val="20"/>
                <w:lang w:val="en-US"/>
              </w:rPr>
              <w:t xml:space="preserve"> </w:t>
            </w:r>
            <w:r w:rsidRPr="00BC5F1D">
              <w:rPr>
                <w:rFonts w:ascii="Arial" w:eastAsia="Calibri" w:hAnsi="Arial" w:cs="Arial"/>
                <w:bCs/>
                <w:color w:val="000000" w:themeColor="text1"/>
                <w:sz w:val="20"/>
                <w:szCs w:val="20"/>
                <w:lang w:val="en-US"/>
              </w:rPr>
              <w:t xml:space="preserve">± </w:t>
            </w:r>
            <w:r w:rsidR="00B34F2D" w:rsidRPr="00BC5F1D">
              <w:rPr>
                <w:rFonts w:ascii="Arial" w:eastAsia="Calibri" w:hAnsi="Arial" w:cs="Arial"/>
                <w:bCs/>
                <w:color w:val="000000" w:themeColor="text1"/>
                <w:sz w:val="20"/>
                <w:szCs w:val="20"/>
                <w:lang w:val="en-US"/>
              </w:rPr>
              <w:t>1</w:t>
            </w:r>
            <w:r w:rsidRPr="00BC5F1D">
              <w:rPr>
                <w:rFonts w:ascii="Arial" w:eastAsia="Calibri" w:hAnsi="Arial" w:cs="Arial"/>
                <w:bCs/>
                <w:color w:val="000000" w:themeColor="text1"/>
                <w:sz w:val="20"/>
                <w:szCs w:val="20"/>
                <w:lang w:val="en-US"/>
              </w:rPr>
              <w:t>.0</w:t>
            </w:r>
            <w:r w:rsidR="00B34F2D" w:rsidRPr="00BC5F1D">
              <w:rPr>
                <w:rFonts w:ascii="Arial" w:eastAsia="Calibri" w:hAnsi="Arial" w:cs="Arial"/>
                <w:bCs/>
                <w:color w:val="000000" w:themeColor="text1"/>
                <w:sz w:val="20"/>
                <w:szCs w:val="20"/>
                <w:lang w:val="en-US"/>
              </w:rPr>
              <w:t>5</w:t>
            </w:r>
            <w:r w:rsidRPr="00BC5F1D">
              <w:rPr>
                <w:rFonts w:ascii="Arial" w:eastAsia="Calibri" w:hAnsi="Arial" w:cs="Arial"/>
                <w:bCs/>
                <w:color w:val="000000" w:themeColor="text1"/>
                <w:sz w:val="20"/>
                <w:szCs w:val="20"/>
                <w:vertAlign w:val="superscript"/>
                <w:lang w:val="en-US"/>
              </w:rPr>
              <w:t>b</w:t>
            </w:r>
            <w:r w:rsidRPr="00BC5F1D">
              <w:rPr>
                <w:rFonts w:ascii="Arial" w:eastAsia="Calibri" w:hAnsi="Arial" w:cs="Arial"/>
                <w:bCs/>
                <w:color w:val="000000" w:themeColor="text1"/>
                <w:sz w:val="20"/>
                <w:szCs w:val="20"/>
                <w:lang w:val="en-US"/>
              </w:rPr>
              <w:t xml:space="preserve"> </w:t>
            </w:r>
          </w:p>
        </w:tc>
      </w:tr>
      <w:tr w:rsidR="00513380" w:rsidRPr="00B148EB" w14:paraId="257498FB" w14:textId="77777777" w:rsidTr="00B6650A">
        <w:trPr>
          <w:trHeight w:val="485"/>
        </w:trPr>
        <w:tc>
          <w:tcPr>
            <w:tcW w:w="9072" w:type="dxa"/>
            <w:gridSpan w:val="4"/>
            <w:tcBorders>
              <w:top w:val="single" w:sz="4" w:space="0" w:color="auto"/>
              <w:bottom w:val="nil"/>
            </w:tcBorders>
          </w:tcPr>
          <w:p w14:paraId="0CDD6B93" w14:textId="7E60F4F3" w:rsidR="00513380" w:rsidRPr="00BC5F1D" w:rsidRDefault="00424CF2" w:rsidP="00424CF2">
            <w:pPr>
              <w:spacing w:line="276" w:lineRule="auto"/>
              <w:jc w:val="both"/>
              <w:rPr>
                <w:rFonts w:ascii="Arial" w:hAnsi="Arial" w:cs="Arial"/>
                <w:color w:val="000000" w:themeColor="text1"/>
                <w:sz w:val="20"/>
                <w:szCs w:val="20"/>
                <w:lang w:val="en-US"/>
              </w:rPr>
            </w:pPr>
            <w:r w:rsidRPr="00BC5F1D">
              <w:rPr>
                <w:rFonts w:ascii="Arial" w:eastAsia="Calibri" w:hAnsi="Arial" w:cs="Arial"/>
                <w:color w:val="000000" w:themeColor="text1"/>
                <w:sz w:val="20"/>
                <w:szCs w:val="20"/>
                <w:lang w:val="en-US"/>
              </w:rPr>
              <w:t>Mn ± Sd: Mean ± Standard deviation, t</w:t>
            </w:r>
            <w:r w:rsidRPr="00BC5F1D">
              <w:rPr>
                <w:rFonts w:ascii="Arial" w:hAnsi="Arial" w:cs="Arial"/>
                <w:color w:val="000000" w:themeColor="text1"/>
                <w:sz w:val="20"/>
                <w:szCs w:val="20"/>
                <w:lang w:val="en-US"/>
              </w:rPr>
              <w:t>he affected means of different lowercase letters in superscript and on line show a significant difference at the probability threshold P ≤ 0.05</w:t>
            </w:r>
          </w:p>
        </w:tc>
      </w:tr>
    </w:tbl>
    <w:bookmarkEnd w:id="2"/>
    <w:p w14:paraId="20926A58" w14:textId="4143E9A0" w:rsidR="00441D88" w:rsidRPr="0073701E" w:rsidRDefault="006C647B" w:rsidP="0073701E">
      <w:pPr>
        <w:pStyle w:val="ListParagraph"/>
        <w:numPr>
          <w:ilvl w:val="1"/>
          <w:numId w:val="1"/>
        </w:numPr>
        <w:tabs>
          <w:tab w:val="left" w:pos="567"/>
        </w:tabs>
        <w:spacing w:before="240" w:line="360" w:lineRule="auto"/>
        <w:jc w:val="both"/>
        <w:rPr>
          <w:rFonts w:ascii="Arial" w:hAnsi="Arial" w:cs="Arial"/>
          <w:b/>
          <w:bCs/>
          <w:lang w:val="en-US"/>
        </w:rPr>
      </w:pPr>
      <w:r w:rsidRPr="0073701E">
        <w:rPr>
          <w:rFonts w:ascii="Arial" w:hAnsi="Arial" w:cs="Arial"/>
          <w:b/>
          <w:bCs/>
          <w:lang w:val="en-US"/>
        </w:rPr>
        <w:t xml:space="preserve"> </w:t>
      </w:r>
      <w:r w:rsidR="00073A9D" w:rsidRPr="0073701E">
        <w:rPr>
          <w:rFonts w:ascii="Arial" w:hAnsi="Arial" w:cs="Arial"/>
          <w:b/>
          <w:bCs/>
          <w:lang w:val="en-US"/>
        </w:rPr>
        <w:t xml:space="preserve">Bioactive </w:t>
      </w:r>
      <w:r w:rsidR="00691D2F" w:rsidRPr="0073701E">
        <w:rPr>
          <w:rFonts w:ascii="Arial" w:hAnsi="Arial" w:cs="Arial"/>
          <w:b/>
          <w:bCs/>
          <w:lang w:val="en-US"/>
        </w:rPr>
        <w:t>com</w:t>
      </w:r>
      <w:r w:rsidR="001B4AA3" w:rsidRPr="0073701E">
        <w:rPr>
          <w:rFonts w:ascii="Arial" w:hAnsi="Arial" w:cs="Arial"/>
          <w:b/>
          <w:bCs/>
          <w:lang w:val="en-US"/>
        </w:rPr>
        <w:t>po</w:t>
      </w:r>
      <w:r w:rsidR="0041794C" w:rsidRPr="0073701E">
        <w:rPr>
          <w:rFonts w:ascii="Arial" w:hAnsi="Arial" w:cs="Arial"/>
          <w:b/>
          <w:bCs/>
          <w:lang w:val="en-US"/>
        </w:rPr>
        <w:t>sition</w:t>
      </w:r>
      <w:r w:rsidR="00691D2F" w:rsidRPr="0073701E">
        <w:rPr>
          <w:rFonts w:ascii="Arial" w:hAnsi="Arial" w:cs="Arial"/>
          <w:b/>
          <w:bCs/>
          <w:lang w:val="en-US"/>
        </w:rPr>
        <w:t xml:space="preserve">  </w:t>
      </w:r>
    </w:p>
    <w:p w14:paraId="78BE72E9" w14:textId="181802F1" w:rsidR="006C647B" w:rsidRPr="00BC5F1D" w:rsidRDefault="006C647B" w:rsidP="006C647B">
      <w:pPr>
        <w:spacing w:line="360" w:lineRule="auto"/>
        <w:jc w:val="both"/>
        <w:rPr>
          <w:rFonts w:ascii="Arial" w:hAnsi="Arial" w:cs="Arial"/>
          <w:sz w:val="20"/>
          <w:szCs w:val="20"/>
          <w:lang w:val="en-US"/>
        </w:rPr>
      </w:pPr>
      <w:r w:rsidRPr="00BC5F1D">
        <w:rPr>
          <w:rFonts w:ascii="Arial" w:hAnsi="Arial" w:cs="Arial"/>
          <w:sz w:val="20"/>
          <w:szCs w:val="20"/>
          <w:lang w:val="en-US"/>
        </w:rPr>
        <w:t xml:space="preserve">The contents of bioactive compounds in the studied powders are presented in Table 3. They vary significantly from 0.75 ± 0.10 to 2.92 ± 0.02 µg GAE/g dry matter (DM) for total polyphenols; from 0.58 ± 0.01 to 3.05 ± 0.00 µg CE/g DM for condensed tannins; and from 0.90 ± 0.02 to 4.90 ± 0.05 µg QE/g DM for total flavonoids. However, only </w:t>
      </w:r>
      <w:r w:rsidRPr="00BC5F1D">
        <w:rPr>
          <w:rFonts w:ascii="Arial" w:hAnsi="Arial" w:cs="Arial"/>
          <w:i/>
          <w:iCs/>
          <w:sz w:val="20"/>
          <w:szCs w:val="20"/>
          <w:lang w:val="en-US"/>
        </w:rPr>
        <w:t>T. cordifolia</w:t>
      </w:r>
      <w:r w:rsidRPr="00BC5F1D">
        <w:rPr>
          <w:rFonts w:ascii="Arial" w:hAnsi="Arial" w:cs="Arial"/>
          <w:sz w:val="20"/>
          <w:szCs w:val="20"/>
          <w:lang w:val="en-US"/>
        </w:rPr>
        <w:t xml:space="preserve"> powder exhibits the highest contents of total polyphenols (2.92 ± 0.02 µg GAE/g DM), condensed tannins (3.05 ± 0.00 µg CE/g DM), and total flavonoids (4.90 ± 0.05 µg QE/g DM). These values are higher than those reported for polyphenols (0.113 µg CE/g DM) and flavonoids (0.016 µg QE/g DM) in </w:t>
      </w:r>
      <w:r w:rsidRPr="00BC5F1D">
        <w:rPr>
          <w:rFonts w:ascii="Arial" w:hAnsi="Arial" w:cs="Arial"/>
          <w:i/>
          <w:iCs/>
          <w:sz w:val="20"/>
          <w:szCs w:val="20"/>
          <w:lang w:val="en-US"/>
        </w:rPr>
        <w:t>T. cordifolia</w:t>
      </w:r>
      <w:r w:rsidRPr="00BC5F1D">
        <w:rPr>
          <w:rFonts w:ascii="Arial" w:hAnsi="Arial" w:cs="Arial"/>
          <w:sz w:val="20"/>
          <w:szCs w:val="20"/>
          <w:lang w:val="en-US"/>
        </w:rPr>
        <w:t xml:space="preserve"> leaf powders collected in the city of Yaoundé </w:t>
      </w:r>
      <w:r w:rsidRPr="00BC5F1D">
        <w:rPr>
          <w:rFonts w:ascii="Arial" w:eastAsia="Calibri" w:hAnsi="Arial" w:cs="Arial"/>
          <w:color w:val="000000" w:themeColor="text1"/>
          <w:sz w:val="20"/>
          <w:szCs w:val="20"/>
        </w:rPr>
        <w:fldChar w:fldCharType="begin" w:fldLock="1"/>
      </w:r>
      <w:r w:rsidRPr="00BC5F1D">
        <w:rPr>
          <w:rFonts w:ascii="Arial" w:eastAsia="Calibri" w:hAnsi="Arial" w:cs="Arial"/>
          <w:color w:val="000000" w:themeColor="text1"/>
          <w:sz w:val="20"/>
          <w:szCs w:val="20"/>
          <w:lang w:val="en-US"/>
        </w:rPr>
        <w:instrText>ADDIN CSL_CITATION {"citationItems":[{"id":"ITEM-1","itemData":{"author":[{"dropping-particle":"","family":"Foumane","given":"Maniepi J","non-dropping-particle":"","parse-names":false,"suffix":""},{"dropping-particle":"V","family":"Lobé","given":"Soppo","non-dropping-particle":"","parse-names":false,"suffix":""},{"dropping-particle":"","family":"Nga","given":"Nnanga","non-dropping-particle":"","parse-names":false,"suffix":""},{"dropping-particle":"","family":"Ntsama","given":"Metogo J","non-dropping-particle":"","parse-names":false,"suffix":""},{"dropping-particle":"","family":"Mekoulou","given":"Mbenga F","non-dropping-particle":"","parse-names":false,"suffix":""},{"dropping-particle":"","family":"Ngolsou","given":"F","non-dropping-particle":"","parse-names":false,"suffix":""},{"dropping-particle":"","family":"Diboué","given":"Betoté P","non-dropping-particle":"","parse-names":false,"suffix":""},{"dropping-particle":"","family":"Obono","given":"P","non-dropping-particle":"","parse-names":false,"suffix":""},{"dropping-particle":"","family":"Ndongo","given":"M Nyangono","non-dropping-particle":"","parse-names":false,"suffix":""},{"dropping-particle":"","family":"Minkande","given":"J Ze","non-dropping-particle":"","parse-names":false,"suffix":""}],"container-title":"Health Sciences and Disease","id":"ITEM-1","issue":"2 Suppl 1","issued":{"date-parts":[["2022"]]},"page":"14-18","title":"Analyse Phytochimique des Extraits Aqueux de Sida Acuta et Triumfetta Cordifolia , Deux Plantes Utilisées pour Faciliter l ’ Accouchement en Médecine Traditionnelle au Cameroun","type":"article-journal","volume":"23"},"uris":["http://www.mendeley.com/documents/?uuid=da327f4e-3b8c-4938-9b43-c4e5cc466ae9"]}],"mendeley":{"formattedCitation":"(Foumane et al., 2022)","plainTextFormattedCitation":"(Foumane et al., 2022)","previouslyFormattedCitation":"(Foumane et al., 2022)"},"properties":{"noteIndex":0},"schema":"https://github.com/citation-style-language/schema/raw/master/csl-citation.json"}</w:instrText>
      </w:r>
      <w:r w:rsidRPr="00BC5F1D">
        <w:rPr>
          <w:rFonts w:ascii="Arial" w:eastAsia="Calibri" w:hAnsi="Arial" w:cs="Arial"/>
          <w:color w:val="000000" w:themeColor="text1"/>
          <w:sz w:val="20"/>
          <w:szCs w:val="20"/>
        </w:rPr>
        <w:fldChar w:fldCharType="separate"/>
      </w:r>
      <w:r w:rsidRPr="00BC5F1D">
        <w:rPr>
          <w:rFonts w:ascii="Arial" w:eastAsia="Calibri" w:hAnsi="Arial" w:cs="Arial"/>
          <w:noProof/>
          <w:color w:val="000000" w:themeColor="text1"/>
          <w:sz w:val="20"/>
          <w:szCs w:val="20"/>
          <w:lang w:val="en-US"/>
        </w:rPr>
        <w:t>(Foumane et al., 2022)</w:t>
      </w:r>
      <w:r w:rsidRPr="00BC5F1D">
        <w:rPr>
          <w:rFonts w:ascii="Arial" w:eastAsia="Calibri" w:hAnsi="Arial" w:cs="Arial"/>
          <w:color w:val="000000" w:themeColor="text1"/>
          <w:sz w:val="20"/>
          <w:szCs w:val="20"/>
        </w:rPr>
        <w:fldChar w:fldCharType="end"/>
      </w:r>
      <w:r w:rsidRPr="00BC5F1D">
        <w:rPr>
          <w:rFonts w:ascii="Arial" w:hAnsi="Arial" w:cs="Arial"/>
          <w:sz w:val="20"/>
          <w:szCs w:val="20"/>
          <w:lang w:val="en-US"/>
        </w:rPr>
        <w:t xml:space="preserve">. They are also greater than those reported by </w:t>
      </w:r>
      <w:r w:rsidRPr="00BC5F1D">
        <w:rPr>
          <w:rFonts w:ascii="Arial" w:eastAsia="Calibri" w:hAnsi="Arial" w:cs="Arial"/>
          <w:color w:val="000000" w:themeColor="text1"/>
          <w:sz w:val="20"/>
          <w:szCs w:val="20"/>
        </w:rPr>
        <w:fldChar w:fldCharType="begin" w:fldLock="1"/>
      </w:r>
      <w:r w:rsidR="00C265B0">
        <w:rPr>
          <w:rFonts w:ascii="Arial" w:eastAsia="Calibri" w:hAnsi="Arial" w:cs="Arial"/>
          <w:color w:val="000000" w:themeColor="text1"/>
          <w:sz w:val="20"/>
          <w:szCs w:val="20"/>
          <w:lang w:val="en-US"/>
        </w:rPr>
        <w:instrText>ADDIN CSL_CITATION {"citationItems":[{"id":"ITEM-1","itemData":{"DOI":"10.1155/2024/2680085","author":[{"dropping-particle":"","family":"Assiéné","given":"Agamou Julien Armel","non-dropping-particle":"","parse-names":false,"suffix":""},{"dropping-particle":"","family":"Djeukeu","given":"Asongni William","non-dropping-particle":"","parse-names":false,"suffix":""},{"dropping-particle":"","family":"Tizé","given":"Zra","non-dropping-particle":"","parse-names":false,"suffix":""},{"dropping-particle":"","family":"Fongnzossié","given":"Fedoung Evariste","non-dropping-particle":"","parse-names":false,"suffix":""}],"container-title":"Journal of Food Processing and Preservation","id":"ITEM-1","issued":{"date-parts":[["2024"]]},"page":"10 p","title":"Comparative Evaluation of the Bioactive Potential of a Powder and the Particle Size Fractions of Plant Organs From Dacryodes edulis , Solanum torvum , and Curcuma longa","type":"article-journal","volume":"2024"},"uris":["http://www.mendeley.com/documents/?uuid=5d9d5bae-9fda-4990-bd18-93aed325c54f"]}],"mendeley":{"formattedCitation":"(Assiéné, Djeukeu, Tizé, et al., 2024)","manualFormatting":"Assiéné, Djeukeu, Tizé, et al. (2024)","plainTextFormattedCitation":"(Assiéné, Djeukeu, Tizé, et al., 2024)","previouslyFormattedCitation":"(Assiéné, Djeukeu, Tizé, et al., 2024)"},"properties":{"noteIndex":0},"schema":"https://github.com/citation-style-language/schema/raw/master/csl-citation.json"}</w:instrText>
      </w:r>
      <w:r w:rsidRPr="00BC5F1D">
        <w:rPr>
          <w:rFonts w:ascii="Arial" w:eastAsia="Calibri" w:hAnsi="Arial" w:cs="Arial"/>
          <w:color w:val="000000" w:themeColor="text1"/>
          <w:sz w:val="20"/>
          <w:szCs w:val="20"/>
        </w:rPr>
        <w:fldChar w:fldCharType="separate"/>
      </w:r>
      <w:r w:rsidRPr="00BC5F1D">
        <w:rPr>
          <w:rFonts w:ascii="Arial" w:eastAsia="Calibri" w:hAnsi="Arial" w:cs="Arial"/>
          <w:noProof/>
          <w:color w:val="000000" w:themeColor="text1"/>
          <w:sz w:val="20"/>
          <w:szCs w:val="20"/>
          <w:lang w:val="en-US"/>
        </w:rPr>
        <w:t>Assiéné, Djeukeu, Tizé, et al.</w:t>
      </w:r>
      <w:r w:rsidR="00C265B0">
        <w:rPr>
          <w:rFonts w:ascii="Arial" w:eastAsia="Calibri" w:hAnsi="Arial" w:cs="Arial"/>
          <w:noProof/>
          <w:color w:val="000000" w:themeColor="text1"/>
          <w:sz w:val="20"/>
          <w:szCs w:val="20"/>
          <w:lang w:val="en-US"/>
        </w:rPr>
        <w:t xml:space="preserve"> (</w:t>
      </w:r>
      <w:r w:rsidRPr="00BC5F1D">
        <w:rPr>
          <w:rFonts w:ascii="Arial" w:eastAsia="Calibri" w:hAnsi="Arial" w:cs="Arial"/>
          <w:noProof/>
          <w:color w:val="000000" w:themeColor="text1"/>
          <w:sz w:val="20"/>
          <w:szCs w:val="20"/>
          <w:lang w:val="en-US"/>
        </w:rPr>
        <w:t>2024)</w:t>
      </w:r>
      <w:r w:rsidRPr="00BC5F1D">
        <w:rPr>
          <w:rFonts w:ascii="Arial" w:eastAsia="Calibri" w:hAnsi="Arial" w:cs="Arial"/>
          <w:color w:val="000000" w:themeColor="text1"/>
          <w:sz w:val="20"/>
          <w:szCs w:val="20"/>
        </w:rPr>
        <w:fldChar w:fldCharType="end"/>
      </w:r>
      <w:r w:rsidRPr="00BC5F1D">
        <w:rPr>
          <w:rFonts w:ascii="Arial" w:hAnsi="Arial" w:cs="Arial"/>
          <w:sz w:val="20"/>
          <w:szCs w:val="20"/>
          <w:lang w:val="en-US"/>
        </w:rPr>
        <w:t xml:space="preserve"> for polyphenols (0.271 µg GAE/100g DM), flavonoids (0.218 µg QE/100g DM), and tannins (0.016 µg CE/100g DM) in </w:t>
      </w:r>
      <w:proofErr w:type="spellStart"/>
      <w:r w:rsidRPr="00BC5F1D">
        <w:rPr>
          <w:rFonts w:ascii="Arial" w:hAnsi="Arial" w:cs="Arial"/>
          <w:i/>
          <w:iCs/>
          <w:sz w:val="20"/>
          <w:szCs w:val="20"/>
          <w:lang w:val="en-US"/>
        </w:rPr>
        <w:t>Dacryodes</w:t>
      </w:r>
      <w:proofErr w:type="spellEnd"/>
      <w:r w:rsidRPr="00BC5F1D">
        <w:rPr>
          <w:rFonts w:ascii="Arial" w:hAnsi="Arial" w:cs="Arial"/>
          <w:i/>
          <w:iCs/>
          <w:sz w:val="20"/>
          <w:szCs w:val="20"/>
          <w:lang w:val="en-US"/>
        </w:rPr>
        <w:t xml:space="preserve"> edulis</w:t>
      </w:r>
      <w:r w:rsidRPr="00BC5F1D">
        <w:rPr>
          <w:rFonts w:ascii="Arial" w:hAnsi="Arial" w:cs="Arial"/>
          <w:sz w:val="20"/>
          <w:szCs w:val="20"/>
          <w:lang w:val="en-US"/>
        </w:rPr>
        <w:t xml:space="preserve"> bark powders. </w:t>
      </w:r>
    </w:p>
    <w:p w14:paraId="65E0A03A" w14:textId="78488DDE" w:rsidR="006C647B" w:rsidRPr="00BC5F1D" w:rsidRDefault="006C647B" w:rsidP="006C647B">
      <w:pPr>
        <w:spacing w:line="360" w:lineRule="auto"/>
        <w:jc w:val="both"/>
        <w:rPr>
          <w:rFonts w:ascii="Arial" w:hAnsi="Arial" w:cs="Arial"/>
          <w:sz w:val="20"/>
          <w:szCs w:val="20"/>
          <w:lang w:val="en-US"/>
        </w:rPr>
      </w:pPr>
      <w:r w:rsidRPr="00BC5F1D">
        <w:rPr>
          <w:rFonts w:ascii="Arial" w:hAnsi="Arial" w:cs="Arial"/>
          <w:sz w:val="20"/>
          <w:szCs w:val="20"/>
          <w:lang w:val="en-US"/>
        </w:rPr>
        <w:t xml:space="preserve">The differences in the contents of bioactive compounds, which are primarily secondary metabolites, can be explained by the fact that they are synthesized by the plant in response to external stresses it encounters (temperature, human activity, rodents, etc.). Additionally, factors such as post-harvest treatments like grinding and sieving, physicochemical characteristics such as particle size and specific surface area of the granules, the extraction method of these compounds, and the type of solvent used </w:t>
      </w:r>
      <w:r w:rsidRPr="00BC5F1D">
        <w:rPr>
          <w:rFonts w:ascii="Arial" w:hAnsi="Arial" w:cs="Arial"/>
          <w:sz w:val="20"/>
          <w:szCs w:val="20"/>
          <w:lang w:val="en-US"/>
        </w:rPr>
        <w:lastRenderedPageBreak/>
        <w:t>can also account for the observed differences in the bioactive compound contents</w:t>
      </w:r>
      <w:r w:rsidRPr="00BC5F1D">
        <w:rPr>
          <w:rFonts w:ascii="Arial" w:eastAsia="Calibri" w:hAnsi="Arial" w:cs="Arial"/>
          <w:color w:val="000000" w:themeColor="text1"/>
          <w:sz w:val="20"/>
          <w:szCs w:val="20"/>
          <w:lang w:val="en-US"/>
        </w:rPr>
        <w:t xml:space="preserve"> </w:t>
      </w:r>
      <w:r w:rsidRPr="00BC5F1D">
        <w:rPr>
          <w:rFonts w:ascii="Arial" w:eastAsia="Calibri" w:hAnsi="Arial" w:cs="Arial"/>
          <w:color w:val="000000" w:themeColor="text1"/>
          <w:sz w:val="20"/>
          <w:szCs w:val="20"/>
        </w:rPr>
        <w:fldChar w:fldCharType="begin" w:fldLock="1"/>
      </w:r>
      <w:r w:rsidRPr="00BC5F1D">
        <w:rPr>
          <w:rFonts w:ascii="Arial" w:eastAsia="Calibri" w:hAnsi="Arial" w:cs="Arial"/>
          <w:color w:val="000000" w:themeColor="text1"/>
          <w:sz w:val="20"/>
          <w:szCs w:val="20"/>
          <w:lang w:val="en-US"/>
        </w:rPr>
        <w:instrText>ADDIN CSL_CITATION {"citationItems":[{"id":"ITEM-1","itemData":{"ISBN":"1588299937","abstract":"Annotation Plant Secondary Metabolites provides reliable assays to meet the challenge of fulfilling the huge demand for feed. It details plant-animal interactions and presents methodologies that may also be used to determine plant secondary metabolites in human food. In addition, the volume contains methods for analysis of some important plant secondary metabolites, which are written in a recipe-like format designed for direct practical use. Trypsin inhibitor -- Chymotrypsin inhibitor -- [alpha]-Amylase inhibitor -- Phytohemagglutin/lectin -- Phytic acid -- Oxalic acid -- Nitrate and nitrite -- L-mimosine ([beta]-(3hydroxy-4-pyridone-1-yl)- L-alanine) -- Canavanine -- L-DOPA (L-3, 4-dihydroxyphenylalanine) -- Glucosinolates -- Cyanogenic glucosides/cyanogens -- Tannins -- Gossypol -- Chlorogenic acid -- Saponins -- Phorbol esters -- Alkaloids.","author":[{"dropping-particle":"","family":"Makkar","given":"Harinder P. S.","non-dropping-particle":"","parse-names":false,"suffix":""},{"dropping-particle":"","family":"Siddhuraju","given":"P.","non-dropping-particle":"","parse-names":false,"suffix":""},{"dropping-particle":"","family":"Becker","given":"Klaus.","non-dropping-particle":"","parse-names":false,"suffix":""}],"id":"ITEM-1","issued":{"date-parts":[["2007"]]},"number-of-pages":"130","publisher":"Humana Press Inc., Totowa, New Jersey 07512","title":"Plant secondary metabolites","type":"book"},"uris":["http://www.mendeley.com/documents/?uuid=ba2188ec-2aa6-3854-b5d2-942a114c7dc8"]}],"mendeley":{"formattedCitation":"(Makkar et al., 2007)","plainTextFormattedCitation":"(Makkar et al., 2007)","previouslyFormattedCitation":"(Makkar et al., 2007)"},"properties":{"noteIndex":0},"schema":"https://github.com/citation-style-language/schema/raw/master/csl-citation.json"}</w:instrText>
      </w:r>
      <w:r w:rsidRPr="00BC5F1D">
        <w:rPr>
          <w:rFonts w:ascii="Arial" w:eastAsia="Calibri" w:hAnsi="Arial" w:cs="Arial"/>
          <w:color w:val="000000" w:themeColor="text1"/>
          <w:sz w:val="20"/>
          <w:szCs w:val="20"/>
        </w:rPr>
        <w:fldChar w:fldCharType="separate"/>
      </w:r>
      <w:r w:rsidRPr="00BC5F1D">
        <w:rPr>
          <w:rFonts w:ascii="Arial" w:eastAsia="Calibri" w:hAnsi="Arial" w:cs="Arial"/>
          <w:noProof/>
          <w:color w:val="000000" w:themeColor="text1"/>
          <w:sz w:val="20"/>
          <w:szCs w:val="20"/>
          <w:lang w:val="en-US"/>
        </w:rPr>
        <w:t>(Makkar et al., 2007)</w:t>
      </w:r>
      <w:r w:rsidRPr="00BC5F1D">
        <w:rPr>
          <w:rFonts w:ascii="Arial" w:eastAsia="Calibri" w:hAnsi="Arial" w:cs="Arial"/>
          <w:color w:val="000000" w:themeColor="text1"/>
          <w:sz w:val="20"/>
          <w:szCs w:val="20"/>
        </w:rPr>
        <w:fldChar w:fldCharType="end"/>
      </w:r>
      <w:r w:rsidRPr="00BC5F1D">
        <w:rPr>
          <w:rFonts w:ascii="Arial" w:eastAsia="Calibri" w:hAnsi="Arial" w:cs="Arial"/>
          <w:color w:val="FF0000"/>
          <w:sz w:val="20"/>
          <w:szCs w:val="20"/>
          <w:lang w:val="en-US"/>
        </w:rPr>
        <w:t xml:space="preserve">. </w:t>
      </w:r>
      <w:r w:rsidRPr="00BC5F1D">
        <w:rPr>
          <w:rFonts w:ascii="Arial" w:hAnsi="Arial" w:cs="Arial"/>
          <w:sz w:val="20"/>
          <w:szCs w:val="20"/>
          <w:lang w:val="en-US"/>
        </w:rPr>
        <w:t>In light of these results, the powders from these three plant matrices exhibit immense bioactive potential that could be utilized in the fight against diabetes.</w:t>
      </w:r>
    </w:p>
    <w:p w14:paraId="3A2BC9B8" w14:textId="1961756C" w:rsidR="00073A9D" w:rsidRPr="00BC5F1D" w:rsidRDefault="00073A9D" w:rsidP="00073A9D">
      <w:pPr>
        <w:spacing w:line="360" w:lineRule="auto"/>
        <w:jc w:val="both"/>
        <w:rPr>
          <w:rFonts w:ascii="Arial" w:eastAsia="Calibri" w:hAnsi="Arial" w:cs="Arial"/>
          <w:i/>
          <w:iCs/>
          <w:sz w:val="20"/>
          <w:szCs w:val="20"/>
          <w:lang w:val="en-US"/>
        </w:rPr>
      </w:pPr>
      <w:bookmarkStart w:id="5" w:name="_Hlk189434390"/>
      <w:r w:rsidRPr="00BC5F1D">
        <w:rPr>
          <w:rFonts w:ascii="Arial" w:eastAsia="Calibri" w:hAnsi="Arial" w:cs="Arial"/>
          <w:b/>
          <w:sz w:val="20"/>
          <w:szCs w:val="20"/>
          <w:lang w:val="en-US"/>
        </w:rPr>
        <w:t xml:space="preserve">Table </w:t>
      </w:r>
      <w:r w:rsidR="00504BF3" w:rsidRPr="00BC5F1D">
        <w:rPr>
          <w:rFonts w:ascii="Arial" w:eastAsia="Calibri" w:hAnsi="Arial" w:cs="Arial"/>
          <w:b/>
          <w:sz w:val="20"/>
          <w:szCs w:val="20"/>
          <w:lang w:val="en-US"/>
        </w:rPr>
        <w:t>3</w:t>
      </w:r>
      <w:r w:rsidR="00504BF3" w:rsidRPr="00BC5F1D">
        <w:rPr>
          <w:rFonts w:ascii="Arial" w:eastAsia="Calibri" w:hAnsi="Arial" w:cs="Arial"/>
          <w:sz w:val="20"/>
          <w:szCs w:val="20"/>
          <w:lang w:val="en-US"/>
        </w:rPr>
        <w:t>:</w:t>
      </w:r>
      <w:r w:rsidRPr="00BC5F1D">
        <w:rPr>
          <w:rFonts w:ascii="Arial" w:eastAsia="Calibri" w:hAnsi="Arial" w:cs="Arial"/>
          <w:sz w:val="20"/>
          <w:szCs w:val="20"/>
          <w:lang w:val="en-US"/>
        </w:rPr>
        <w:t xml:space="preserve"> Bioactive compounds </w:t>
      </w:r>
      <w:r w:rsidR="000452B1" w:rsidRPr="00BC5F1D">
        <w:rPr>
          <w:rFonts w:ascii="Arial" w:eastAsia="Calibri" w:hAnsi="Arial" w:cs="Arial"/>
          <w:sz w:val="20"/>
          <w:szCs w:val="20"/>
          <w:lang w:val="en-US"/>
        </w:rPr>
        <w:t>of</w:t>
      </w:r>
      <w:r w:rsidRPr="00BC5F1D">
        <w:rPr>
          <w:rFonts w:ascii="Arial" w:eastAsia="Calibri" w:hAnsi="Arial" w:cs="Arial"/>
          <w:sz w:val="20"/>
          <w:szCs w:val="20"/>
          <w:lang w:val="en-US"/>
        </w:rPr>
        <w:t xml:space="preserve"> powdered lea</w:t>
      </w:r>
      <w:r w:rsidR="000D5819" w:rsidRPr="00BC5F1D">
        <w:rPr>
          <w:rFonts w:ascii="Arial" w:eastAsia="Calibri" w:hAnsi="Arial" w:cs="Arial"/>
          <w:sz w:val="20"/>
          <w:szCs w:val="20"/>
          <w:lang w:val="en-US"/>
        </w:rPr>
        <w:t>ves</w:t>
      </w:r>
      <w:r w:rsidR="001228A1" w:rsidRPr="00BC5F1D">
        <w:rPr>
          <w:rFonts w:ascii="Arial" w:eastAsia="Calibri" w:hAnsi="Arial" w:cs="Arial"/>
          <w:sz w:val="20"/>
          <w:szCs w:val="20"/>
          <w:lang w:val="en-US"/>
        </w:rPr>
        <w:t xml:space="preserve"> </w:t>
      </w:r>
      <w:r w:rsidRPr="00BC5F1D">
        <w:rPr>
          <w:rFonts w:ascii="Arial" w:eastAsia="Calibri" w:hAnsi="Arial" w:cs="Arial"/>
          <w:sz w:val="20"/>
          <w:szCs w:val="20"/>
          <w:lang w:val="en-US"/>
        </w:rPr>
        <w:t xml:space="preserve">of </w:t>
      </w:r>
      <w:r w:rsidRPr="00BC5F1D">
        <w:rPr>
          <w:rFonts w:ascii="Arial" w:eastAsia="Calibri" w:hAnsi="Arial" w:cs="Arial"/>
          <w:i/>
          <w:iCs/>
          <w:sz w:val="20"/>
          <w:szCs w:val="20"/>
          <w:lang w:val="en-US"/>
        </w:rPr>
        <w:t>A</w:t>
      </w:r>
      <w:r w:rsidR="000F57C0">
        <w:rPr>
          <w:rFonts w:ascii="Arial" w:eastAsia="Calibri" w:hAnsi="Arial" w:cs="Arial"/>
          <w:i/>
          <w:iCs/>
          <w:sz w:val="20"/>
          <w:szCs w:val="20"/>
          <w:lang w:val="en-US"/>
        </w:rPr>
        <w:t>.</w:t>
      </w:r>
      <w:r w:rsidRPr="00BC5F1D">
        <w:rPr>
          <w:rFonts w:ascii="Arial" w:eastAsia="Calibri" w:hAnsi="Arial" w:cs="Arial"/>
          <w:i/>
          <w:iCs/>
          <w:sz w:val="20"/>
          <w:szCs w:val="20"/>
          <w:lang w:val="en-US"/>
        </w:rPr>
        <w:t xml:space="preserve"> digitata, C</w:t>
      </w:r>
      <w:r w:rsidR="000F57C0">
        <w:rPr>
          <w:rFonts w:ascii="Arial" w:eastAsia="Calibri" w:hAnsi="Arial" w:cs="Arial"/>
          <w:i/>
          <w:iCs/>
          <w:sz w:val="20"/>
          <w:szCs w:val="20"/>
          <w:lang w:val="en-US"/>
        </w:rPr>
        <w:t>.</w:t>
      </w:r>
      <w:r w:rsidRPr="00BC5F1D">
        <w:rPr>
          <w:rFonts w:ascii="Arial" w:eastAsia="Calibri" w:hAnsi="Arial" w:cs="Arial"/>
          <w:i/>
          <w:iCs/>
          <w:sz w:val="20"/>
          <w:szCs w:val="20"/>
          <w:lang w:val="en-US"/>
        </w:rPr>
        <w:t xml:space="preserve"> </w:t>
      </w:r>
      <w:proofErr w:type="spellStart"/>
      <w:r w:rsidRPr="00BC5F1D">
        <w:rPr>
          <w:rFonts w:ascii="Arial" w:eastAsia="Calibri" w:hAnsi="Arial" w:cs="Arial"/>
          <w:i/>
          <w:iCs/>
          <w:sz w:val="20"/>
          <w:szCs w:val="20"/>
          <w:lang w:val="en-US"/>
        </w:rPr>
        <w:t>olitorius</w:t>
      </w:r>
      <w:proofErr w:type="spellEnd"/>
      <w:r w:rsidRPr="00BC5F1D">
        <w:rPr>
          <w:rFonts w:ascii="Arial" w:eastAsia="Calibri" w:hAnsi="Arial" w:cs="Arial"/>
          <w:i/>
          <w:iCs/>
          <w:sz w:val="20"/>
          <w:szCs w:val="20"/>
          <w:lang w:val="en-US"/>
        </w:rPr>
        <w:t xml:space="preserve"> </w:t>
      </w:r>
      <w:r w:rsidRPr="00BC5F1D">
        <w:rPr>
          <w:rFonts w:ascii="Arial" w:eastAsia="Calibri" w:hAnsi="Arial" w:cs="Arial"/>
          <w:sz w:val="20"/>
          <w:szCs w:val="20"/>
          <w:lang w:val="en-US"/>
        </w:rPr>
        <w:t xml:space="preserve">and bark of </w:t>
      </w:r>
      <w:r w:rsidR="00481778" w:rsidRPr="00BC5F1D">
        <w:rPr>
          <w:rFonts w:ascii="Arial" w:hAnsi="Arial" w:cs="Arial"/>
          <w:i/>
          <w:iCs/>
          <w:sz w:val="20"/>
          <w:szCs w:val="20"/>
          <w:lang w:val="en-US"/>
        </w:rPr>
        <w:t>T</w:t>
      </w:r>
      <w:r w:rsidR="000F57C0">
        <w:rPr>
          <w:rFonts w:ascii="Arial" w:hAnsi="Arial" w:cs="Arial"/>
          <w:i/>
          <w:iCs/>
          <w:sz w:val="20"/>
          <w:szCs w:val="20"/>
          <w:lang w:val="en-US"/>
        </w:rPr>
        <w:t>.</w:t>
      </w:r>
      <w:r w:rsidR="00481778" w:rsidRPr="00BC5F1D">
        <w:rPr>
          <w:rFonts w:ascii="Arial" w:hAnsi="Arial" w:cs="Arial"/>
          <w:i/>
          <w:iCs/>
          <w:sz w:val="20"/>
          <w:szCs w:val="20"/>
          <w:lang w:val="en-US"/>
        </w:rPr>
        <w:t xml:space="preserve"> cordifolia</w:t>
      </w:r>
    </w:p>
    <w:tbl>
      <w:tblPr>
        <w:tblW w:w="9072" w:type="dxa"/>
        <w:tblLook w:val="04A0" w:firstRow="1" w:lastRow="0" w:firstColumn="1" w:lastColumn="0" w:noHBand="0" w:noVBand="1"/>
      </w:tblPr>
      <w:tblGrid>
        <w:gridCol w:w="2977"/>
        <w:gridCol w:w="1843"/>
        <w:gridCol w:w="2126"/>
        <w:gridCol w:w="2126"/>
      </w:tblGrid>
      <w:tr w:rsidR="00073A9D" w:rsidRPr="00BC5F1D" w14:paraId="2DCD3F0F" w14:textId="77777777" w:rsidTr="00025C75">
        <w:trPr>
          <w:trHeight w:val="497"/>
        </w:trPr>
        <w:tc>
          <w:tcPr>
            <w:tcW w:w="2977" w:type="dxa"/>
            <w:tcBorders>
              <w:top w:val="single" w:sz="4" w:space="0" w:color="auto"/>
              <w:left w:val="nil"/>
              <w:bottom w:val="single" w:sz="4" w:space="0" w:color="auto"/>
              <w:right w:val="nil"/>
            </w:tcBorders>
            <w:vAlign w:val="center"/>
          </w:tcPr>
          <w:p w14:paraId="3CE6767B" w14:textId="0A546C57" w:rsidR="00073A9D" w:rsidRPr="00BC5F1D" w:rsidRDefault="00073A9D" w:rsidP="000F57C0">
            <w:pPr>
              <w:spacing w:before="40" w:after="100" w:afterAutospacing="1" w:line="480" w:lineRule="auto"/>
              <w:rPr>
                <w:rFonts w:ascii="Arial" w:eastAsia="Calibri" w:hAnsi="Arial" w:cs="Arial"/>
                <w:b/>
                <w:bCs/>
                <w:sz w:val="18"/>
                <w:szCs w:val="18"/>
                <w:lang w:val="en-US"/>
              </w:rPr>
            </w:pPr>
            <w:r w:rsidRPr="00BC5F1D">
              <w:rPr>
                <w:rFonts w:ascii="Arial" w:eastAsia="Calibri" w:hAnsi="Arial" w:cs="Arial"/>
                <w:b/>
                <w:bCs/>
                <w:sz w:val="18"/>
                <w:szCs w:val="18"/>
                <w:lang w:val="en-US"/>
              </w:rPr>
              <w:t>Bioactive compounds</w:t>
            </w:r>
          </w:p>
        </w:tc>
        <w:tc>
          <w:tcPr>
            <w:tcW w:w="1843" w:type="dxa"/>
            <w:tcBorders>
              <w:top w:val="single" w:sz="4" w:space="0" w:color="auto"/>
              <w:left w:val="nil"/>
              <w:bottom w:val="single" w:sz="4" w:space="0" w:color="auto"/>
              <w:right w:val="nil"/>
            </w:tcBorders>
            <w:vAlign w:val="center"/>
          </w:tcPr>
          <w:p w14:paraId="705C0FF7" w14:textId="338E1683" w:rsidR="00073A9D" w:rsidRPr="00BC5F1D" w:rsidRDefault="00073A9D" w:rsidP="000F57C0">
            <w:pPr>
              <w:spacing w:before="40" w:after="100" w:afterAutospacing="1" w:line="480" w:lineRule="auto"/>
              <w:jc w:val="center"/>
              <w:rPr>
                <w:rFonts w:ascii="Arial" w:eastAsia="Calibri" w:hAnsi="Arial" w:cs="Arial"/>
                <w:b/>
                <w:bCs/>
                <w:i/>
                <w:iCs/>
                <w:sz w:val="18"/>
                <w:szCs w:val="18"/>
                <w:lang w:val="en-US"/>
              </w:rPr>
            </w:pPr>
            <w:r w:rsidRPr="00BC5F1D">
              <w:rPr>
                <w:rFonts w:ascii="Arial" w:eastAsia="Calibri" w:hAnsi="Arial" w:cs="Arial"/>
                <w:b/>
                <w:bCs/>
                <w:i/>
                <w:iCs/>
                <w:sz w:val="18"/>
                <w:szCs w:val="18"/>
                <w:lang w:val="en-US"/>
              </w:rPr>
              <w:t>A</w:t>
            </w:r>
            <w:r w:rsidR="000F57C0">
              <w:rPr>
                <w:rFonts w:ascii="Arial" w:eastAsia="Calibri" w:hAnsi="Arial" w:cs="Arial"/>
                <w:b/>
                <w:bCs/>
                <w:i/>
                <w:iCs/>
                <w:sz w:val="18"/>
                <w:szCs w:val="18"/>
                <w:lang w:val="en-US"/>
              </w:rPr>
              <w:t>.</w:t>
            </w:r>
            <w:r w:rsidRPr="00BC5F1D">
              <w:rPr>
                <w:rFonts w:ascii="Arial" w:eastAsia="Calibri" w:hAnsi="Arial" w:cs="Arial"/>
                <w:b/>
                <w:bCs/>
                <w:i/>
                <w:iCs/>
                <w:sz w:val="18"/>
                <w:szCs w:val="18"/>
                <w:lang w:val="en-US"/>
              </w:rPr>
              <w:t xml:space="preserve"> digitata</w:t>
            </w:r>
          </w:p>
        </w:tc>
        <w:tc>
          <w:tcPr>
            <w:tcW w:w="2126" w:type="dxa"/>
            <w:tcBorders>
              <w:top w:val="single" w:sz="4" w:space="0" w:color="auto"/>
              <w:left w:val="nil"/>
              <w:bottom w:val="single" w:sz="4" w:space="0" w:color="auto"/>
              <w:right w:val="nil"/>
            </w:tcBorders>
            <w:vAlign w:val="center"/>
          </w:tcPr>
          <w:p w14:paraId="16DD7B48" w14:textId="0BA7E3DF" w:rsidR="00073A9D" w:rsidRPr="00BC5F1D" w:rsidRDefault="00073A9D" w:rsidP="000F57C0">
            <w:pPr>
              <w:spacing w:before="40" w:after="100" w:afterAutospacing="1" w:line="480" w:lineRule="auto"/>
              <w:jc w:val="center"/>
              <w:rPr>
                <w:rFonts w:ascii="Arial" w:eastAsia="Calibri" w:hAnsi="Arial" w:cs="Arial"/>
                <w:b/>
                <w:bCs/>
                <w:i/>
                <w:iCs/>
                <w:sz w:val="18"/>
                <w:szCs w:val="18"/>
                <w:lang w:val="en-US"/>
              </w:rPr>
            </w:pPr>
            <w:r w:rsidRPr="00BC5F1D">
              <w:rPr>
                <w:rFonts w:ascii="Arial" w:eastAsia="Calibri" w:hAnsi="Arial" w:cs="Arial"/>
                <w:b/>
                <w:bCs/>
                <w:i/>
                <w:iCs/>
                <w:sz w:val="18"/>
                <w:szCs w:val="18"/>
                <w:lang w:val="en-US"/>
              </w:rPr>
              <w:t>C</w:t>
            </w:r>
            <w:r w:rsidR="000F57C0">
              <w:rPr>
                <w:rFonts w:ascii="Arial" w:eastAsia="Calibri" w:hAnsi="Arial" w:cs="Arial"/>
                <w:b/>
                <w:bCs/>
                <w:i/>
                <w:iCs/>
                <w:sz w:val="18"/>
                <w:szCs w:val="18"/>
                <w:lang w:val="en-US"/>
              </w:rPr>
              <w:t>.</w:t>
            </w:r>
            <w:r w:rsidRPr="00BC5F1D">
              <w:rPr>
                <w:rFonts w:ascii="Arial" w:eastAsia="Calibri" w:hAnsi="Arial" w:cs="Arial"/>
                <w:b/>
                <w:bCs/>
                <w:i/>
                <w:iCs/>
                <w:sz w:val="18"/>
                <w:szCs w:val="18"/>
                <w:lang w:val="en-US"/>
              </w:rPr>
              <w:t xml:space="preserve"> </w:t>
            </w:r>
            <w:proofErr w:type="spellStart"/>
            <w:r w:rsidRPr="00BC5F1D">
              <w:rPr>
                <w:rFonts w:ascii="Arial" w:eastAsia="Calibri" w:hAnsi="Arial" w:cs="Arial"/>
                <w:b/>
                <w:bCs/>
                <w:i/>
                <w:iCs/>
                <w:sz w:val="18"/>
                <w:szCs w:val="18"/>
                <w:lang w:val="en-US"/>
              </w:rPr>
              <w:t>olitorius</w:t>
            </w:r>
            <w:proofErr w:type="spellEnd"/>
          </w:p>
        </w:tc>
        <w:tc>
          <w:tcPr>
            <w:tcW w:w="2126" w:type="dxa"/>
            <w:tcBorders>
              <w:top w:val="single" w:sz="4" w:space="0" w:color="auto"/>
              <w:left w:val="nil"/>
              <w:bottom w:val="single" w:sz="4" w:space="0" w:color="auto"/>
              <w:right w:val="nil"/>
            </w:tcBorders>
            <w:vAlign w:val="center"/>
          </w:tcPr>
          <w:p w14:paraId="49CF3912" w14:textId="2B9B6E87" w:rsidR="00073A9D" w:rsidRPr="00BC5F1D" w:rsidRDefault="00481778" w:rsidP="000F57C0">
            <w:pPr>
              <w:spacing w:before="40" w:after="100" w:afterAutospacing="1" w:line="480" w:lineRule="auto"/>
              <w:jc w:val="center"/>
              <w:rPr>
                <w:rFonts w:ascii="Arial" w:eastAsia="Calibri" w:hAnsi="Arial" w:cs="Arial"/>
                <w:b/>
                <w:bCs/>
                <w:i/>
                <w:iCs/>
                <w:sz w:val="18"/>
                <w:szCs w:val="18"/>
                <w:lang w:val="en-US"/>
              </w:rPr>
            </w:pPr>
            <w:r w:rsidRPr="00BC5F1D">
              <w:rPr>
                <w:rFonts w:ascii="Arial" w:hAnsi="Arial" w:cs="Arial"/>
                <w:b/>
                <w:bCs/>
                <w:i/>
                <w:iCs/>
                <w:sz w:val="18"/>
                <w:szCs w:val="18"/>
                <w:lang w:val="en-US"/>
              </w:rPr>
              <w:t>T</w:t>
            </w:r>
            <w:r w:rsidR="000F57C0">
              <w:rPr>
                <w:rFonts w:ascii="Arial" w:hAnsi="Arial" w:cs="Arial"/>
                <w:b/>
                <w:bCs/>
                <w:i/>
                <w:iCs/>
                <w:sz w:val="18"/>
                <w:szCs w:val="18"/>
                <w:lang w:val="en-US"/>
              </w:rPr>
              <w:t>.</w:t>
            </w:r>
            <w:r w:rsidRPr="00BC5F1D">
              <w:rPr>
                <w:rFonts w:ascii="Arial" w:hAnsi="Arial" w:cs="Arial"/>
                <w:b/>
                <w:bCs/>
                <w:i/>
                <w:iCs/>
                <w:sz w:val="18"/>
                <w:szCs w:val="18"/>
                <w:lang w:val="en-US"/>
              </w:rPr>
              <w:t xml:space="preserve"> cordifolia</w:t>
            </w:r>
          </w:p>
        </w:tc>
      </w:tr>
      <w:tr w:rsidR="00073A9D" w:rsidRPr="00BC5F1D" w14:paraId="4CF09DB5" w14:textId="77777777" w:rsidTr="00025C75">
        <w:trPr>
          <w:trHeight w:val="691"/>
        </w:trPr>
        <w:tc>
          <w:tcPr>
            <w:tcW w:w="2977" w:type="dxa"/>
            <w:tcBorders>
              <w:left w:val="nil"/>
              <w:bottom w:val="nil"/>
              <w:right w:val="nil"/>
            </w:tcBorders>
          </w:tcPr>
          <w:p w14:paraId="35F8DBEC" w14:textId="2420D3E0" w:rsidR="00073A9D" w:rsidRPr="00BC5F1D" w:rsidRDefault="00073A9D" w:rsidP="00073A9D">
            <w:pPr>
              <w:spacing w:before="120" w:after="0" w:line="480" w:lineRule="auto"/>
              <w:rPr>
                <w:rFonts w:ascii="Arial" w:eastAsia="Calibri" w:hAnsi="Arial" w:cs="Arial"/>
                <w:sz w:val="18"/>
                <w:szCs w:val="18"/>
                <w:lang w:val="en-US"/>
              </w:rPr>
            </w:pPr>
            <w:r w:rsidRPr="00BC5F1D">
              <w:rPr>
                <w:rFonts w:ascii="Arial" w:eastAsia="Calibri" w:hAnsi="Arial" w:cs="Arial"/>
                <w:sz w:val="18"/>
                <w:szCs w:val="18"/>
                <w:lang w:val="en-US"/>
              </w:rPr>
              <w:t>Total polyphenols</w:t>
            </w:r>
            <w:r w:rsidR="00504BF3" w:rsidRPr="00BC5F1D">
              <w:rPr>
                <w:rFonts w:ascii="Arial" w:eastAsia="Calibri" w:hAnsi="Arial" w:cs="Arial"/>
                <w:sz w:val="18"/>
                <w:szCs w:val="18"/>
                <w:lang w:val="en-US"/>
              </w:rPr>
              <w:t xml:space="preserve"> (</w:t>
            </w:r>
            <w:r w:rsidR="008E46ED" w:rsidRPr="00BC5F1D">
              <w:rPr>
                <w:rFonts w:ascii="Arial" w:eastAsia="Calibri" w:hAnsi="Arial" w:cs="Arial"/>
                <w:sz w:val="18"/>
                <w:szCs w:val="18"/>
                <w:lang w:val="en-US"/>
              </w:rPr>
              <w:t>µ</w:t>
            </w:r>
            <w:r w:rsidR="00504BF3" w:rsidRPr="00BC5F1D">
              <w:rPr>
                <w:rFonts w:ascii="Arial" w:eastAsia="Calibri" w:hAnsi="Arial" w:cs="Arial"/>
                <w:sz w:val="18"/>
                <w:szCs w:val="18"/>
                <w:lang w:val="en-US"/>
              </w:rPr>
              <w:t>g GAE/</w:t>
            </w:r>
            <w:r w:rsidR="001228A1" w:rsidRPr="00BC5F1D">
              <w:rPr>
                <w:rFonts w:ascii="Arial" w:eastAsia="Calibri" w:hAnsi="Arial" w:cs="Arial"/>
                <w:sz w:val="18"/>
                <w:szCs w:val="18"/>
                <w:lang w:val="en-US"/>
              </w:rPr>
              <w:t>g DM</w:t>
            </w:r>
            <w:r w:rsidR="00504BF3" w:rsidRPr="00BC5F1D">
              <w:rPr>
                <w:rFonts w:ascii="Arial" w:eastAsia="Calibri" w:hAnsi="Arial" w:cs="Arial"/>
                <w:sz w:val="18"/>
                <w:szCs w:val="18"/>
                <w:lang w:val="en-US"/>
              </w:rPr>
              <w:t>)</w:t>
            </w:r>
          </w:p>
        </w:tc>
        <w:tc>
          <w:tcPr>
            <w:tcW w:w="1843" w:type="dxa"/>
            <w:tcBorders>
              <w:left w:val="nil"/>
              <w:bottom w:val="nil"/>
              <w:right w:val="nil"/>
            </w:tcBorders>
          </w:tcPr>
          <w:p w14:paraId="2719AC6D" w14:textId="3E6F70DD" w:rsidR="00073A9D" w:rsidRPr="00BC5F1D" w:rsidRDefault="00073A9D" w:rsidP="00504BF3">
            <w:pPr>
              <w:spacing w:before="120" w:after="0" w:line="480" w:lineRule="auto"/>
              <w:jc w:val="center"/>
              <w:rPr>
                <w:rFonts w:ascii="Arial" w:eastAsia="Calibri" w:hAnsi="Arial" w:cs="Arial"/>
                <w:sz w:val="18"/>
                <w:szCs w:val="18"/>
                <w:lang w:val="en-US"/>
              </w:rPr>
            </w:pPr>
            <w:r w:rsidRPr="00BC5F1D">
              <w:rPr>
                <w:rFonts w:ascii="Arial" w:eastAsia="Calibri" w:hAnsi="Arial" w:cs="Arial"/>
                <w:sz w:val="18"/>
                <w:szCs w:val="18"/>
                <w:lang w:val="en-US"/>
              </w:rPr>
              <w:t>1.90 ± 0.10</w:t>
            </w:r>
            <w:r w:rsidRPr="00BC5F1D">
              <w:rPr>
                <w:rFonts w:ascii="Arial" w:eastAsia="Calibri" w:hAnsi="Arial" w:cs="Arial"/>
                <w:sz w:val="18"/>
                <w:szCs w:val="18"/>
                <w:vertAlign w:val="superscript"/>
                <w:lang w:val="en-US"/>
              </w:rPr>
              <w:t>b</w:t>
            </w:r>
          </w:p>
        </w:tc>
        <w:tc>
          <w:tcPr>
            <w:tcW w:w="2126" w:type="dxa"/>
            <w:tcBorders>
              <w:left w:val="nil"/>
              <w:bottom w:val="nil"/>
              <w:right w:val="nil"/>
            </w:tcBorders>
          </w:tcPr>
          <w:p w14:paraId="1EF89436" w14:textId="649180FB" w:rsidR="00073A9D" w:rsidRPr="00BC5F1D" w:rsidRDefault="00073A9D" w:rsidP="00504BF3">
            <w:pPr>
              <w:spacing w:before="120" w:after="0" w:line="480" w:lineRule="auto"/>
              <w:jc w:val="center"/>
              <w:rPr>
                <w:rFonts w:ascii="Arial" w:eastAsia="Calibri" w:hAnsi="Arial" w:cs="Arial"/>
                <w:sz w:val="18"/>
                <w:szCs w:val="18"/>
                <w:lang w:val="en-US"/>
              </w:rPr>
            </w:pPr>
            <w:r w:rsidRPr="00BC5F1D">
              <w:rPr>
                <w:rFonts w:ascii="Arial" w:eastAsia="Calibri" w:hAnsi="Arial" w:cs="Arial"/>
                <w:sz w:val="18"/>
                <w:szCs w:val="18"/>
                <w:lang w:val="en-US"/>
              </w:rPr>
              <w:t>0.75 ± 0.10</w:t>
            </w:r>
            <w:r w:rsidRPr="00BC5F1D">
              <w:rPr>
                <w:rFonts w:ascii="Arial" w:eastAsia="Calibri" w:hAnsi="Arial" w:cs="Arial"/>
                <w:sz w:val="18"/>
                <w:szCs w:val="18"/>
                <w:vertAlign w:val="superscript"/>
                <w:lang w:val="en-US"/>
              </w:rPr>
              <w:t>a</w:t>
            </w:r>
          </w:p>
        </w:tc>
        <w:tc>
          <w:tcPr>
            <w:tcW w:w="2126" w:type="dxa"/>
            <w:tcBorders>
              <w:left w:val="nil"/>
              <w:bottom w:val="nil"/>
              <w:right w:val="nil"/>
            </w:tcBorders>
          </w:tcPr>
          <w:p w14:paraId="415AA173" w14:textId="7DE20942" w:rsidR="00073A9D" w:rsidRPr="00BC5F1D" w:rsidRDefault="00073A9D" w:rsidP="00504BF3">
            <w:pPr>
              <w:spacing w:before="120" w:after="0" w:line="480" w:lineRule="auto"/>
              <w:jc w:val="center"/>
              <w:rPr>
                <w:rFonts w:ascii="Arial" w:eastAsia="Calibri" w:hAnsi="Arial" w:cs="Arial"/>
                <w:color w:val="000000" w:themeColor="text1"/>
                <w:sz w:val="18"/>
                <w:szCs w:val="18"/>
                <w:lang w:val="en-US"/>
              </w:rPr>
            </w:pPr>
            <w:r w:rsidRPr="00BC5F1D">
              <w:rPr>
                <w:rFonts w:ascii="Arial" w:eastAsia="Calibri" w:hAnsi="Arial" w:cs="Arial"/>
                <w:color w:val="000000" w:themeColor="text1"/>
                <w:sz w:val="18"/>
                <w:szCs w:val="18"/>
                <w:lang w:val="en-US"/>
              </w:rPr>
              <w:t>2.92 ± 0.02</w:t>
            </w:r>
            <w:r w:rsidRPr="00BC5F1D">
              <w:rPr>
                <w:rFonts w:ascii="Arial" w:eastAsia="Calibri" w:hAnsi="Arial" w:cs="Arial"/>
                <w:color w:val="000000" w:themeColor="text1"/>
                <w:sz w:val="18"/>
                <w:szCs w:val="18"/>
                <w:vertAlign w:val="superscript"/>
                <w:lang w:val="en-US"/>
              </w:rPr>
              <w:t>c</w:t>
            </w:r>
          </w:p>
        </w:tc>
      </w:tr>
      <w:tr w:rsidR="00073A9D" w:rsidRPr="00BC5F1D" w14:paraId="64426781" w14:textId="77777777" w:rsidTr="00025C75">
        <w:trPr>
          <w:trHeight w:val="709"/>
        </w:trPr>
        <w:tc>
          <w:tcPr>
            <w:tcW w:w="2977" w:type="dxa"/>
            <w:tcBorders>
              <w:top w:val="nil"/>
              <w:left w:val="nil"/>
              <w:bottom w:val="nil"/>
              <w:right w:val="nil"/>
            </w:tcBorders>
          </w:tcPr>
          <w:p w14:paraId="45DEF5EE" w14:textId="3D805FAA" w:rsidR="00073A9D" w:rsidRPr="00BC5F1D" w:rsidRDefault="00073A9D" w:rsidP="00073A9D">
            <w:pPr>
              <w:spacing w:before="120" w:after="0" w:line="480" w:lineRule="auto"/>
              <w:rPr>
                <w:rFonts w:ascii="Arial" w:eastAsia="Calibri" w:hAnsi="Arial" w:cs="Arial"/>
                <w:sz w:val="18"/>
                <w:szCs w:val="18"/>
                <w:lang w:val="en-US"/>
              </w:rPr>
            </w:pPr>
            <w:r w:rsidRPr="00BC5F1D">
              <w:rPr>
                <w:rFonts w:ascii="Arial" w:eastAsia="Calibri" w:hAnsi="Arial" w:cs="Arial"/>
                <w:sz w:val="18"/>
                <w:szCs w:val="18"/>
                <w:lang w:val="en-US"/>
              </w:rPr>
              <w:t xml:space="preserve">Condensed </w:t>
            </w:r>
            <w:proofErr w:type="spellStart"/>
            <w:r w:rsidRPr="00BC5F1D">
              <w:rPr>
                <w:rFonts w:ascii="Arial" w:eastAsia="Calibri" w:hAnsi="Arial" w:cs="Arial"/>
                <w:sz w:val="18"/>
                <w:szCs w:val="18"/>
                <w:lang w:val="en-US"/>
              </w:rPr>
              <w:t>tanins</w:t>
            </w:r>
            <w:proofErr w:type="spellEnd"/>
            <w:r w:rsidR="00886B6B" w:rsidRPr="00BC5F1D">
              <w:rPr>
                <w:rFonts w:ascii="Arial" w:eastAsia="Calibri" w:hAnsi="Arial" w:cs="Arial"/>
                <w:sz w:val="18"/>
                <w:szCs w:val="18"/>
                <w:lang w:val="en-US"/>
              </w:rPr>
              <w:t xml:space="preserve"> (</w:t>
            </w:r>
            <w:r w:rsidR="008E46ED" w:rsidRPr="00BC5F1D">
              <w:rPr>
                <w:rFonts w:ascii="Arial" w:eastAsia="Calibri" w:hAnsi="Arial" w:cs="Arial"/>
                <w:sz w:val="18"/>
                <w:szCs w:val="18"/>
                <w:lang w:val="en-US"/>
              </w:rPr>
              <w:t>µ</w:t>
            </w:r>
            <w:r w:rsidR="00504BF3" w:rsidRPr="00BC5F1D">
              <w:rPr>
                <w:rFonts w:ascii="Arial" w:eastAsia="Calibri" w:hAnsi="Arial" w:cs="Arial"/>
                <w:sz w:val="18"/>
                <w:szCs w:val="18"/>
                <w:lang w:val="en-US"/>
              </w:rPr>
              <w:t>g</w:t>
            </w:r>
            <w:r w:rsidR="008E46ED" w:rsidRPr="00BC5F1D">
              <w:rPr>
                <w:rFonts w:ascii="Arial" w:eastAsia="Calibri" w:hAnsi="Arial" w:cs="Arial"/>
                <w:sz w:val="18"/>
                <w:szCs w:val="18"/>
                <w:lang w:val="en-US"/>
              </w:rPr>
              <w:t xml:space="preserve"> </w:t>
            </w:r>
            <w:r w:rsidR="00886B6B" w:rsidRPr="00BC5F1D">
              <w:rPr>
                <w:rFonts w:ascii="Arial" w:eastAsia="Calibri" w:hAnsi="Arial" w:cs="Arial"/>
                <w:sz w:val="18"/>
                <w:szCs w:val="18"/>
                <w:lang w:val="en-US"/>
              </w:rPr>
              <w:t>CE/</w:t>
            </w:r>
            <w:r w:rsidR="001228A1" w:rsidRPr="00BC5F1D">
              <w:rPr>
                <w:rFonts w:ascii="Arial" w:eastAsia="Calibri" w:hAnsi="Arial" w:cs="Arial"/>
                <w:sz w:val="18"/>
                <w:szCs w:val="18"/>
                <w:lang w:val="en-US"/>
              </w:rPr>
              <w:t>g DM</w:t>
            </w:r>
            <w:r w:rsidR="00504BF3" w:rsidRPr="00BC5F1D">
              <w:rPr>
                <w:rFonts w:ascii="Arial" w:eastAsia="Calibri" w:hAnsi="Arial" w:cs="Arial"/>
                <w:sz w:val="18"/>
                <w:szCs w:val="18"/>
                <w:lang w:val="en-US"/>
              </w:rPr>
              <w:t>)</w:t>
            </w:r>
          </w:p>
        </w:tc>
        <w:tc>
          <w:tcPr>
            <w:tcW w:w="1843" w:type="dxa"/>
            <w:tcBorders>
              <w:top w:val="nil"/>
              <w:left w:val="nil"/>
              <w:bottom w:val="nil"/>
              <w:right w:val="nil"/>
            </w:tcBorders>
          </w:tcPr>
          <w:p w14:paraId="158D88C0" w14:textId="51C5D4CA" w:rsidR="00073A9D" w:rsidRPr="00BC5F1D" w:rsidRDefault="00073A9D" w:rsidP="00504BF3">
            <w:pPr>
              <w:spacing w:before="120" w:after="0" w:line="480" w:lineRule="auto"/>
              <w:jc w:val="center"/>
              <w:rPr>
                <w:rFonts w:ascii="Arial" w:eastAsia="Calibri" w:hAnsi="Arial" w:cs="Arial"/>
                <w:sz w:val="18"/>
                <w:szCs w:val="18"/>
                <w:lang w:val="en-US"/>
              </w:rPr>
            </w:pPr>
            <w:r w:rsidRPr="00BC5F1D">
              <w:rPr>
                <w:rFonts w:ascii="Arial" w:eastAsia="Calibri" w:hAnsi="Arial" w:cs="Arial"/>
                <w:sz w:val="18"/>
                <w:szCs w:val="18"/>
                <w:lang w:val="en-US"/>
              </w:rPr>
              <w:t>0.58 ± 0.01</w:t>
            </w:r>
            <w:r w:rsidRPr="00BC5F1D">
              <w:rPr>
                <w:rFonts w:ascii="Arial" w:eastAsia="Calibri" w:hAnsi="Arial" w:cs="Arial"/>
                <w:sz w:val="18"/>
                <w:szCs w:val="18"/>
                <w:vertAlign w:val="superscript"/>
                <w:lang w:val="en-US"/>
              </w:rPr>
              <w:t>a</w:t>
            </w:r>
          </w:p>
        </w:tc>
        <w:tc>
          <w:tcPr>
            <w:tcW w:w="2126" w:type="dxa"/>
            <w:tcBorders>
              <w:top w:val="nil"/>
              <w:left w:val="nil"/>
              <w:bottom w:val="nil"/>
              <w:right w:val="nil"/>
            </w:tcBorders>
          </w:tcPr>
          <w:p w14:paraId="71C3E6B1" w14:textId="7AA6DDDE" w:rsidR="00073A9D" w:rsidRPr="00BC5F1D" w:rsidRDefault="00073A9D" w:rsidP="00504BF3">
            <w:pPr>
              <w:spacing w:before="120" w:after="0" w:line="480" w:lineRule="auto"/>
              <w:jc w:val="center"/>
              <w:rPr>
                <w:rFonts w:ascii="Arial" w:eastAsia="Calibri" w:hAnsi="Arial" w:cs="Arial"/>
                <w:sz w:val="18"/>
                <w:szCs w:val="18"/>
                <w:lang w:val="en-US"/>
              </w:rPr>
            </w:pPr>
            <w:r w:rsidRPr="00BC5F1D">
              <w:rPr>
                <w:rFonts w:ascii="Arial" w:eastAsia="Calibri" w:hAnsi="Arial" w:cs="Arial"/>
                <w:sz w:val="18"/>
                <w:szCs w:val="18"/>
                <w:lang w:val="en-US"/>
              </w:rPr>
              <w:t>0.85 ± 0.01</w:t>
            </w:r>
            <w:r w:rsidRPr="00BC5F1D">
              <w:rPr>
                <w:rFonts w:ascii="Arial" w:eastAsia="Calibri" w:hAnsi="Arial" w:cs="Arial"/>
                <w:sz w:val="18"/>
                <w:szCs w:val="18"/>
                <w:vertAlign w:val="superscript"/>
                <w:lang w:val="en-US"/>
              </w:rPr>
              <w:t>b</w:t>
            </w:r>
          </w:p>
        </w:tc>
        <w:tc>
          <w:tcPr>
            <w:tcW w:w="2126" w:type="dxa"/>
            <w:tcBorders>
              <w:top w:val="nil"/>
              <w:left w:val="nil"/>
              <w:bottom w:val="nil"/>
              <w:right w:val="nil"/>
            </w:tcBorders>
          </w:tcPr>
          <w:p w14:paraId="0376164E" w14:textId="7FCFAB07" w:rsidR="00073A9D" w:rsidRPr="00BC5F1D" w:rsidRDefault="00073A9D" w:rsidP="00504BF3">
            <w:pPr>
              <w:spacing w:before="120" w:after="0" w:line="480" w:lineRule="auto"/>
              <w:jc w:val="center"/>
              <w:rPr>
                <w:rFonts w:ascii="Arial" w:eastAsia="Calibri" w:hAnsi="Arial" w:cs="Arial"/>
                <w:color w:val="000000" w:themeColor="text1"/>
                <w:sz w:val="18"/>
                <w:szCs w:val="18"/>
                <w:lang w:val="en-US"/>
              </w:rPr>
            </w:pPr>
            <w:r w:rsidRPr="00BC5F1D">
              <w:rPr>
                <w:rFonts w:ascii="Arial" w:eastAsia="Calibri" w:hAnsi="Arial" w:cs="Arial"/>
                <w:color w:val="000000" w:themeColor="text1"/>
                <w:sz w:val="18"/>
                <w:szCs w:val="18"/>
                <w:lang w:val="en-US"/>
              </w:rPr>
              <w:t>3.05 ± 0.00</w:t>
            </w:r>
            <w:r w:rsidRPr="00BC5F1D">
              <w:rPr>
                <w:rFonts w:ascii="Arial" w:eastAsia="Calibri" w:hAnsi="Arial" w:cs="Arial"/>
                <w:color w:val="000000" w:themeColor="text1"/>
                <w:sz w:val="18"/>
                <w:szCs w:val="18"/>
                <w:vertAlign w:val="superscript"/>
                <w:lang w:val="en-US"/>
              </w:rPr>
              <w:t>c</w:t>
            </w:r>
          </w:p>
        </w:tc>
      </w:tr>
      <w:tr w:rsidR="00073A9D" w:rsidRPr="00BC5F1D" w14:paraId="38611F75" w14:textId="77777777" w:rsidTr="00025C75">
        <w:trPr>
          <w:trHeight w:val="380"/>
        </w:trPr>
        <w:tc>
          <w:tcPr>
            <w:tcW w:w="2977" w:type="dxa"/>
            <w:tcBorders>
              <w:top w:val="nil"/>
              <w:left w:val="nil"/>
              <w:bottom w:val="single" w:sz="4" w:space="0" w:color="auto"/>
              <w:right w:val="nil"/>
            </w:tcBorders>
          </w:tcPr>
          <w:p w14:paraId="6289B067" w14:textId="394B5163" w:rsidR="00073A9D" w:rsidRPr="00BC5F1D" w:rsidRDefault="00073A9D" w:rsidP="00073A9D">
            <w:pPr>
              <w:spacing w:before="120" w:after="0" w:line="480" w:lineRule="auto"/>
              <w:rPr>
                <w:rFonts w:ascii="Arial" w:eastAsia="Calibri" w:hAnsi="Arial" w:cs="Arial"/>
                <w:sz w:val="18"/>
                <w:szCs w:val="18"/>
                <w:lang w:val="en-US"/>
              </w:rPr>
            </w:pPr>
            <w:r w:rsidRPr="00BC5F1D">
              <w:rPr>
                <w:rFonts w:ascii="Arial" w:eastAsia="Calibri" w:hAnsi="Arial" w:cs="Arial"/>
                <w:sz w:val="18"/>
                <w:szCs w:val="18"/>
                <w:lang w:val="en-US"/>
              </w:rPr>
              <w:t xml:space="preserve">Total </w:t>
            </w:r>
            <w:r w:rsidR="00504BF3" w:rsidRPr="00BC5F1D">
              <w:rPr>
                <w:rFonts w:ascii="Arial" w:eastAsia="Calibri" w:hAnsi="Arial" w:cs="Arial"/>
                <w:sz w:val="18"/>
                <w:szCs w:val="18"/>
                <w:lang w:val="en-US"/>
              </w:rPr>
              <w:t>flavonoids</w:t>
            </w:r>
            <w:r w:rsidRPr="00BC5F1D">
              <w:rPr>
                <w:rFonts w:ascii="Arial" w:eastAsia="Calibri" w:hAnsi="Arial" w:cs="Arial"/>
                <w:sz w:val="18"/>
                <w:szCs w:val="18"/>
                <w:lang w:val="en-US"/>
              </w:rPr>
              <w:t xml:space="preserve"> </w:t>
            </w:r>
            <w:r w:rsidR="00504BF3" w:rsidRPr="00BC5F1D">
              <w:rPr>
                <w:rFonts w:ascii="Arial" w:eastAsia="Calibri" w:hAnsi="Arial" w:cs="Arial"/>
                <w:sz w:val="18"/>
                <w:szCs w:val="18"/>
                <w:lang w:val="en-US"/>
              </w:rPr>
              <w:t>(</w:t>
            </w:r>
            <w:r w:rsidR="008E46ED" w:rsidRPr="00BC5F1D">
              <w:rPr>
                <w:rFonts w:ascii="Arial" w:eastAsia="Calibri" w:hAnsi="Arial" w:cs="Arial"/>
                <w:sz w:val="18"/>
                <w:szCs w:val="18"/>
                <w:lang w:val="en-US"/>
              </w:rPr>
              <w:t xml:space="preserve">µg </w:t>
            </w:r>
            <w:r w:rsidR="00504BF3" w:rsidRPr="00BC5F1D">
              <w:rPr>
                <w:rFonts w:ascii="Arial" w:eastAsia="Calibri" w:hAnsi="Arial" w:cs="Arial"/>
                <w:sz w:val="18"/>
                <w:szCs w:val="18"/>
                <w:lang w:val="en-US"/>
              </w:rPr>
              <w:t>QE/</w:t>
            </w:r>
            <w:r w:rsidR="001228A1" w:rsidRPr="00BC5F1D">
              <w:rPr>
                <w:rFonts w:ascii="Arial" w:eastAsia="Calibri" w:hAnsi="Arial" w:cs="Arial"/>
                <w:sz w:val="18"/>
                <w:szCs w:val="18"/>
                <w:lang w:val="en-US"/>
              </w:rPr>
              <w:t>g DM</w:t>
            </w:r>
            <w:r w:rsidR="00504BF3" w:rsidRPr="00BC5F1D">
              <w:rPr>
                <w:rFonts w:ascii="Arial" w:eastAsia="Calibri" w:hAnsi="Arial" w:cs="Arial"/>
                <w:sz w:val="18"/>
                <w:szCs w:val="18"/>
                <w:lang w:val="en-US"/>
              </w:rPr>
              <w:t>)</w:t>
            </w:r>
          </w:p>
        </w:tc>
        <w:tc>
          <w:tcPr>
            <w:tcW w:w="1843" w:type="dxa"/>
            <w:tcBorders>
              <w:top w:val="nil"/>
              <w:left w:val="nil"/>
              <w:bottom w:val="single" w:sz="4" w:space="0" w:color="auto"/>
              <w:right w:val="nil"/>
            </w:tcBorders>
          </w:tcPr>
          <w:p w14:paraId="574158E0" w14:textId="4C837C50" w:rsidR="00073A9D" w:rsidRPr="00BC5F1D" w:rsidRDefault="00073A9D" w:rsidP="00504BF3">
            <w:pPr>
              <w:spacing w:before="120" w:after="0" w:line="480" w:lineRule="auto"/>
              <w:jc w:val="center"/>
              <w:rPr>
                <w:rFonts w:ascii="Arial" w:eastAsia="Calibri" w:hAnsi="Arial" w:cs="Arial"/>
                <w:sz w:val="18"/>
                <w:szCs w:val="18"/>
                <w:lang w:val="en-US"/>
              </w:rPr>
            </w:pPr>
            <w:r w:rsidRPr="00BC5F1D">
              <w:rPr>
                <w:rFonts w:ascii="Arial" w:eastAsia="Calibri" w:hAnsi="Arial" w:cs="Arial"/>
                <w:sz w:val="18"/>
                <w:szCs w:val="18"/>
                <w:lang w:val="en-US"/>
              </w:rPr>
              <w:t>0.90 ± 0.02</w:t>
            </w:r>
            <w:r w:rsidRPr="00BC5F1D">
              <w:rPr>
                <w:rFonts w:ascii="Arial" w:eastAsia="Calibri" w:hAnsi="Arial" w:cs="Arial"/>
                <w:sz w:val="18"/>
                <w:szCs w:val="18"/>
                <w:vertAlign w:val="superscript"/>
                <w:lang w:val="en-US"/>
              </w:rPr>
              <w:t>a</w:t>
            </w:r>
          </w:p>
        </w:tc>
        <w:tc>
          <w:tcPr>
            <w:tcW w:w="2126" w:type="dxa"/>
            <w:tcBorders>
              <w:top w:val="nil"/>
              <w:left w:val="nil"/>
              <w:bottom w:val="single" w:sz="4" w:space="0" w:color="auto"/>
              <w:right w:val="nil"/>
            </w:tcBorders>
          </w:tcPr>
          <w:p w14:paraId="00FB7414" w14:textId="1766916A" w:rsidR="00073A9D" w:rsidRPr="00BC5F1D" w:rsidRDefault="00073A9D" w:rsidP="00504BF3">
            <w:pPr>
              <w:spacing w:before="120" w:after="0" w:line="480" w:lineRule="auto"/>
              <w:jc w:val="center"/>
              <w:rPr>
                <w:rFonts w:ascii="Arial" w:eastAsia="Calibri" w:hAnsi="Arial" w:cs="Arial"/>
                <w:sz w:val="18"/>
                <w:szCs w:val="18"/>
                <w:lang w:val="en-US"/>
              </w:rPr>
            </w:pPr>
            <w:r w:rsidRPr="00BC5F1D">
              <w:rPr>
                <w:rFonts w:ascii="Arial" w:eastAsia="Calibri" w:hAnsi="Arial" w:cs="Arial"/>
                <w:sz w:val="18"/>
                <w:szCs w:val="18"/>
                <w:lang w:val="en-US"/>
              </w:rPr>
              <w:t>2.3 ± 0.02</w:t>
            </w:r>
            <w:r w:rsidRPr="00BC5F1D">
              <w:rPr>
                <w:rFonts w:ascii="Arial" w:eastAsia="Calibri" w:hAnsi="Arial" w:cs="Arial"/>
                <w:sz w:val="18"/>
                <w:szCs w:val="18"/>
                <w:vertAlign w:val="superscript"/>
                <w:lang w:val="en-US"/>
              </w:rPr>
              <w:t>b</w:t>
            </w:r>
          </w:p>
        </w:tc>
        <w:tc>
          <w:tcPr>
            <w:tcW w:w="2126" w:type="dxa"/>
            <w:tcBorders>
              <w:top w:val="nil"/>
              <w:left w:val="nil"/>
              <w:bottom w:val="single" w:sz="4" w:space="0" w:color="auto"/>
              <w:right w:val="nil"/>
            </w:tcBorders>
          </w:tcPr>
          <w:p w14:paraId="49A0C98E" w14:textId="1600096C" w:rsidR="00073A9D" w:rsidRPr="00BC5F1D" w:rsidRDefault="00073A9D" w:rsidP="00504BF3">
            <w:pPr>
              <w:spacing w:before="120" w:after="0" w:line="480" w:lineRule="auto"/>
              <w:jc w:val="center"/>
              <w:rPr>
                <w:rFonts w:ascii="Arial" w:eastAsia="Calibri" w:hAnsi="Arial" w:cs="Arial"/>
                <w:color w:val="000000" w:themeColor="text1"/>
                <w:sz w:val="18"/>
                <w:szCs w:val="18"/>
                <w:lang w:val="en-US"/>
              </w:rPr>
            </w:pPr>
            <w:r w:rsidRPr="00BC5F1D">
              <w:rPr>
                <w:rFonts w:ascii="Arial" w:eastAsia="Calibri" w:hAnsi="Arial" w:cs="Arial"/>
                <w:color w:val="000000" w:themeColor="text1"/>
                <w:sz w:val="18"/>
                <w:szCs w:val="18"/>
                <w:lang w:val="en-US"/>
              </w:rPr>
              <w:t>4.90 ± 0.05</w:t>
            </w:r>
            <w:r w:rsidRPr="00BC5F1D">
              <w:rPr>
                <w:rFonts w:ascii="Arial" w:eastAsia="Calibri" w:hAnsi="Arial" w:cs="Arial"/>
                <w:color w:val="000000" w:themeColor="text1"/>
                <w:sz w:val="18"/>
                <w:szCs w:val="18"/>
                <w:vertAlign w:val="superscript"/>
                <w:lang w:val="en-US"/>
              </w:rPr>
              <w:t>c</w:t>
            </w:r>
          </w:p>
        </w:tc>
      </w:tr>
      <w:tr w:rsidR="00424CF2" w:rsidRPr="00B148EB" w14:paraId="11F085D7" w14:textId="77777777" w:rsidTr="00025C75">
        <w:trPr>
          <w:trHeight w:val="434"/>
        </w:trPr>
        <w:tc>
          <w:tcPr>
            <w:tcW w:w="9072" w:type="dxa"/>
            <w:gridSpan w:val="4"/>
            <w:tcBorders>
              <w:top w:val="single" w:sz="4" w:space="0" w:color="auto"/>
              <w:left w:val="nil"/>
              <w:bottom w:val="nil"/>
              <w:right w:val="nil"/>
            </w:tcBorders>
          </w:tcPr>
          <w:p w14:paraId="0100ACC4" w14:textId="03AFBDE3" w:rsidR="00424CF2" w:rsidRPr="00BC5F1D" w:rsidRDefault="00424CF2" w:rsidP="00FE270E">
            <w:pPr>
              <w:jc w:val="both"/>
              <w:rPr>
                <w:rFonts w:ascii="Arial" w:eastAsia="Calibri" w:hAnsi="Arial" w:cs="Arial"/>
                <w:sz w:val="18"/>
                <w:szCs w:val="18"/>
                <w:lang w:val="en-US"/>
              </w:rPr>
            </w:pPr>
            <w:r w:rsidRPr="00BC5F1D">
              <w:rPr>
                <w:rFonts w:ascii="Arial" w:eastAsia="Calibri" w:hAnsi="Arial" w:cs="Arial"/>
                <w:color w:val="000000" w:themeColor="text1"/>
                <w:sz w:val="18"/>
                <w:szCs w:val="18"/>
                <w:lang w:val="en-US"/>
              </w:rPr>
              <w:t xml:space="preserve">Mn ± </w:t>
            </w:r>
            <w:r w:rsidR="00504BF3" w:rsidRPr="00BC5F1D">
              <w:rPr>
                <w:rFonts w:ascii="Arial" w:eastAsia="Calibri" w:hAnsi="Arial" w:cs="Arial"/>
                <w:color w:val="000000" w:themeColor="text1"/>
                <w:sz w:val="18"/>
                <w:szCs w:val="18"/>
                <w:lang w:val="en-US"/>
              </w:rPr>
              <w:t>Sd:</w:t>
            </w:r>
            <w:r w:rsidRPr="00BC5F1D">
              <w:rPr>
                <w:rFonts w:ascii="Arial" w:eastAsia="Calibri" w:hAnsi="Arial" w:cs="Arial"/>
                <w:color w:val="000000" w:themeColor="text1"/>
                <w:sz w:val="18"/>
                <w:szCs w:val="18"/>
                <w:lang w:val="en-US"/>
              </w:rPr>
              <w:t xml:space="preserve"> Mean ± Standard deviation; t</w:t>
            </w:r>
            <w:r w:rsidRPr="00BC5F1D">
              <w:rPr>
                <w:rFonts w:ascii="Arial" w:hAnsi="Arial" w:cs="Arial"/>
                <w:color w:val="000000" w:themeColor="text1"/>
                <w:sz w:val="18"/>
                <w:szCs w:val="18"/>
                <w:lang w:val="en-US"/>
              </w:rPr>
              <w:t>he affected means of different lowercase letters in superscript and on line show a significant difference at the probability threshold P ≤ 0.05</w:t>
            </w:r>
          </w:p>
        </w:tc>
      </w:tr>
      <w:bookmarkEnd w:id="5"/>
    </w:tbl>
    <w:p w14:paraId="09436591" w14:textId="77777777" w:rsidR="00BC424A" w:rsidRPr="00BC5F1D" w:rsidRDefault="00BC424A" w:rsidP="00113BB8">
      <w:pPr>
        <w:spacing w:line="240" w:lineRule="auto"/>
        <w:jc w:val="both"/>
        <w:rPr>
          <w:rFonts w:ascii="Arial" w:hAnsi="Arial" w:cs="Arial"/>
          <w:b/>
          <w:bCs/>
          <w:color w:val="000000" w:themeColor="text1"/>
          <w:lang w:val="en-US"/>
        </w:rPr>
      </w:pPr>
    </w:p>
    <w:p w14:paraId="577AC3D1" w14:textId="212D179A" w:rsidR="001B4AA3" w:rsidRPr="00BC5F1D" w:rsidRDefault="0041794C" w:rsidP="009A02E1">
      <w:pPr>
        <w:pStyle w:val="ListParagraph"/>
        <w:numPr>
          <w:ilvl w:val="1"/>
          <w:numId w:val="1"/>
        </w:numPr>
        <w:tabs>
          <w:tab w:val="left" w:pos="426"/>
        </w:tabs>
        <w:spacing w:after="0" w:line="360" w:lineRule="auto"/>
        <w:jc w:val="both"/>
        <w:rPr>
          <w:rFonts w:ascii="Arial" w:hAnsi="Arial" w:cs="Arial"/>
          <w:color w:val="000000" w:themeColor="text1"/>
          <w:lang w:val="en-US"/>
        </w:rPr>
      </w:pPr>
      <w:r w:rsidRPr="00BC5F1D">
        <w:rPr>
          <w:rFonts w:ascii="Arial" w:hAnsi="Arial" w:cs="Arial"/>
          <w:b/>
          <w:bCs/>
          <w:color w:val="000000" w:themeColor="text1"/>
          <w:lang w:val="en-US"/>
        </w:rPr>
        <w:t xml:space="preserve">  </w:t>
      </w:r>
      <w:r w:rsidR="0091292C" w:rsidRPr="00BC5F1D">
        <w:rPr>
          <w:rFonts w:ascii="Arial" w:hAnsi="Arial" w:cs="Arial"/>
          <w:b/>
          <w:bCs/>
          <w:color w:val="000000" w:themeColor="text1"/>
          <w:lang w:val="en-US"/>
        </w:rPr>
        <w:t>E</w:t>
      </w:r>
      <w:r w:rsidR="005F0359" w:rsidRPr="00BC5F1D">
        <w:rPr>
          <w:rFonts w:ascii="Arial" w:hAnsi="Arial" w:cs="Arial"/>
          <w:b/>
          <w:bCs/>
          <w:color w:val="000000" w:themeColor="text1"/>
          <w:lang w:val="en-US"/>
        </w:rPr>
        <w:t xml:space="preserve">ffects of nutritional composition and bioactive compounds </w:t>
      </w:r>
      <w:r w:rsidRPr="00BC5F1D">
        <w:rPr>
          <w:rFonts w:ascii="Arial" w:hAnsi="Arial" w:cs="Arial"/>
          <w:b/>
          <w:bCs/>
          <w:color w:val="000000" w:themeColor="text1"/>
          <w:lang w:val="en-US"/>
        </w:rPr>
        <w:t xml:space="preserve">of powders </w:t>
      </w:r>
      <w:r w:rsidR="0091292C" w:rsidRPr="00BC5F1D">
        <w:rPr>
          <w:rFonts w:ascii="Arial" w:hAnsi="Arial" w:cs="Arial"/>
          <w:b/>
          <w:bCs/>
          <w:color w:val="000000" w:themeColor="text1"/>
          <w:lang w:val="en-US"/>
        </w:rPr>
        <w:t>on GLUT4 translocation activity</w:t>
      </w:r>
      <w:r w:rsidR="009D4259" w:rsidRPr="00BC5F1D">
        <w:rPr>
          <w:rFonts w:ascii="Arial" w:hAnsi="Arial" w:cs="Arial"/>
          <w:b/>
          <w:bCs/>
          <w:color w:val="000000" w:themeColor="text1"/>
          <w:lang w:val="en-US"/>
        </w:rPr>
        <w:t xml:space="preserve"> </w:t>
      </w:r>
    </w:p>
    <w:p w14:paraId="09EDF5F9" w14:textId="77777777" w:rsidR="00D54390" w:rsidRPr="00BC5F1D" w:rsidRDefault="00D54390" w:rsidP="00D54390">
      <w:pPr>
        <w:pStyle w:val="ListParagraph"/>
        <w:spacing w:before="240" w:line="240" w:lineRule="auto"/>
        <w:ind w:left="360"/>
        <w:jc w:val="both"/>
        <w:rPr>
          <w:rFonts w:ascii="Arial" w:hAnsi="Arial" w:cs="Arial"/>
          <w:color w:val="000000" w:themeColor="text1"/>
          <w:lang w:val="en-US"/>
        </w:rPr>
      </w:pPr>
    </w:p>
    <w:p w14:paraId="6D563098" w14:textId="0ECEEF54" w:rsidR="001F374C" w:rsidRPr="00BC5F1D" w:rsidRDefault="001F374C" w:rsidP="001F374C">
      <w:pPr>
        <w:pStyle w:val="ListParagraph"/>
        <w:numPr>
          <w:ilvl w:val="2"/>
          <w:numId w:val="1"/>
        </w:numPr>
        <w:spacing w:line="360" w:lineRule="auto"/>
        <w:jc w:val="both"/>
        <w:rPr>
          <w:rFonts w:ascii="Arial" w:hAnsi="Arial" w:cs="Arial"/>
          <w:b/>
          <w:bCs/>
        </w:rPr>
      </w:pPr>
      <w:r w:rsidRPr="00BC5F1D">
        <w:rPr>
          <w:rFonts w:ascii="Arial" w:hAnsi="Arial" w:cs="Arial"/>
          <w:b/>
          <w:bCs/>
        </w:rPr>
        <w:t xml:space="preserve">GLUT4 translocation </w:t>
      </w:r>
      <w:proofErr w:type="spellStart"/>
      <w:r w:rsidRPr="00BC5F1D">
        <w:rPr>
          <w:rFonts w:ascii="Arial" w:hAnsi="Arial" w:cs="Arial"/>
          <w:b/>
          <w:bCs/>
        </w:rPr>
        <w:t>activity</w:t>
      </w:r>
      <w:proofErr w:type="spellEnd"/>
      <w:r w:rsidRPr="00BC5F1D">
        <w:rPr>
          <w:rFonts w:ascii="Arial" w:hAnsi="Arial" w:cs="Arial"/>
          <w:b/>
          <w:bCs/>
        </w:rPr>
        <w:t xml:space="preserve"> </w:t>
      </w:r>
    </w:p>
    <w:p w14:paraId="21F70353" w14:textId="37A1035B" w:rsidR="0017175A" w:rsidRPr="00BC5F1D" w:rsidRDefault="0017175A" w:rsidP="0017175A">
      <w:pPr>
        <w:spacing w:line="360" w:lineRule="auto"/>
        <w:jc w:val="both"/>
        <w:rPr>
          <w:rFonts w:ascii="Arial" w:hAnsi="Arial" w:cs="Arial"/>
          <w:sz w:val="20"/>
          <w:szCs w:val="20"/>
          <w:lang w:val="en-US"/>
        </w:rPr>
      </w:pPr>
      <w:r w:rsidRPr="00BC5F1D">
        <w:rPr>
          <w:rFonts w:ascii="Arial" w:hAnsi="Arial" w:cs="Arial"/>
          <w:sz w:val="20"/>
          <w:szCs w:val="20"/>
          <w:lang w:val="en-US"/>
        </w:rPr>
        <w:t xml:space="preserve">The translocation of glucose transporter type 4 (GLUT4) is an important biological activity in the regulation of blood glucose levels in individuals. It is activated by insulin secreted into the cell, which triggers a cascade of reactions that lead to the movement of GLUT4 storage vesicles to the cell membrane, allowing glucose to enter. Finding foods, or better yet, molecules that can mimic insulin or substitute for it to significantly reduce the insulin response is a considerable challenge. In this context, the GLUT4 translocation activity of powders from </w:t>
      </w:r>
      <w:r w:rsidRPr="00BC5F1D">
        <w:rPr>
          <w:rFonts w:ascii="Arial" w:hAnsi="Arial" w:cs="Arial"/>
          <w:i/>
          <w:iCs/>
          <w:sz w:val="20"/>
          <w:szCs w:val="20"/>
          <w:lang w:val="en-US"/>
        </w:rPr>
        <w:t>A. digitata</w:t>
      </w:r>
      <w:r w:rsidRPr="00BC5F1D">
        <w:rPr>
          <w:rFonts w:ascii="Arial" w:hAnsi="Arial" w:cs="Arial"/>
          <w:sz w:val="20"/>
          <w:szCs w:val="20"/>
          <w:lang w:val="en-US"/>
        </w:rPr>
        <w:t xml:space="preserve">, </w:t>
      </w:r>
      <w:r w:rsidRPr="00BC5F1D">
        <w:rPr>
          <w:rFonts w:ascii="Arial" w:hAnsi="Arial" w:cs="Arial"/>
          <w:i/>
          <w:iCs/>
          <w:sz w:val="20"/>
          <w:szCs w:val="20"/>
          <w:lang w:val="en-US"/>
        </w:rPr>
        <w:t xml:space="preserve">C. </w:t>
      </w:r>
      <w:proofErr w:type="spellStart"/>
      <w:r w:rsidRPr="00BC5F1D">
        <w:rPr>
          <w:rFonts w:ascii="Arial" w:hAnsi="Arial" w:cs="Arial"/>
          <w:i/>
          <w:iCs/>
          <w:sz w:val="20"/>
          <w:szCs w:val="20"/>
          <w:lang w:val="en-US"/>
        </w:rPr>
        <w:t>olitorius</w:t>
      </w:r>
      <w:proofErr w:type="spellEnd"/>
      <w:r w:rsidRPr="00BC5F1D">
        <w:rPr>
          <w:rFonts w:ascii="Arial" w:hAnsi="Arial" w:cs="Arial"/>
          <w:sz w:val="20"/>
          <w:szCs w:val="20"/>
          <w:lang w:val="en-US"/>
        </w:rPr>
        <w:t xml:space="preserve">, and </w:t>
      </w:r>
      <w:r w:rsidRPr="00BC5F1D">
        <w:rPr>
          <w:rFonts w:ascii="Arial" w:hAnsi="Arial" w:cs="Arial"/>
          <w:i/>
          <w:iCs/>
          <w:sz w:val="20"/>
          <w:szCs w:val="20"/>
          <w:lang w:val="en-US"/>
        </w:rPr>
        <w:t>T. cordifolia</w:t>
      </w:r>
      <w:r w:rsidRPr="00BC5F1D">
        <w:rPr>
          <w:rFonts w:ascii="Arial" w:hAnsi="Arial" w:cs="Arial"/>
          <w:sz w:val="20"/>
          <w:szCs w:val="20"/>
          <w:lang w:val="en-US"/>
        </w:rPr>
        <w:t xml:space="preserve"> has been evaluated and is presented in Fig</w:t>
      </w:r>
      <w:r w:rsidR="00883578">
        <w:rPr>
          <w:rFonts w:ascii="Arial" w:hAnsi="Arial" w:cs="Arial"/>
          <w:sz w:val="20"/>
          <w:szCs w:val="20"/>
          <w:lang w:val="en-US"/>
        </w:rPr>
        <w:t>.</w:t>
      </w:r>
      <w:r w:rsidRPr="00BC5F1D">
        <w:rPr>
          <w:rFonts w:ascii="Arial" w:hAnsi="Arial" w:cs="Arial"/>
          <w:sz w:val="20"/>
          <w:szCs w:val="20"/>
          <w:lang w:val="en-US"/>
        </w:rPr>
        <w:t xml:space="preserve"> 1.</w:t>
      </w:r>
    </w:p>
    <w:p w14:paraId="1C473E74" w14:textId="589DC9A7" w:rsidR="0017175A" w:rsidRPr="00BC5F1D" w:rsidRDefault="0017175A" w:rsidP="0017175A">
      <w:pPr>
        <w:spacing w:line="360" w:lineRule="auto"/>
        <w:jc w:val="both"/>
        <w:rPr>
          <w:rFonts w:ascii="Arial" w:hAnsi="Arial" w:cs="Arial"/>
          <w:sz w:val="20"/>
          <w:szCs w:val="20"/>
          <w:lang w:val="en-US"/>
        </w:rPr>
      </w:pPr>
      <w:r w:rsidRPr="00BC5F1D">
        <w:rPr>
          <w:rFonts w:ascii="Arial" w:hAnsi="Arial" w:cs="Arial"/>
          <w:sz w:val="20"/>
          <w:szCs w:val="20"/>
          <w:lang w:val="en-US"/>
        </w:rPr>
        <w:t>Fig</w:t>
      </w:r>
      <w:r w:rsidR="00883578">
        <w:rPr>
          <w:rFonts w:ascii="Arial" w:hAnsi="Arial" w:cs="Arial"/>
          <w:sz w:val="20"/>
          <w:szCs w:val="20"/>
          <w:lang w:val="en-US"/>
        </w:rPr>
        <w:t>.</w:t>
      </w:r>
      <w:r w:rsidRPr="00BC5F1D">
        <w:rPr>
          <w:rFonts w:ascii="Arial" w:hAnsi="Arial" w:cs="Arial"/>
          <w:sz w:val="20"/>
          <w:szCs w:val="20"/>
          <w:lang w:val="en-US"/>
        </w:rPr>
        <w:t xml:space="preserve"> 1a shows the amount of GLUT4 translocated as a percentage of insulin (%Insulin) at different concentrations (50, 100, 200 µg/ml) of </w:t>
      </w:r>
      <w:r w:rsidRPr="00BC5F1D">
        <w:rPr>
          <w:rFonts w:ascii="Arial" w:hAnsi="Arial" w:cs="Arial"/>
          <w:i/>
          <w:iCs/>
          <w:sz w:val="20"/>
          <w:szCs w:val="20"/>
          <w:lang w:val="en-US"/>
        </w:rPr>
        <w:t>A. digitata</w:t>
      </w:r>
      <w:r w:rsidRPr="00BC5F1D">
        <w:rPr>
          <w:rFonts w:ascii="Arial" w:hAnsi="Arial" w:cs="Arial"/>
          <w:sz w:val="20"/>
          <w:szCs w:val="20"/>
          <w:lang w:val="en-US"/>
        </w:rPr>
        <w:t xml:space="preserve"> powder extract over time (10, 20, 30 min). It is evident that both the duration of translocation activity and the concentration of extracts have highly significant effects (P = 0.0001, P = 0.0000, respectively) on the variations in the amount of GLUT4 translocated. However, the concentration of the extract has a greater effect (80.92%) compared to time (10.96%) on these variations. The values range from 35.65 ± 0.87 to 56.80 ± 0.20 %Insulin for a concentration of 50 µg/ml; 39.47 ± 0.13 to 66.77 ± 0.18 %Insulin for a concentration of 100 µg/ml; and 82.38 ± 0.32 to 90.61 ± 0.28 %Insulin for a concentration of 200 µg/ml. Notably, only the 200 µg/ml concentration shows the highest amount of GLUT4 translocated (90.61 ± 0.28 %Insulin) after 20 minutes of activity. This result indicates that the extracts from </w:t>
      </w:r>
      <w:r w:rsidRPr="00BC5F1D">
        <w:rPr>
          <w:rFonts w:ascii="Arial" w:hAnsi="Arial" w:cs="Arial"/>
          <w:i/>
          <w:iCs/>
          <w:sz w:val="20"/>
          <w:szCs w:val="20"/>
          <w:lang w:val="en-US"/>
        </w:rPr>
        <w:t>A. digitata</w:t>
      </w:r>
      <w:r w:rsidRPr="00BC5F1D">
        <w:rPr>
          <w:rFonts w:ascii="Arial" w:hAnsi="Arial" w:cs="Arial"/>
          <w:sz w:val="20"/>
          <w:szCs w:val="20"/>
          <w:lang w:val="en-US"/>
        </w:rPr>
        <w:t xml:space="preserve"> powder at 200 µg/ml can activate GLUT4 translocation to 90.61% compared to insulin after 20 minutes of consumption.</w:t>
      </w:r>
    </w:p>
    <w:p w14:paraId="74339D90" w14:textId="33C0226F" w:rsidR="0017175A" w:rsidRPr="00BC5F1D" w:rsidRDefault="0017175A" w:rsidP="0017175A">
      <w:pPr>
        <w:spacing w:line="360" w:lineRule="auto"/>
        <w:jc w:val="both"/>
        <w:rPr>
          <w:rFonts w:ascii="Arial" w:hAnsi="Arial" w:cs="Arial"/>
          <w:sz w:val="20"/>
          <w:szCs w:val="20"/>
          <w:lang w:val="en-US"/>
        </w:rPr>
      </w:pPr>
      <w:r w:rsidRPr="00BC5F1D">
        <w:rPr>
          <w:rFonts w:ascii="Arial" w:hAnsi="Arial" w:cs="Arial"/>
          <w:sz w:val="20"/>
          <w:szCs w:val="20"/>
          <w:lang w:val="en-US"/>
        </w:rPr>
        <w:t>Fig</w:t>
      </w:r>
      <w:r w:rsidR="00883578">
        <w:rPr>
          <w:rFonts w:ascii="Arial" w:hAnsi="Arial" w:cs="Arial"/>
          <w:sz w:val="20"/>
          <w:szCs w:val="20"/>
          <w:lang w:val="en-US"/>
        </w:rPr>
        <w:t>.</w:t>
      </w:r>
      <w:r w:rsidRPr="00BC5F1D">
        <w:rPr>
          <w:rFonts w:ascii="Arial" w:hAnsi="Arial" w:cs="Arial"/>
          <w:sz w:val="20"/>
          <w:szCs w:val="20"/>
          <w:lang w:val="en-US"/>
        </w:rPr>
        <w:t xml:space="preserve"> 1b presents the amount of GLUT4 translocated as a percentage of insulin (%Insulin) at different concentrations (50, 100, 200 µg/ml) of </w:t>
      </w:r>
      <w:r w:rsidRPr="00BC5F1D">
        <w:rPr>
          <w:rFonts w:ascii="Arial" w:hAnsi="Arial" w:cs="Arial"/>
          <w:i/>
          <w:iCs/>
          <w:sz w:val="20"/>
          <w:szCs w:val="20"/>
          <w:lang w:val="en-US"/>
        </w:rPr>
        <w:t xml:space="preserve">C. </w:t>
      </w:r>
      <w:proofErr w:type="spellStart"/>
      <w:r w:rsidRPr="00BC5F1D">
        <w:rPr>
          <w:rFonts w:ascii="Arial" w:hAnsi="Arial" w:cs="Arial"/>
          <w:i/>
          <w:iCs/>
          <w:sz w:val="20"/>
          <w:szCs w:val="20"/>
          <w:lang w:val="en-US"/>
        </w:rPr>
        <w:t>olitorius</w:t>
      </w:r>
      <w:proofErr w:type="spellEnd"/>
      <w:r w:rsidRPr="00BC5F1D">
        <w:rPr>
          <w:rFonts w:ascii="Arial" w:hAnsi="Arial" w:cs="Arial"/>
          <w:sz w:val="20"/>
          <w:szCs w:val="20"/>
          <w:lang w:val="en-US"/>
        </w:rPr>
        <w:t xml:space="preserve"> powder extract over time (10, 20, 30 min). Similar to </w:t>
      </w:r>
      <w:r w:rsidRPr="00BC5F1D">
        <w:rPr>
          <w:rFonts w:ascii="Arial" w:hAnsi="Arial" w:cs="Arial"/>
          <w:sz w:val="20"/>
          <w:szCs w:val="20"/>
          <w:lang w:val="en-US"/>
        </w:rPr>
        <w:lastRenderedPageBreak/>
        <w:t xml:space="preserve">the </w:t>
      </w:r>
      <w:r w:rsidRPr="00BC5F1D">
        <w:rPr>
          <w:rFonts w:ascii="Arial" w:hAnsi="Arial" w:cs="Arial"/>
          <w:i/>
          <w:iCs/>
          <w:sz w:val="20"/>
          <w:szCs w:val="20"/>
          <w:lang w:val="en-US"/>
        </w:rPr>
        <w:t>A. digitata</w:t>
      </w:r>
      <w:r w:rsidRPr="00BC5F1D">
        <w:rPr>
          <w:rFonts w:ascii="Arial" w:hAnsi="Arial" w:cs="Arial"/>
          <w:sz w:val="20"/>
          <w:szCs w:val="20"/>
          <w:lang w:val="en-US"/>
        </w:rPr>
        <w:t xml:space="preserve"> powder, both the duration of translocation activity and the concentration of extracts have highly significant effects (P = 0.0002, P = 0.0000, respectively) on the variations in GLUT4 translocation. Again, the concentration of the extract has a greater effect (75.53%) compared to time (13.19%). The values range from 38.96 ± 0.76 to 63.63 ± 0.14 %Insulin for a concentration of 50 µg/ml; 40.25 ± 0.74 to 68.65 ± 0.17 %Insulin for a concentration of 100 µg/ml; and 82.44 ± 0.13 to 92.53 ± 0.01 %Insulin for a concentration of 200 µg/ml. The extracts from </w:t>
      </w:r>
      <w:r w:rsidRPr="00BC5F1D">
        <w:rPr>
          <w:rFonts w:ascii="Arial" w:hAnsi="Arial" w:cs="Arial"/>
          <w:i/>
          <w:iCs/>
          <w:sz w:val="20"/>
          <w:szCs w:val="20"/>
          <w:lang w:val="en-US"/>
        </w:rPr>
        <w:t xml:space="preserve">C. </w:t>
      </w:r>
      <w:proofErr w:type="spellStart"/>
      <w:r w:rsidRPr="00BC5F1D">
        <w:rPr>
          <w:rFonts w:ascii="Arial" w:hAnsi="Arial" w:cs="Arial"/>
          <w:i/>
          <w:iCs/>
          <w:sz w:val="20"/>
          <w:szCs w:val="20"/>
          <w:lang w:val="en-US"/>
        </w:rPr>
        <w:t>olitorius</w:t>
      </w:r>
      <w:proofErr w:type="spellEnd"/>
      <w:r w:rsidRPr="00BC5F1D">
        <w:rPr>
          <w:rFonts w:ascii="Arial" w:hAnsi="Arial" w:cs="Arial"/>
          <w:sz w:val="20"/>
          <w:szCs w:val="20"/>
          <w:lang w:val="en-US"/>
        </w:rPr>
        <w:t xml:space="preserve"> powder at 200 µg/ml can also activate GLUT4 translocation to 92.52% compared to insulin after 20 minutes of consumption.</w:t>
      </w:r>
    </w:p>
    <w:p w14:paraId="7B308AB4" w14:textId="5B2B1337" w:rsidR="0017175A" w:rsidRPr="00BC5F1D" w:rsidRDefault="0017175A" w:rsidP="0017175A">
      <w:pPr>
        <w:spacing w:line="360" w:lineRule="auto"/>
        <w:jc w:val="both"/>
        <w:rPr>
          <w:rFonts w:ascii="Arial" w:hAnsi="Arial" w:cs="Arial"/>
          <w:sz w:val="20"/>
          <w:szCs w:val="20"/>
          <w:lang w:val="en-US"/>
        </w:rPr>
      </w:pPr>
      <w:r w:rsidRPr="00BC5F1D">
        <w:rPr>
          <w:rFonts w:ascii="Arial" w:hAnsi="Arial" w:cs="Arial"/>
          <w:sz w:val="20"/>
          <w:szCs w:val="20"/>
          <w:lang w:val="en-US"/>
        </w:rPr>
        <w:t>Fig</w:t>
      </w:r>
      <w:r w:rsidR="00883578">
        <w:rPr>
          <w:rFonts w:ascii="Arial" w:hAnsi="Arial" w:cs="Arial"/>
          <w:sz w:val="20"/>
          <w:szCs w:val="20"/>
          <w:lang w:val="en-US"/>
        </w:rPr>
        <w:t>.</w:t>
      </w:r>
      <w:r w:rsidRPr="00BC5F1D">
        <w:rPr>
          <w:rFonts w:ascii="Arial" w:hAnsi="Arial" w:cs="Arial"/>
          <w:sz w:val="20"/>
          <w:szCs w:val="20"/>
          <w:lang w:val="en-US"/>
        </w:rPr>
        <w:t xml:space="preserve"> 1c illustrates the amount of GLUT4 translocated as a percentage of insulin (%Insulin) at different concentrations (50, 100, 200 µg/ml) of </w:t>
      </w:r>
      <w:r w:rsidRPr="00BC5F1D">
        <w:rPr>
          <w:rFonts w:ascii="Arial" w:hAnsi="Arial" w:cs="Arial"/>
          <w:i/>
          <w:iCs/>
          <w:sz w:val="20"/>
          <w:szCs w:val="20"/>
          <w:lang w:val="en-US"/>
        </w:rPr>
        <w:t>T. cordifolia</w:t>
      </w:r>
      <w:r w:rsidRPr="00BC5F1D">
        <w:rPr>
          <w:rFonts w:ascii="Arial" w:hAnsi="Arial" w:cs="Arial"/>
          <w:sz w:val="20"/>
          <w:szCs w:val="20"/>
          <w:lang w:val="en-US"/>
        </w:rPr>
        <w:t xml:space="preserve"> powder extract over time (10, 20, 30 min). Both the duration of activity and the concentration of extracts have highly significant effects (P = 0.0000; P = 0.0000, respectively) on the variations in GLUT4 translocation. However, these effects are toxic, with these two factors accounting for 40.06% and 57.34%, respectively.</w:t>
      </w:r>
    </w:p>
    <w:p w14:paraId="54789262" w14:textId="09AC7CAB" w:rsidR="0017175A" w:rsidRPr="0017175A" w:rsidRDefault="0017175A" w:rsidP="00626D28">
      <w:pPr>
        <w:spacing w:line="360" w:lineRule="auto"/>
        <w:jc w:val="both"/>
        <w:rPr>
          <w:rFonts w:ascii="Times New Roman" w:hAnsi="Times New Roman" w:cs="Times New Roman"/>
          <w:lang w:val="en-US"/>
        </w:rPr>
        <w:sectPr w:rsidR="0017175A" w:rsidRPr="0017175A" w:rsidSect="000B582C">
          <w:headerReference w:type="even" r:id="rId8"/>
          <w:headerReference w:type="default" r:id="rId9"/>
          <w:footerReference w:type="even" r:id="rId10"/>
          <w:footerReference w:type="default" r:id="rId11"/>
          <w:headerReference w:type="first" r:id="rId12"/>
          <w:footerReference w:type="first" r:id="rId13"/>
          <w:type w:val="continuous"/>
          <w:pgSz w:w="11906" w:h="16838"/>
          <w:pgMar w:top="1417" w:right="1417" w:bottom="1417" w:left="1417" w:header="708" w:footer="708" w:gutter="0"/>
          <w:cols w:space="708"/>
          <w:docGrid w:linePitch="360"/>
        </w:sectPr>
      </w:pPr>
    </w:p>
    <w:p w14:paraId="2E453DEB" w14:textId="36E44D91" w:rsidR="003B09B6" w:rsidRPr="005C1612" w:rsidRDefault="009A02E1" w:rsidP="003B09B6">
      <w:pPr>
        <w:spacing w:line="360" w:lineRule="auto"/>
        <w:rPr>
          <w:rFonts w:ascii="Times New Roman" w:hAnsi="Times New Roman" w:cs="Times New Roman"/>
          <w:lang w:val="en-US"/>
        </w:rPr>
      </w:pPr>
      <w:bookmarkStart w:id="6" w:name="_Hlk189494718"/>
      <w:r>
        <w:rPr>
          <w:noProof/>
        </w:rPr>
        <w:lastRenderedPageBreak/>
        <mc:AlternateContent>
          <mc:Choice Requires="wps">
            <w:drawing>
              <wp:anchor distT="0" distB="0" distL="114300" distR="114300" simplePos="0" relativeHeight="251659264" behindDoc="0" locked="0" layoutInCell="1" allowOverlap="1" wp14:anchorId="0C4251D9" wp14:editId="035EFFAF">
                <wp:simplePos x="0" y="0"/>
                <wp:positionH relativeFrom="margin">
                  <wp:posOffset>4764026</wp:posOffset>
                </wp:positionH>
                <wp:positionV relativeFrom="paragraph">
                  <wp:posOffset>2953442</wp:posOffset>
                </wp:positionV>
                <wp:extent cx="4462818" cy="432757"/>
                <wp:effectExtent l="0" t="0" r="0" b="0"/>
                <wp:wrapNone/>
                <wp:docPr id="1826265886" name="Rectangle 34"/>
                <wp:cNvGraphicFramePr/>
                <a:graphic xmlns:a="http://schemas.openxmlformats.org/drawingml/2006/main">
                  <a:graphicData uri="http://schemas.microsoft.com/office/word/2010/wordprocessingShape">
                    <wps:wsp>
                      <wps:cNvSpPr/>
                      <wps:spPr>
                        <a:xfrm>
                          <a:off x="0" y="0"/>
                          <a:ext cx="4462818" cy="43275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728893" w14:textId="13E35FA4" w:rsidR="003B09B6" w:rsidRPr="00BC5F1D" w:rsidRDefault="00775F97" w:rsidP="00A35F8A">
                            <w:pPr>
                              <w:jc w:val="both"/>
                              <w:rPr>
                                <w:rFonts w:ascii="Arial" w:hAnsi="Arial" w:cs="Arial"/>
                                <w:color w:val="000000" w:themeColor="text1"/>
                                <w:sz w:val="18"/>
                                <w:szCs w:val="18"/>
                                <w:lang w:val="en-US"/>
                              </w:rPr>
                            </w:pPr>
                            <w:r w:rsidRPr="00BC5F1D">
                              <w:rPr>
                                <w:rFonts w:ascii="Arial" w:hAnsi="Arial" w:cs="Arial"/>
                                <w:b/>
                                <w:bCs/>
                                <w:color w:val="000000" w:themeColor="text1"/>
                                <w:sz w:val="18"/>
                                <w:szCs w:val="18"/>
                                <w:lang w:val="en-US"/>
                              </w:rPr>
                              <w:t>(b</w:t>
                            </w:r>
                            <w:r w:rsidR="00A35F8A" w:rsidRPr="00BC5F1D">
                              <w:rPr>
                                <w:rFonts w:ascii="Arial" w:hAnsi="Arial" w:cs="Arial"/>
                                <w:b/>
                                <w:bCs/>
                                <w:color w:val="000000" w:themeColor="text1"/>
                                <w:sz w:val="18"/>
                                <w:szCs w:val="18"/>
                                <w:lang w:val="en-US"/>
                              </w:rPr>
                              <w:t xml:space="preserve">) </w:t>
                            </w:r>
                            <w:r w:rsidRPr="00BC5F1D">
                              <w:rPr>
                                <w:rFonts w:ascii="Arial" w:hAnsi="Arial" w:cs="Arial"/>
                                <w:color w:val="000000" w:themeColor="text1"/>
                                <w:sz w:val="18"/>
                                <w:szCs w:val="18"/>
                                <w:lang w:val="en-US"/>
                              </w:rPr>
                              <w:t xml:space="preserve">The time effect: Sum of squares </w:t>
                            </w:r>
                            <w:r w:rsidRPr="00BC5F1D">
                              <w:rPr>
                                <w:rFonts w:ascii="Arial" w:hAnsi="Arial" w:cs="Arial"/>
                                <w:b/>
                                <w:bCs/>
                                <w:color w:val="000000" w:themeColor="text1"/>
                                <w:sz w:val="18"/>
                                <w:szCs w:val="18"/>
                                <w:lang w:val="en-US"/>
                              </w:rPr>
                              <w:t>= 13.19%, P = 0.0002;</w:t>
                            </w:r>
                            <w:r w:rsidRPr="00BC5F1D">
                              <w:rPr>
                                <w:rFonts w:ascii="Arial" w:hAnsi="Arial" w:cs="Arial"/>
                                <w:color w:val="000000" w:themeColor="text1"/>
                                <w:sz w:val="18"/>
                                <w:szCs w:val="18"/>
                                <w:lang w:val="en-US"/>
                              </w:rPr>
                              <w:t xml:space="preserve"> Extract concentration </w:t>
                            </w:r>
                            <w:r w:rsidR="00A35F8A" w:rsidRPr="00BC5F1D">
                              <w:rPr>
                                <w:rFonts w:ascii="Arial" w:hAnsi="Arial" w:cs="Arial"/>
                                <w:color w:val="000000" w:themeColor="text1"/>
                                <w:sz w:val="18"/>
                                <w:szCs w:val="18"/>
                                <w:lang w:val="en-US"/>
                              </w:rPr>
                              <w:t xml:space="preserve">       </w:t>
                            </w:r>
                            <w:r w:rsidRPr="00BC5F1D">
                              <w:rPr>
                                <w:rFonts w:ascii="Arial" w:hAnsi="Arial" w:cs="Arial"/>
                                <w:color w:val="000000" w:themeColor="text1"/>
                                <w:sz w:val="18"/>
                                <w:szCs w:val="18"/>
                                <w:lang w:val="en-US"/>
                              </w:rPr>
                              <w:t xml:space="preserve">effect: Sum of squares </w:t>
                            </w:r>
                            <w:r w:rsidRPr="00BC5F1D">
                              <w:rPr>
                                <w:rFonts w:ascii="Arial" w:hAnsi="Arial" w:cs="Arial"/>
                                <w:b/>
                                <w:bCs/>
                                <w:color w:val="000000" w:themeColor="text1"/>
                                <w:sz w:val="18"/>
                                <w:szCs w:val="18"/>
                                <w:lang w:val="en-US"/>
                              </w:rPr>
                              <w:t>= 75.53%, P = 0.0000</w:t>
                            </w:r>
                            <w:r w:rsidRPr="00BC5F1D">
                              <w:rPr>
                                <w:rFonts w:ascii="Arial" w:hAnsi="Arial" w:cs="Arial"/>
                                <w:color w:val="000000" w:themeColor="text1"/>
                                <w:sz w:val="18"/>
                                <w:szCs w:val="18"/>
                                <w:lang w:val="en-US"/>
                              </w:rPr>
                              <w:t>; Residual: Sum of squares = 11.26%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251D9" id="Rectangle 34" o:spid="_x0000_s1026" style="position:absolute;margin-left:375.1pt;margin-top:232.55pt;width:351.4pt;height:34.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" filled="f" stroked="f" strokeweight="1pt">
                <v:textbox>
                  <w:txbxContent>
                    <w:p w14:paraId="63728893" w14:textId="13E35FA4" w:rsidR="003B09B6" w:rsidRPr="00BC5F1D" w:rsidRDefault="00775F97" w:rsidP="00A35F8A">
                      <w:pPr>
                        <w:jc w:val="both"/>
                        <w:rPr>
                          <w:rFonts w:ascii="Arial" w:hAnsi="Arial" w:cs="Arial"/>
                          <w:color w:val="000000" w:themeColor="text1"/>
                          <w:sz w:val="18"/>
                          <w:szCs w:val="18"/>
                          <w:lang w:val="en-US"/>
                        </w:rPr>
                      </w:pPr>
                      <w:r w:rsidRPr="00BC5F1D">
                        <w:rPr>
                          <w:rFonts w:ascii="Arial" w:hAnsi="Arial" w:cs="Arial"/>
                          <w:b/>
                          <w:bCs/>
                          <w:color w:val="000000" w:themeColor="text1"/>
                          <w:sz w:val="18"/>
                          <w:szCs w:val="18"/>
                          <w:lang w:val="en-US"/>
                        </w:rPr>
                        <w:t>(b</w:t>
                      </w:r>
                      <w:r w:rsidR="00A35F8A" w:rsidRPr="00BC5F1D">
                        <w:rPr>
                          <w:rFonts w:ascii="Arial" w:hAnsi="Arial" w:cs="Arial"/>
                          <w:b/>
                          <w:bCs/>
                          <w:color w:val="000000" w:themeColor="text1"/>
                          <w:sz w:val="18"/>
                          <w:szCs w:val="18"/>
                          <w:lang w:val="en-US"/>
                        </w:rPr>
                        <w:t xml:space="preserve">) </w:t>
                      </w:r>
                      <w:r w:rsidRPr="00BC5F1D">
                        <w:rPr>
                          <w:rFonts w:ascii="Arial" w:hAnsi="Arial" w:cs="Arial"/>
                          <w:color w:val="000000" w:themeColor="text1"/>
                          <w:sz w:val="18"/>
                          <w:szCs w:val="18"/>
                          <w:lang w:val="en-US"/>
                        </w:rPr>
                        <w:t xml:space="preserve">The time effect: Sum of squares </w:t>
                      </w:r>
                      <w:r w:rsidRPr="00BC5F1D">
                        <w:rPr>
                          <w:rFonts w:ascii="Arial" w:hAnsi="Arial" w:cs="Arial"/>
                          <w:b/>
                          <w:bCs/>
                          <w:color w:val="000000" w:themeColor="text1"/>
                          <w:sz w:val="18"/>
                          <w:szCs w:val="18"/>
                          <w:lang w:val="en-US"/>
                        </w:rPr>
                        <w:t>= 13.19%, P = 0.0002;</w:t>
                      </w:r>
                      <w:r w:rsidRPr="00BC5F1D">
                        <w:rPr>
                          <w:rFonts w:ascii="Arial" w:hAnsi="Arial" w:cs="Arial"/>
                          <w:color w:val="000000" w:themeColor="text1"/>
                          <w:sz w:val="18"/>
                          <w:szCs w:val="18"/>
                          <w:lang w:val="en-US"/>
                        </w:rPr>
                        <w:t xml:space="preserve"> Extract concentration </w:t>
                      </w:r>
                      <w:r w:rsidR="00A35F8A" w:rsidRPr="00BC5F1D">
                        <w:rPr>
                          <w:rFonts w:ascii="Arial" w:hAnsi="Arial" w:cs="Arial"/>
                          <w:color w:val="000000" w:themeColor="text1"/>
                          <w:sz w:val="18"/>
                          <w:szCs w:val="18"/>
                          <w:lang w:val="en-US"/>
                        </w:rPr>
                        <w:t xml:space="preserve">       </w:t>
                      </w:r>
                      <w:r w:rsidRPr="00BC5F1D">
                        <w:rPr>
                          <w:rFonts w:ascii="Arial" w:hAnsi="Arial" w:cs="Arial"/>
                          <w:color w:val="000000" w:themeColor="text1"/>
                          <w:sz w:val="18"/>
                          <w:szCs w:val="18"/>
                          <w:lang w:val="en-US"/>
                        </w:rPr>
                        <w:t xml:space="preserve">effect: Sum of squares </w:t>
                      </w:r>
                      <w:r w:rsidRPr="00BC5F1D">
                        <w:rPr>
                          <w:rFonts w:ascii="Arial" w:hAnsi="Arial" w:cs="Arial"/>
                          <w:b/>
                          <w:bCs/>
                          <w:color w:val="000000" w:themeColor="text1"/>
                          <w:sz w:val="18"/>
                          <w:szCs w:val="18"/>
                          <w:lang w:val="en-US"/>
                        </w:rPr>
                        <w:t>= 75.53%, P = 0.0000</w:t>
                      </w:r>
                      <w:r w:rsidRPr="00BC5F1D">
                        <w:rPr>
                          <w:rFonts w:ascii="Arial" w:hAnsi="Arial" w:cs="Arial"/>
                          <w:color w:val="000000" w:themeColor="text1"/>
                          <w:sz w:val="18"/>
                          <w:szCs w:val="18"/>
                          <w:lang w:val="en-US"/>
                        </w:rPr>
                        <w:t>; Residual: Sum of squares = 11.26%</w:t>
                      </w:r>
                    </w:p>
                  </w:txbxContent>
                </v:textbox>
                <w10:wrap anchorx="margin"/>
              </v:rect>
            </w:pict>
          </mc:Fallback>
        </mc:AlternateContent>
      </w:r>
      <w:r>
        <w:rPr>
          <w:noProof/>
        </w:rPr>
        <mc:AlternateContent>
          <mc:Choice Requires="wps">
            <w:drawing>
              <wp:anchor distT="0" distB="0" distL="114300" distR="114300" simplePos="0" relativeHeight="251661312" behindDoc="0" locked="0" layoutInCell="1" allowOverlap="1" wp14:anchorId="42206C2F" wp14:editId="45954C89">
                <wp:simplePos x="0" y="0"/>
                <wp:positionH relativeFrom="margin">
                  <wp:posOffset>-442595</wp:posOffset>
                </wp:positionH>
                <wp:positionV relativeFrom="paragraph">
                  <wp:posOffset>2925829</wp:posOffset>
                </wp:positionV>
                <wp:extent cx="4710223" cy="467833"/>
                <wp:effectExtent l="0" t="0" r="0" b="0"/>
                <wp:wrapNone/>
                <wp:docPr id="2063820062" name="Rectangle 34"/>
                <wp:cNvGraphicFramePr/>
                <a:graphic xmlns:a="http://schemas.openxmlformats.org/drawingml/2006/main">
                  <a:graphicData uri="http://schemas.microsoft.com/office/word/2010/wordprocessingShape">
                    <wps:wsp>
                      <wps:cNvSpPr/>
                      <wps:spPr>
                        <a:xfrm>
                          <a:off x="0" y="0"/>
                          <a:ext cx="4710223" cy="46783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EDB82A" w14:textId="1891443F" w:rsidR="00775F97" w:rsidRPr="00BC5F1D" w:rsidRDefault="00775F97" w:rsidP="00A35F8A">
                            <w:pPr>
                              <w:pStyle w:val="ListParagraph"/>
                              <w:numPr>
                                <w:ilvl w:val="0"/>
                                <w:numId w:val="5"/>
                              </w:numPr>
                              <w:jc w:val="both"/>
                              <w:rPr>
                                <w:rFonts w:ascii="Arial" w:hAnsi="Arial" w:cs="Arial"/>
                                <w:color w:val="000000" w:themeColor="text1"/>
                                <w:sz w:val="20"/>
                                <w:szCs w:val="20"/>
                                <w:lang w:val="en-US"/>
                              </w:rPr>
                            </w:pPr>
                            <w:r w:rsidRPr="00BC5F1D">
                              <w:rPr>
                                <w:rFonts w:ascii="Arial" w:hAnsi="Arial" w:cs="Arial"/>
                                <w:color w:val="000000" w:themeColor="text1"/>
                                <w:sz w:val="18"/>
                                <w:szCs w:val="18"/>
                                <w:lang w:val="en-US"/>
                              </w:rPr>
                              <w:t xml:space="preserve"> The time effect: Sum of squares = </w:t>
                            </w:r>
                            <w:r w:rsidRPr="00BC5F1D">
                              <w:rPr>
                                <w:rFonts w:ascii="Arial" w:hAnsi="Arial" w:cs="Arial"/>
                                <w:b/>
                                <w:bCs/>
                                <w:color w:val="000000" w:themeColor="text1"/>
                                <w:sz w:val="18"/>
                                <w:szCs w:val="18"/>
                                <w:lang w:val="en-US"/>
                              </w:rPr>
                              <w:t>10.96%, P = 0.0001</w:t>
                            </w:r>
                            <w:r w:rsidRPr="00BC5F1D">
                              <w:rPr>
                                <w:rFonts w:ascii="Arial" w:hAnsi="Arial" w:cs="Arial"/>
                                <w:color w:val="000000" w:themeColor="text1"/>
                                <w:sz w:val="18"/>
                                <w:szCs w:val="18"/>
                                <w:lang w:val="en-US"/>
                              </w:rPr>
                              <w:t xml:space="preserve">; Extract concentration effect: Sum of squares </w:t>
                            </w:r>
                            <w:r w:rsidRPr="00BC5F1D">
                              <w:rPr>
                                <w:rFonts w:ascii="Arial" w:hAnsi="Arial" w:cs="Arial"/>
                                <w:b/>
                                <w:bCs/>
                                <w:color w:val="000000" w:themeColor="text1"/>
                                <w:sz w:val="18"/>
                                <w:szCs w:val="18"/>
                                <w:lang w:val="en-US"/>
                              </w:rPr>
                              <w:t>= 80.92%, P = 0.0000</w:t>
                            </w:r>
                            <w:r w:rsidRPr="00BC5F1D">
                              <w:rPr>
                                <w:rFonts w:ascii="Arial" w:hAnsi="Arial" w:cs="Arial"/>
                                <w:color w:val="000000" w:themeColor="text1"/>
                                <w:sz w:val="18"/>
                                <w:szCs w:val="18"/>
                                <w:lang w:val="en-US"/>
                              </w:rPr>
                              <w:t>; Residual: Sum of squares = 8.11%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06C2F" id="_x0000_s1027" style="position:absolute;margin-left:-34.85pt;margin-top:230.4pt;width:370.9pt;height:36.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" filled="f" stroked="f" strokeweight="1pt">
                <v:textbox>
                  <w:txbxContent>
                    <w:p w14:paraId="34EDB82A" w14:textId="1891443F" w:rsidR="00775F97" w:rsidRPr="00BC5F1D" w:rsidRDefault="00775F97" w:rsidP="00A35F8A">
                      <w:pPr>
                        <w:pStyle w:val="ListParagraph"/>
                        <w:numPr>
                          <w:ilvl w:val="0"/>
                          <w:numId w:val="5"/>
                        </w:numPr>
                        <w:jc w:val="both"/>
                        <w:rPr>
                          <w:rFonts w:ascii="Arial" w:hAnsi="Arial" w:cs="Arial"/>
                          <w:color w:val="000000" w:themeColor="text1"/>
                          <w:sz w:val="20"/>
                          <w:szCs w:val="20"/>
                          <w:lang w:val="en-US"/>
                        </w:rPr>
                      </w:pPr>
                      <w:r w:rsidRPr="00BC5F1D">
                        <w:rPr>
                          <w:rFonts w:ascii="Arial" w:hAnsi="Arial" w:cs="Arial"/>
                          <w:color w:val="000000" w:themeColor="text1"/>
                          <w:sz w:val="18"/>
                          <w:szCs w:val="18"/>
                          <w:lang w:val="en-US"/>
                        </w:rPr>
                        <w:t xml:space="preserve"> The time effect: Sum of squares = </w:t>
                      </w:r>
                      <w:r w:rsidRPr="00BC5F1D">
                        <w:rPr>
                          <w:rFonts w:ascii="Arial" w:hAnsi="Arial" w:cs="Arial"/>
                          <w:b/>
                          <w:bCs/>
                          <w:color w:val="000000" w:themeColor="text1"/>
                          <w:sz w:val="18"/>
                          <w:szCs w:val="18"/>
                          <w:lang w:val="en-US"/>
                        </w:rPr>
                        <w:t>10.96%, P = 0.0001</w:t>
                      </w:r>
                      <w:r w:rsidRPr="00BC5F1D">
                        <w:rPr>
                          <w:rFonts w:ascii="Arial" w:hAnsi="Arial" w:cs="Arial"/>
                          <w:color w:val="000000" w:themeColor="text1"/>
                          <w:sz w:val="18"/>
                          <w:szCs w:val="18"/>
                          <w:lang w:val="en-US"/>
                        </w:rPr>
                        <w:t xml:space="preserve">; Extract concentration effect: Sum of squares </w:t>
                      </w:r>
                      <w:r w:rsidRPr="00BC5F1D">
                        <w:rPr>
                          <w:rFonts w:ascii="Arial" w:hAnsi="Arial" w:cs="Arial"/>
                          <w:b/>
                          <w:bCs/>
                          <w:color w:val="000000" w:themeColor="text1"/>
                          <w:sz w:val="18"/>
                          <w:szCs w:val="18"/>
                          <w:lang w:val="en-US"/>
                        </w:rPr>
                        <w:t>= 80.92%, P = 0.0000</w:t>
                      </w:r>
                      <w:r w:rsidRPr="00BC5F1D">
                        <w:rPr>
                          <w:rFonts w:ascii="Arial" w:hAnsi="Arial" w:cs="Arial"/>
                          <w:color w:val="000000" w:themeColor="text1"/>
                          <w:sz w:val="18"/>
                          <w:szCs w:val="18"/>
                          <w:lang w:val="en-US"/>
                        </w:rPr>
                        <w:t>; Residual: Sum of squares = 8.11%</w:t>
                      </w:r>
                    </w:p>
                  </w:txbxContent>
                </v:textbox>
                <w10:wrap anchorx="margin"/>
              </v:rect>
            </w:pict>
          </mc:Fallback>
        </mc:AlternateContent>
      </w:r>
      <w:r w:rsidR="000F57C0">
        <w:object w:dxaOrig="14074" w:dyaOrig="9520" w14:anchorId="7A8CCA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25pt;height:225pt" o:ole="">
            <v:imagedata r:id="rId14" o:title=""/>
          </v:shape>
          <o:OLEObject Type="Embed" ProgID="Unknown" ShapeID="_x0000_i1025" DrawAspect="Content" ObjectID="_1800457578" r:id="rId15"/>
        </w:object>
      </w:r>
      <w:r w:rsidR="00775F97" w:rsidRPr="005C1612">
        <w:rPr>
          <w:rFonts w:ascii="Times New Roman" w:hAnsi="Times New Roman" w:cs="Times New Roman"/>
          <w:lang w:val="en-US"/>
        </w:rPr>
        <w:t xml:space="preserve">    </w:t>
      </w:r>
      <w:r w:rsidR="003B09B6" w:rsidRPr="005C1612">
        <w:rPr>
          <w:lang w:val="en-US"/>
        </w:rPr>
        <w:t xml:space="preserve">    </w:t>
      </w:r>
      <w:r w:rsidR="000F57C0">
        <w:object w:dxaOrig="13969" w:dyaOrig="9520" w14:anchorId="241A47A8">
          <v:shape id="_x0000_i1026" type="#_x0000_t75" style="width:330pt;height:225pt" o:ole="">
            <v:imagedata r:id="rId16" o:title=""/>
          </v:shape>
          <o:OLEObject Type="Embed" ProgID="Unknown" ShapeID="_x0000_i1026" DrawAspect="Content" ObjectID="_1800457579" r:id="rId17"/>
        </w:object>
      </w:r>
    </w:p>
    <w:p w14:paraId="32567AA4" w14:textId="00136DDD" w:rsidR="00251C08" w:rsidRPr="00B64D85" w:rsidRDefault="009A02E1" w:rsidP="003B09B6">
      <w:pPr>
        <w:spacing w:line="360" w:lineRule="auto"/>
        <w:rPr>
          <w:rFonts w:ascii="Times New Roman" w:hAnsi="Times New Roman" w:cs="Times New Roman"/>
          <w:lang w:val="en-US"/>
        </w:rPr>
        <w:sectPr w:rsidR="00251C08" w:rsidRPr="00B64D85" w:rsidSect="000B582C">
          <w:type w:val="continuous"/>
          <w:pgSz w:w="16838" w:h="11906" w:orient="landscape"/>
          <w:pgMar w:top="851" w:right="1417" w:bottom="1417" w:left="1417" w:header="708" w:footer="708" w:gutter="0"/>
          <w:cols w:space="708"/>
          <w:docGrid w:linePitch="360"/>
        </w:sectPr>
      </w:pPr>
      <w:r>
        <w:rPr>
          <w:noProof/>
        </w:rPr>
        <mc:AlternateContent>
          <mc:Choice Requires="wps">
            <w:drawing>
              <wp:anchor distT="0" distB="0" distL="114300" distR="114300" simplePos="0" relativeHeight="251663360" behindDoc="0" locked="0" layoutInCell="1" allowOverlap="1" wp14:anchorId="7C18DB6F" wp14:editId="73BC6620">
                <wp:simplePos x="0" y="0"/>
                <wp:positionH relativeFrom="margin">
                  <wp:posOffset>-108225</wp:posOffset>
                </wp:positionH>
                <wp:positionV relativeFrom="paragraph">
                  <wp:posOffset>2841616</wp:posOffset>
                </wp:positionV>
                <wp:extent cx="4722126" cy="424815"/>
                <wp:effectExtent l="0" t="0" r="0" b="0"/>
                <wp:wrapNone/>
                <wp:docPr id="10816754" name="Rectangle 34"/>
                <wp:cNvGraphicFramePr/>
                <a:graphic xmlns:a="http://schemas.openxmlformats.org/drawingml/2006/main">
                  <a:graphicData uri="http://schemas.microsoft.com/office/word/2010/wordprocessingShape">
                    <wps:wsp>
                      <wps:cNvSpPr/>
                      <wps:spPr>
                        <a:xfrm>
                          <a:off x="0" y="0"/>
                          <a:ext cx="4722126" cy="4248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7C3019" w14:textId="403FAD20" w:rsidR="00A35F8A" w:rsidRPr="00BC5F1D" w:rsidRDefault="00A35F8A" w:rsidP="00A35F8A">
                            <w:pPr>
                              <w:jc w:val="both"/>
                              <w:rPr>
                                <w:rFonts w:ascii="Arial" w:hAnsi="Arial" w:cs="Arial"/>
                                <w:color w:val="000000" w:themeColor="text1"/>
                                <w:sz w:val="20"/>
                                <w:szCs w:val="20"/>
                                <w:lang w:val="en-US"/>
                              </w:rPr>
                            </w:pPr>
                            <w:r w:rsidRPr="00BC5F1D">
                              <w:rPr>
                                <w:rFonts w:ascii="Arial" w:hAnsi="Arial" w:cs="Arial"/>
                                <w:b/>
                                <w:bCs/>
                                <w:color w:val="000000" w:themeColor="text1"/>
                                <w:sz w:val="18"/>
                                <w:szCs w:val="18"/>
                                <w:lang w:val="en-US"/>
                              </w:rPr>
                              <w:t xml:space="preserve">(c) </w:t>
                            </w:r>
                            <w:r w:rsidRPr="00BC5F1D">
                              <w:rPr>
                                <w:rFonts w:ascii="Arial" w:hAnsi="Arial" w:cs="Arial"/>
                                <w:color w:val="000000" w:themeColor="text1"/>
                                <w:sz w:val="18"/>
                                <w:szCs w:val="18"/>
                                <w:lang w:val="en-US"/>
                              </w:rPr>
                              <w:t xml:space="preserve">The time effect: Sum of squares </w:t>
                            </w:r>
                            <w:r w:rsidRPr="00BC5F1D">
                              <w:rPr>
                                <w:rFonts w:ascii="Arial" w:hAnsi="Arial" w:cs="Arial"/>
                                <w:b/>
                                <w:bCs/>
                                <w:color w:val="000000" w:themeColor="text1"/>
                                <w:sz w:val="18"/>
                                <w:szCs w:val="18"/>
                                <w:lang w:val="en-US"/>
                              </w:rPr>
                              <w:t>= 40.06%,</w:t>
                            </w:r>
                            <w:r w:rsidRPr="00BC5F1D">
                              <w:rPr>
                                <w:rFonts w:ascii="Arial" w:hAnsi="Arial" w:cs="Arial"/>
                                <w:color w:val="000000" w:themeColor="text1"/>
                                <w:sz w:val="18"/>
                                <w:szCs w:val="18"/>
                                <w:lang w:val="en-US"/>
                              </w:rPr>
                              <w:t xml:space="preserve"> </w:t>
                            </w:r>
                            <w:r w:rsidRPr="00BC5F1D">
                              <w:rPr>
                                <w:rFonts w:ascii="Arial" w:hAnsi="Arial" w:cs="Arial"/>
                                <w:b/>
                                <w:bCs/>
                                <w:color w:val="000000" w:themeColor="text1"/>
                                <w:sz w:val="18"/>
                                <w:szCs w:val="18"/>
                                <w:lang w:val="en-US"/>
                              </w:rPr>
                              <w:t>P = 0.0000</w:t>
                            </w:r>
                            <w:r w:rsidRPr="00BC5F1D">
                              <w:rPr>
                                <w:rFonts w:ascii="Arial" w:hAnsi="Arial" w:cs="Arial"/>
                                <w:color w:val="000000" w:themeColor="text1"/>
                                <w:sz w:val="18"/>
                                <w:szCs w:val="18"/>
                                <w:lang w:val="en-US"/>
                              </w:rPr>
                              <w:t xml:space="preserve">; Extract concentration effect: Sum of squares </w:t>
                            </w:r>
                            <w:r w:rsidRPr="00BC5F1D">
                              <w:rPr>
                                <w:rFonts w:ascii="Arial" w:hAnsi="Arial" w:cs="Arial"/>
                                <w:b/>
                                <w:bCs/>
                                <w:color w:val="000000" w:themeColor="text1"/>
                                <w:sz w:val="18"/>
                                <w:szCs w:val="18"/>
                                <w:lang w:val="en-US"/>
                              </w:rPr>
                              <w:t>= 57.34%,</w:t>
                            </w:r>
                            <w:r w:rsidRPr="00BC5F1D">
                              <w:rPr>
                                <w:rFonts w:ascii="Arial" w:hAnsi="Arial" w:cs="Arial"/>
                                <w:color w:val="000000" w:themeColor="text1"/>
                                <w:sz w:val="18"/>
                                <w:szCs w:val="18"/>
                                <w:lang w:val="en-US"/>
                              </w:rPr>
                              <w:t xml:space="preserve"> </w:t>
                            </w:r>
                            <w:r w:rsidRPr="00BC5F1D">
                              <w:rPr>
                                <w:rFonts w:ascii="Arial" w:hAnsi="Arial" w:cs="Arial"/>
                                <w:b/>
                                <w:bCs/>
                                <w:color w:val="000000" w:themeColor="text1"/>
                                <w:sz w:val="18"/>
                                <w:szCs w:val="18"/>
                                <w:lang w:val="en-US"/>
                              </w:rPr>
                              <w:t>P = 0.0000</w:t>
                            </w:r>
                            <w:r w:rsidRPr="00BC5F1D">
                              <w:rPr>
                                <w:rFonts w:ascii="Arial" w:hAnsi="Arial" w:cs="Arial"/>
                                <w:color w:val="000000" w:themeColor="text1"/>
                                <w:sz w:val="18"/>
                                <w:szCs w:val="18"/>
                                <w:lang w:val="en-US"/>
                              </w:rPr>
                              <w:t>; Residual: Sum of squares = 2.60%</w:t>
                            </w:r>
                          </w:p>
                          <w:p w14:paraId="7C4120F1" w14:textId="77777777" w:rsidR="00A35F8A" w:rsidRPr="00BC5F1D" w:rsidRDefault="00A35F8A" w:rsidP="00A35F8A">
                            <w:pPr>
                              <w:jc w:val="center"/>
                              <w:rPr>
                                <w:rFonts w:ascii="Arial" w:hAnsi="Arial" w:cs="Arial"/>
                                <w:color w:val="000000" w:themeColor="text1"/>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8DB6F" id="_x0000_s1028" style="position:absolute;margin-left:-8.5pt;margin-top:223.75pt;width:371.8pt;height:3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" filled="f" stroked="f" strokeweight="1pt">
                <v:textbox>
                  <w:txbxContent>
                    <w:p w14:paraId="487C3019" w14:textId="403FAD20" w:rsidR="00A35F8A" w:rsidRPr="00BC5F1D" w:rsidRDefault="00A35F8A" w:rsidP="00A35F8A">
                      <w:pPr>
                        <w:jc w:val="both"/>
                        <w:rPr>
                          <w:rFonts w:ascii="Arial" w:hAnsi="Arial" w:cs="Arial"/>
                          <w:color w:val="000000" w:themeColor="text1"/>
                          <w:sz w:val="20"/>
                          <w:szCs w:val="20"/>
                          <w:lang w:val="en-US"/>
                        </w:rPr>
                      </w:pPr>
                      <w:r w:rsidRPr="00BC5F1D">
                        <w:rPr>
                          <w:rFonts w:ascii="Arial" w:hAnsi="Arial" w:cs="Arial"/>
                          <w:b/>
                          <w:bCs/>
                          <w:color w:val="000000" w:themeColor="text1"/>
                          <w:sz w:val="18"/>
                          <w:szCs w:val="18"/>
                          <w:lang w:val="en-US"/>
                        </w:rPr>
                        <w:t xml:space="preserve">(c) </w:t>
                      </w:r>
                      <w:r w:rsidRPr="00BC5F1D">
                        <w:rPr>
                          <w:rFonts w:ascii="Arial" w:hAnsi="Arial" w:cs="Arial"/>
                          <w:color w:val="000000" w:themeColor="text1"/>
                          <w:sz w:val="18"/>
                          <w:szCs w:val="18"/>
                          <w:lang w:val="en-US"/>
                        </w:rPr>
                        <w:t xml:space="preserve">The time effect: Sum of squares </w:t>
                      </w:r>
                      <w:r w:rsidRPr="00BC5F1D">
                        <w:rPr>
                          <w:rFonts w:ascii="Arial" w:hAnsi="Arial" w:cs="Arial"/>
                          <w:b/>
                          <w:bCs/>
                          <w:color w:val="000000" w:themeColor="text1"/>
                          <w:sz w:val="18"/>
                          <w:szCs w:val="18"/>
                          <w:lang w:val="en-US"/>
                        </w:rPr>
                        <w:t>= 40.06%,</w:t>
                      </w:r>
                      <w:r w:rsidRPr="00BC5F1D">
                        <w:rPr>
                          <w:rFonts w:ascii="Arial" w:hAnsi="Arial" w:cs="Arial"/>
                          <w:color w:val="000000" w:themeColor="text1"/>
                          <w:sz w:val="18"/>
                          <w:szCs w:val="18"/>
                          <w:lang w:val="en-US"/>
                        </w:rPr>
                        <w:t xml:space="preserve"> </w:t>
                      </w:r>
                      <w:r w:rsidRPr="00BC5F1D">
                        <w:rPr>
                          <w:rFonts w:ascii="Arial" w:hAnsi="Arial" w:cs="Arial"/>
                          <w:b/>
                          <w:bCs/>
                          <w:color w:val="000000" w:themeColor="text1"/>
                          <w:sz w:val="18"/>
                          <w:szCs w:val="18"/>
                          <w:lang w:val="en-US"/>
                        </w:rPr>
                        <w:t>P = 0.0000</w:t>
                      </w:r>
                      <w:r w:rsidRPr="00BC5F1D">
                        <w:rPr>
                          <w:rFonts w:ascii="Arial" w:hAnsi="Arial" w:cs="Arial"/>
                          <w:color w:val="000000" w:themeColor="text1"/>
                          <w:sz w:val="18"/>
                          <w:szCs w:val="18"/>
                          <w:lang w:val="en-US"/>
                        </w:rPr>
                        <w:t xml:space="preserve">; Extract concentration effect: Sum of squares </w:t>
                      </w:r>
                      <w:r w:rsidRPr="00BC5F1D">
                        <w:rPr>
                          <w:rFonts w:ascii="Arial" w:hAnsi="Arial" w:cs="Arial"/>
                          <w:b/>
                          <w:bCs/>
                          <w:color w:val="000000" w:themeColor="text1"/>
                          <w:sz w:val="18"/>
                          <w:szCs w:val="18"/>
                          <w:lang w:val="en-US"/>
                        </w:rPr>
                        <w:t>= 57.34%,</w:t>
                      </w:r>
                      <w:r w:rsidRPr="00BC5F1D">
                        <w:rPr>
                          <w:rFonts w:ascii="Arial" w:hAnsi="Arial" w:cs="Arial"/>
                          <w:color w:val="000000" w:themeColor="text1"/>
                          <w:sz w:val="18"/>
                          <w:szCs w:val="18"/>
                          <w:lang w:val="en-US"/>
                        </w:rPr>
                        <w:t xml:space="preserve"> </w:t>
                      </w:r>
                      <w:r w:rsidRPr="00BC5F1D">
                        <w:rPr>
                          <w:rFonts w:ascii="Arial" w:hAnsi="Arial" w:cs="Arial"/>
                          <w:b/>
                          <w:bCs/>
                          <w:color w:val="000000" w:themeColor="text1"/>
                          <w:sz w:val="18"/>
                          <w:szCs w:val="18"/>
                          <w:lang w:val="en-US"/>
                        </w:rPr>
                        <w:t>P = 0.0000</w:t>
                      </w:r>
                      <w:r w:rsidRPr="00BC5F1D">
                        <w:rPr>
                          <w:rFonts w:ascii="Arial" w:hAnsi="Arial" w:cs="Arial"/>
                          <w:color w:val="000000" w:themeColor="text1"/>
                          <w:sz w:val="18"/>
                          <w:szCs w:val="18"/>
                          <w:lang w:val="en-US"/>
                        </w:rPr>
                        <w:t>; Residual: Sum of squares = 2.60%</w:t>
                      </w:r>
                    </w:p>
                    <w:p w14:paraId="7C4120F1" w14:textId="77777777" w:rsidR="00A35F8A" w:rsidRPr="00BC5F1D" w:rsidRDefault="00A35F8A" w:rsidP="00A35F8A">
                      <w:pPr>
                        <w:jc w:val="center"/>
                        <w:rPr>
                          <w:rFonts w:ascii="Arial" w:hAnsi="Arial" w:cs="Arial"/>
                          <w:color w:val="000000" w:themeColor="text1"/>
                          <w:sz w:val="20"/>
                          <w:szCs w:val="20"/>
                          <w:lang w:val="en-US"/>
                        </w:rPr>
                      </w:pPr>
                    </w:p>
                  </w:txbxContent>
                </v:textbox>
                <w10:wrap anchorx="margin"/>
              </v:rect>
            </w:pict>
          </mc:Fallback>
        </mc:AlternateContent>
      </w:r>
      <w:r w:rsidR="009422D6">
        <w:rPr>
          <w:noProof/>
        </w:rPr>
        <mc:AlternateContent>
          <mc:Choice Requires="wps">
            <w:drawing>
              <wp:anchor distT="0" distB="0" distL="114300" distR="114300" simplePos="0" relativeHeight="251665408" behindDoc="0" locked="0" layoutInCell="1" allowOverlap="1" wp14:anchorId="1383EA8E" wp14:editId="759AD494">
                <wp:simplePos x="0" y="0"/>
                <wp:positionH relativeFrom="margin">
                  <wp:posOffset>4756327</wp:posOffset>
                </wp:positionH>
                <wp:positionV relativeFrom="paragraph">
                  <wp:posOffset>1070196</wp:posOffset>
                </wp:positionV>
                <wp:extent cx="4582633" cy="1467293"/>
                <wp:effectExtent l="0" t="0" r="0" b="0"/>
                <wp:wrapNone/>
                <wp:docPr id="994621062" name="Rectangle 34"/>
                <wp:cNvGraphicFramePr/>
                <a:graphic xmlns:a="http://schemas.openxmlformats.org/drawingml/2006/main">
                  <a:graphicData uri="http://schemas.microsoft.com/office/word/2010/wordprocessingShape">
                    <wps:wsp>
                      <wps:cNvSpPr/>
                      <wps:spPr>
                        <a:xfrm>
                          <a:off x="0" y="0"/>
                          <a:ext cx="4582633" cy="146729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C9D5ED" w14:textId="59F98249" w:rsidR="00B85A36" w:rsidRPr="00BC5F1D" w:rsidRDefault="00006F88" w:rsidP="00612BF4">
                            <w:pPr>
                              <w:spacing w:after="0" w:line="276" w:lineRule="auto"/>
                              <w:jc w:val="both"/>
                              <w:rPr>
                                <w:rFonts w:ascii="Arial" w:hAnsi="Arial" w:cs="Arial"/>
                                <w:color w:val="000000" w:themeColor="text1"/>
                                <w:sz w:val="20"/>
                                <w:szCs w:val="20"/>
                                <w:lang w:val="en-US"/>
                              </w:rPr>
                            </w:pPr>
                            <w:r w:rsidRPr="00BC5F1D">
                              <w:rPr>
                                <w:rFonts w:ascii="Arial" w:hAnsi="Arial" w:cs="Arial"/>
                                <w:b/>
                                <w:bCs/>
                                <w:color w:val="000000" w:themeColor="text1"/>
                                <w:sz w:val="20"/>
                                <w:szCs w:val="20"/>
                                <w:lang w:val="en-US"/>
                              </w:rPr>
                              <w:t>Fig</w:t>
                            </w:r>
                            <w:r w:rsidR="00883578">
                              <w:rPr>
                                <w:rFonts w:ascii="Arial" w:hAnsi="Arial" w:cs="Arial"/>
                                <w:b/>
                                <w:bCs/>
                                <w:color w:val="000000" w:themeColor="text1"/>
                                <w:sz w:val="20"/>
                                <w:szCs w:val="20"/>
                                <w:lang w:val="en-US"/>
                              </w:rPr>
                              <w:t>.</w:t>
                            </w:r>
                            <w:r w:rsidRPr="00BC5F1D">
                              <w:rPr>
                                <w:rFonts w:ascii="Arial" w:hAnsi="Arial" w:cs="Arial"/>
                                <w:b/>
                                <w:bCs/>
                                <w:color w:val="000000" w:themeColor="text1"/>
                                <w:sz w:val="20"/>
                                <w:szCs w:val="20"/>
                                <w:lang w:val="en-US"/>
                              </w:rPr>
                              <w:t xml:space="preserve"> </w:t>
                            </w:r>
                            <w:r w:rsidR="00E43983" w:rsidRPr="00BC5F1D">
                              <w:rPr>
                                <w:rFonts w:ascii="Arial" w:hAnsi="Arial" w:cs="Arial"/>
                                <w:b/>
                                <w:bCs/>
                                <w:color w:val="000000" w:themeColor="text1"/>
                                <w:sz w:val="20"/>
                                <w:szCs w:val="20"/>
                                <w:lang w:val="en-US"/>
                              </w:rPr>
                              <w:t>1</w:t>
                            </w:r>
                            <w:r w:rsidR="00883578">
                              <w:rPr>
                                <w:rFonts w:ascii="Arial" w:hAnsi="Arial" w:cs="Arial"/>
                                <w:b/>
                                <w:bCs/>
                                <w:color w:val="000000" w:themeColor="text1"/>
                                <w:sz w:val="20"/>
                                <w:szCs w:val="20"/>
                                <w:lang w:val="en-US"/>
                              </w:rPr>
                              <w:t>.</w:t>
                            </w:r>
                            <w:r w:rsidRPr="00BC5F1D">
                              <w:rPr>
                                <w:rFonts w:ascii="Arial" w:hAnsi="Arial" w:cs="Arial"/>
                                <w:color w:val="000000" w:themeColor="text1"/>
                                <w:sz w:val="20"/>
                                <w:szCs w:val="20"/>
                                <w:lang w:val="en-US"/>
                              </w:rPr>
                              <w:t xml:space="preserve"> GLUT4 translocation activity of extracts from powdered leaves of </w:t>
                            </w:r>
                            <w:r w:rsidRPr="00BC5F1D">
                              <w:rPr>
                                <w:rFonts w:ascii="Arial" w:hAnsi="Arial" w:cs="Arial"/>
                                <w:i/>
                                <w:iCs/>
                                <w:color w:val="000000" w:themeColor="text1"/>
                                <w:sz w:val="20"/>
                                <w:szCs w:val="20"/>
                                <w:lang w:val="en-US"/>
                              </w:rPr>
                              <w:t xml:space="preserve">Adansonia digitata </w:t>
                            </w:r>
                            <w:r w:rsidRPr="00BC5F1D">
                              <w:rPr>
                                <w:rFonts w:ascii="Arial" w:hAnsi="Arial" w:cs="Arial"/>
                                <w:color w:val="000000" w:themeColor="text1"/>
                                <w:sz w:val="20"/>
                                <w:szCs w:val="20"/>
                                <w:lang w:val="en-US"/>
                              </w:rPr>
                              <w:t xml:space="preserve">(a), </w:t>
                            </w:r>
                            <w:r w:rsidRPr="00BC5F1D">
                              <w:rPr>
                                <w:rFonts w:ascii="Arial" w:hAnsi="Arial" w:cs="Arial"/>
                                <w:i/>
                                <w:iCs/>
                                <w:color w:val="000000" w:themeColor="text1"/>
                                <w:sz w:val="20"/>
                                <w:szCs w:val="20"/>
                                <w:lang w:val="en-US"/>
                              </w:rPr>
                              <w:t>Corchorus olitorius</w:t>
                            </w:r>
                            <w:r w:rsidRPr="00BC5F1D">
                              <w:rPr>
                                <w:rFonts w:ascii="Arial" w:hAnsi="Arial" w:cs="Arial"/>
                                <w:color w:val="000000" w:themeColor="text1"/>
                                <w:sz w:val="20"/>
                                <w:szCs w:val="20"/>
                                <w:lang w:val="en-US"/>
                              </w:rPr>
                              <w:t xml:space="preserve"> (b) and Bark of</w:t>
                            </w:r>
                            <w:r w:rsidR="00E90A8C" w:rsidRPr="00BC5F1D">
                              <w:rPr>
                                <w:rFonts w:ascii="Arial" w:hAnsi="Arial" w:cs="Arial"/>
                                <w:color w:val="000000" w:themeColor="text1"/>
                                <w:sz w:val="20"/>
                                <w:szCs w:val="20"/>
                                <w:lang w:val="en-US"/>
                              </w:rPr>
                              <w:t xml:space="preserve"> </w:t>
                            </w:r>
                            <w:r w:rsidR="00481778" w:rsidRPr="00BC5F1D">
                              <w:rPr>
                                <w:rFonts w:ascii="Arial" w:hAnsi="Arial" w:cs="Arial"/>
                                <w:i/>
                                <w:iCs/>
                                <w:color w:val="000000" w:themeColor="text1"/>
                                <w:sz w:val="20"/>
                                <w:szCs w:val="20"/>
                                <w:lang w:val="en-US"/>
                              </w:rPr>
                              <w:t xml:space="preserve">Triumfetta cordifolia </w:t>
                            </w:r>
                            <w:r w:rsidRPr="00BC5F1D">
                              <w:rPr>
                                <w:rFonts w:ascii="Arial" w:hAnsi="Arial" w:cs="Arial"/>
                                <w:color w:val="000000" w:themeColor="text1"/>
                                <w:sz w:val="20"/>
                                <w:szCs w:val="20"/>
                                <w:lang w:val="en-US"/>
                              </w:rPr>
                              <w:t>(c) at different concentrations (50, 100, 200 µg/ml) over time. Means</w:t>
                            </w:r>
                            <w:r w:rsidR="00B85A36" w:rsidRPr="00BC5F1D">
                              <w:rPr>
                                <w:rFonts w:ascii="Arial" w:hAnsi="Arial" w:cs="Arial"/>
                                <w:color w:val="000000" w:themeColor="text1"/>
                                <w:sz w:val="20"/>
                                <w:szCs w:val="20"/>
                                <w:lang w:val="en-US"/>
                              </w:rPr>
                              <w:t xml:space="preserve"> marked with different lowercase letters (time effect) and uppercase letters (extract concentration effect) indicate significant differences at a probability threshold of P ≤ 0.05.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3EA8E" id="_x0000_s1029" style="position:absolute;margin-left:374.5pt;margin-top:84.25pt;width:360.85pt;height:115.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" filled="f" stroked="f" strokeweight="1pt">
                <v:textbox>
                  <w:txbxContent>
                    <w:p w14:paraId="3AC9D5ED" w14:textId="59F98249" w:rsidR="00B85A36" w:rsidRPr="00BC5F1D" w:rsidRDefault="00006F88" w:rsidP="00612BF4">
                      <w:pPr>
                        <w:spacing w:after="0" w:line="276" w:lineRule="auto"/>
                        <w:jc w:val="both"/>
                        <w:rPr>
                          <w:rFonts w:ascii="Arial" w:hAnsi="Arial" w:cs="Arial"/>
                          <w:color w:val="000000" w:themeColor="text1"/>
                          <w:sz w:val="20"/>
                          <w:szCs w:val="20"/>
                          <w:lang w:val="en-US"/>
                        </w:rPr>
                      </w:pPr>
                      <w:r w:rsidRPr="00BC5F1D">
                        <w:rPr>
                          <w:rFonts w:ascii="Arial" w:hAnsi="Arial" w:cs="Arial"/>
                          <w:b/>
                          <w:bCs/>
                          <w:color w:val="000000" w:themeColor="text1"/>
                          <w:sz w:val="20"/>
                          <w:szCs w:val="20"/>
                          <w:lang w:val="en-US"/>
                        </w:rPr>
                        <w:t>Fig</w:t>
                      </w:r>
                      <w:r w:rsidR="00883578">
                        <w:rPr>
                          <w:rFonts w:ascii="Arial" w:hAnsi="Arial" w:cs="Arial"/>
                          <w:b/>
                          <w:bCs/>
                          <w:color w:val="000000" w:themeColor="text1"/>
                          <w:sz w:val="20"/>
                          <w:szCs w:val="20"/>
                          <w:lang w:val="en-US"/>
                        </w:rPr>
                        <w:t>.</w:t>
                      </w:r>
                      <w:r w:rsidRPr="00BC5F1D">
                        <w:rPr>
                          <w:rFonts w:ascii="Arial" w:hAnsi="Arial" w:cs="Arial"/>
                          <w:b/>
                          <w:bCs/>
                          <w:color w:val="000000" w:themeColor="text1"/>
                          <w:sz w:val="20"/>
                          <w:szCs w:val="20"/>
                          <w:lang w:val="en-US"/>
                        </w:rPr>
                        <w:t xml:space="preserve"> </w:t>
                      </w:r>
                      <w:r w:rsidR="00E43983" w:rsidRPr="00BC5F1D">
                        <w:rPr>
                          <w:rFonts w:ascii="Arial" w:hAnsi="Arial" w:cs="Arial"/>
                          <w:b/>
                          <w:bCs/>
                          <w:color w:val="000000" w:themeColor="text1"/>
                          <w:sz w:val="20"/>
                          <w:szCs w:val="20"/>
                          <w:lang w:val="en-US"/>
                        </w:rPr>
                        <w:t>1</w:t>
                      </w:r>
                      <w:r w:rsidR="00883578">
                        <w:rPr>
                          <w:rFonts w:ascii="Arial" w:hAnsi="Arial" w:cs="Arial"/>
                          <w:b/>
                          <w:bCs/>
                          <w:color w:val="000000" w:themeColor="text1"/>
                          <w:sz w:val="20"/>
                          <w:szCs w:val="20"/>
                          <w:lang w:val="en-US"/>
                        </w:rPr>
                        <w:t>.</w:t>
                      </w:r>
                      <w:r w:rsidRPr="00BC5F1D">
                        <w:rPr>
                          <w:rFonts w:ascii="Arial" w:hAnsi="Arial" w:cs="Arial"/>
                          <w:color w:val="000000" w:themeColor="text1"/>
                          <w:sz w:val="20"/>
                          <w:szCs w:val="20"/>
                          <w:lang w:val="en-US"/>
                        </w:rPr>
                        <w:t xml:space="preserve"> GLUT4 translocation activity of extracts from powdered leaves of </w:t>
                      </w:r>
                      <w:r w:rsidRPr="00BC5F1D">
                        <w:rPr>
                          <w:rFonts w:ascii="Arial" w:hAnsi="Arial" w:cs="Arial"/>
                          <w:i/>
                          <w:iCs/>
                          <w:color w:val="000000" w:themeColor="text1"/>
                          <w:sz w:val="20"/>
                          <w:szCs w:val="20"/>
                          <w:lang w:val="en-US"/>
                        </w:rPr>
                        <w:t xml:space="preserve">Adansonia digitata </w:t>
                      </w:r>
                      <w:r w:rsidRPr="00BC5F1D">
                        <w:rPr>
                          <w:rFonts w:ascii="Arial" w:hAnsi="Arial" w:cs="Arial"/>
                          <w:color w:val="000000" w:themeColor="text1"/>
                          <w:sz w:val="20"/>
                          <w:szCs w:val="20"/>
                          <w:lang w:val="en-US"/>
                        </w:rPr>
                        <w:t xml:space="preserve">(a), </w:t>
                      </w:r>
                      <w:r w:rsidRPr="00BC5F1D">
                        <w:rPr>
                          <w:rFonts w:ascii="Arial" w:hAnsi="Arial" w:cs="Arial"/>
                          <w:i/>
                          <w:iCs/>
                          <w:color w:val="000000" w:themeColor="text1"/>
                          <w:sz w:val="20"/>
                          <w:szCs w:val="20"/>
                          <w:lang w:val="en-US"/>
                        </w:rPr>
                        <w:t>Corchorus olitorius</w:t>
                      </w:r>
                      <w:r w:rsidRPr="00BC5F1D">
                        <w:rPr>
                          <w:rFonts w:ascii="Arial" w:hAnsi="Arial" w:cs="Arial"/>
                          <w:color w:val="000000" w:themeColor="text1"/>
                          <w:sz w:val="20"/>
                          <w:szCs w:val="20"/>
                          <w:lang w:val="en-US"/>
                        </w:rPr>
                        <w:t xml:space="preserve"> (b) and Bark of</w:t>
                      </w:r>
                      <w:r w:rsidR="00E90A8C" w:rsidRPr="00BC5F1D">
                        <w:rPr>
                          <w:rFonts w:ascii="Arial" w:hAnsi="Arial" w:cs="Arial"/>
                          <w:color w:val="000000" w:themeColor="text1"/>
                          <w:sz w:val="20"/>
                          <w:szCs w:val="20"/>
                          <w:lang w:val="en-US"/>
                        </w:rPr>
                        <w:t xml:space="preserve"> </w:t>
                      </w:r>
                      <w:r w:rsidR="00481778" w:rsidRPr="00BC5F1D">
                        <w:rPr>
                          <w:rFonts w:ascii="Arial" w:hAnsi="Arial" w:cs="Arial"/>
                          <w:i/>
                          <w:iCs/>
                          <w:color w:val="000000" w:themeColor="text1"/>
                          <w:sz w:val="20"/>
                          <w:szCs w:val="20"/>
                          <w:lang w:val="en-US"/>
                        </w:rPr>
                        <w:t xml:space="preserve">Triumfetta cordifolia </w:t>
                      </w:r>
                      <w:r w:rsidRPr="00BC5F1D">
                        <w:rPr>
                          <w:rFonts w:ascii="Arial" w:hAnsi="Arial" w:cs="Arial"/>
                          <w:color w:val="000000" w:themeColor="text1"/>
                          <w:sz w:val="20"/>
                          <w:szCs w:val="20"/>
                          <w:lang w:val="en-US"/>
                        </w:rPr>
                        <w:t>(c) at different concentrations (50, 100, 200 µg/ml) over time. Means</w:t>
                      </w:r>
                      <w:r w:rsidR="00B85A36" w:rsidRPr="00BC5F1D">
                        <w:rPr>
                          <w:rFonts w:ascii="Arial" w:hAnsi="Arial" w:cs="Arial"/>
                          <w:color w:val="000000" w:themeColor="text1"/>
                          <w:sz w:val="20"/>
                          <w:szCs w:val="20"/>
                          <w:lang w:val="en-US"/>
                        </w:rPr>
                        <w:t xml:space="preserve"> marked with different lowercase letters (time effect) and uppercase letters (extract concentration effect) indicate significant differences at a probability threshold of P ≤ 0.05.</w:t>
                      </w:r>
                    </w:p>
                  </w:txbxContent>
                </v:textbox>
                <w10:wrap anchorx="margin"/>
              </v:rect>
            </w:pict>
          </mc:Fallback>
        </mc:AlternateContent>
      </w:r>
      <w:r w:rsidR="000F57C0">
        <w:object w:dxaOrig="14052" w:dyaOrig="8290" w14:anchorId="67052E7B">
          <v:shape id="_x0000_i1027" type="#_x0000_t75" style="width:354pt;height:208.5pt" o:ole="">
            <v:imagedata r:id="rId18" o:title=""/>
          </v:shape>
          <o:OLEObject Type="Embed" ProgID="Unknown" ShapeID="_x0000_i1027" DrawAspect="Content" ObjectID="_1800457580" r:id="rId19"/>
        </w:object>
      </w:r>
    </w:p>
    <w:p w14:paraId="718890E8" w14:textId="77777777" w:rsidR="00B007FF" w:rsidRPr="00BC5F1D" w:rsidRDefault="00B007FF" w:rsidP="00B007FF">
      <w:pPr>
        <w:pStyle w:val="ListParagraph"/>
        <w:numPr>
          <w:ilvl w:val="2"/>
          <w:numId w:val="1"/>
        </w:numPr>
        <w:spacing w:line="360" w:lineRule="auto"/>
        <w:jc w:val="both"/>
        <w:rPr>
          <w:rFonts w:ascii="Arial" w:hAnsi="Arial" w:cs="Arial"/>
          <w:b/>
          <w:bCs/>
          <w:lang w:val="en-US"/>
        </w:rPr>
      </w:pPr>
      <w:bookmarkStart w:id="7" w:name="_Hlk189560450"/>
      <w:bookmarkEnd w:id="6"/>
      <w:r w:rsidRPr="00BC5F1D">
        <w:rPr>
          <w:rFonts w:ascii="Arial" w:hAnsi="Arial" w:cs="Arial"/>
          <w:b/>
          <w:bCs/>
          <w:lang w:val="en-US"/>
        </w:rPr>
        <w:lastRenderedPageBreak/>
        <w:t xml:space="preserve">Effects of nutritional composition and bioactive compounds </w:t>
      </w:r>
    </w:p>
    <w:p w14:paraId="058FE037" w14:textId="77777777" w:rsidR="007C7BF0" w:rsidRPr="00BC5F1D" w:rsidRDefault="007C7BF0" w:rsidP="007C7BF0">
      <w:pPr>
        <w:spacing w:line="360" w:lineRule="auto"/>
        <w:jc w:val="both"/>
        <w:rPr>
          <w:rFonts w:ascii="Arial" w:hAnsi="Arial" w:cs="Arial"/>
          <w:sz w:val="20"/>
          <w:szCs w:val="20"/>
          <w:lang w:val="en-US"/>
        </w:rPr>
      </w:pPr>
      <w:r w:rsidRPr="00BC5F1D">
        <w:rPr>
          <w:rFonts w:ascii="Arial" w:hAnsi="Arial" w:cs="Arial"/>
          <w:sz w:val="20"/>
          <w:szCs w:val="20"/>
          <w:lang w:val="en-US"/>
        </w:rPr>
        <w:t xml:space="preserve">Regardless of the studied powder, the GLUT4 translocation activity and its variations are certainly due to the nutritional and bioactive composition of the powders. To this end, a correlation test between the constituents of the powders and the GLUT4 translocation activity at 200 µg/ml was conducted and is presented in Table 4. It shows, on one hand, that between GLUT4-10, GLUT4-20, GLUT4-30 and available sugars, there are high significant negative correlations (r = -0.997, P = 0.044); (r = -0.998, P = 0.039); (r = -0.997, P = 0.043) and with calcium, there are high significant positive correlations (r = 0.998, P = 0.022); (r = 0.999, P = 0.027); (r = 0.998, P = 0.024), respectively. On the other hand, there are also high non-significant negative correlations between GLUT4-10, GLUT4-20, GLUT4-30 and bioactive compounds, particularly total polyphenols (r = -0.857, P = 0.343); (r = -0.853, P = 0.348); (r = -0.856, P = 0.345); condensed tannins (r = -0.993, P = 0.075); (r = -0.994, P = 0.070); (r = -0.993, P = 0.073); and total flavonoids (r = -0.932, P = 0.235); (r = -0.935, P = 0.230); (r = -0.933, P = 0.234), respectively. </w:t>
      </w:r>
    </w:p>
    <w:p w14:paraId="7B9942C4" w14:textId="77777777" w:rsidR="007C7BF0" w:rsidRPr="00BC5F1D" w:rsidRDefault="007C7BF0" w:rsidP="007C7BF0">
      <w:pPr>
        <w:spacing w:line="360" w:lineRule="auto"/>
        <w:jc w:val="both"/>
        <w:rPr>
          <w:rFonts w:ascii="Arial" w:hAnsi="Arial" w:cs="Arial"/>
          <w:sz w:val="20"/>
          <w:szCs w:val="20"/>
          <w:lang w:val="en-US"/>
        </w:rPr>
      </w:pPr>
      <w:r w:rsidRPr="00BC5F1D">
        <w:rPr>
          <w:rFonts w:ascii="Arial" w:hAnsi="Arial" w:cs="Arial"/>
          <w:sz w:val="20"/>
          <w:szCs w:val="20"/>
          <w:lang w:val="en-US"/>
        </w:rPr>
        <w:t>These results indicate that as GLUT4 translocation activity increases, the levels of available sugars and bioactive compounds decrease. This increase in GLUT4 is proportional to the levels of calcium. This suggests that bioactive compounds play a role in the biological mechanisms that trigger GLUT4 translocation to reduce the amount of sugars provided. However, this GLUT4 translocation activity and the reduction in sugar content depend on the amount of available calcium. Due to their significance, the levels of available sugars and calcium, unlike those of bioactive compounds, are two key factors that would condition GLUT4 activity.</w:t>
      </w:r>
    </w:p>
    <w:p w14:paraId="41A36086" w14:textId="77777777" w:rsidR="007C7BF0" w:rsidRPr="00BC5F1D" w:rsidRDefault="007C7BF0" w:rsidP="007C7BF0">
      <w:pPr>
        <w:spacing w:line="360" w:lineRule="auto"/>
        <w:jc w:val="both"/>
        <w:rPr>
          <w:rFonts w:ascii="Arial" w:hAnsi="Arial" w:cs="Arial"/>
          <w:sz w:val="20"/>
          <w:szCs w:val="20"/>
          <w:lang w:val="en-US"/>
        </w:rPr>
      </w:pPr>
      <w:r w:rsidRPr="00BC5F1D">
        <w:rPr>
          <w:rFonts w:ascii="Arial" w:hAnsi="Arial" w:cs="Arial"/>
          <w:sz w:val="20"/>
          <w:szCs w:val="20"/>
          <w:lang w:val="en-US"/>
        </w:rPr>
        <w:t xml:space="preserve">When comparing these results to the literature, it is evident that, unlike many other minerals, calcium plays a crucial role in the mechanisms of GLUT4 translocation. Indeed, calcium is essential for cellular signaling, the activation of protein kinases, and the mobilization of GLUT4 reserves </w:t>
      </w:r>
      <w:r w:rsidRPr="00BC5F1D">
        <w:rPr>
          <w:rFonts w:ascii="Arial" w:hAnsi="Arial" w:cs="Arial"/>
          <w:sz w:val="20"/>
          <w:szCs w:val="20"/>
        </w:rPr>
        <w:fldChar w:fldCharType="begin" w:fldLock="1"/>
      </w:r>
      <w:r w:rsidRPr="00BC5F1D">
        <w:rPr>
          <w:rFonts w:ascii="Arial" w:hAnsi="Arial" w:cs="Arial"/>
          <w:sz w:val="20"/>
          <w:szCs w:val="20"/>
          <w:lang w:val="en-US"/>
        </w:rPr>
        <w:instrText>ADDIN CSL_CITATION {"citationItems":[{"id":"ITEM-1","itemData":{"author":[{"dropping-particle":"","family":"Dombrowski","given":"Luce","non-dropping-particle":"","parse-names":false,"suffix":""}],"id":"ITEM-1","issued":{"date-parts":[["2001"]]},"number-of-pages":"300","publisher":"Université Laval","title":"Mécanisme d'action de l'insuline sur les transporteurs de glucose glut4 dans le muscle squelettique de rats normaux et diabétiques","type":"thesis"},"uris":["http://www.mendeley.com/documents/?uuid=b14a955d-596d-4aba-8dfa-dea808d96027"]}],"mendeley":{"formattedCitation":"(Dombrowski, 2001)","plainTextFormattedCitation":"(Dombrowski, 2001)","previouslyFormattedCitation":"(Dombrowski, 2001)"},"properties":{"noteIndex":0},"schema":"https://github.com/citation-style-language/schema/raw/master/csl-citation.json"}</w:instrText>
      </w:r>
      <w:r w:rsidRPr="00BC5F1D">
        <w:rPr>
          <w:rFonts w:ascii="Arial" w:hAnsi="Arial" w:cs="Arial"/>
          <w:sz w:val="20"/>
          <w:szCs w:val="20"/>
        </w:rPr>
        <w:fldChar w:fldCharType="separate"/>
      </w:r>
      <w:r w:rsidRPr="00BC5F1D">
        <w:rPr>
          <w:rFonts w:ascii="Arial" w:hAnsi="Arial" w:cs="Arial"/>
          <w:noProof/>
          <w:sz w:val="20"/>
          <w:szCs w:val="20"/>
          <w:lang w:val="en-US"/>
        </w:rPr>
        <w:t>(Dombrowski, 2001)</w:t>
      </w:r>
      <w:r w:rsidRPr="00BC5F1D">
        <w:rPr>
          <w:rFonts w:ascii="Arial" w:hAnsi="Arial" w:cs="Arial"/>
          <w:sz w:val="20"/>
          <w:szCs w:val="20"/>
        </w:rPr>
        <w:fldChar w:fldCharType="end"/>
      </w:r>
      <w:r w:rsidRPr="00BC5F1D">
        <w:rPr>
          <w:rFonts w:ascii="Arial" w:hAnsi="Arial" w:cs="Arial"/>
          <w:sz w:val="20"/>
          <w:szCs w:val="20"/>
          <w:lang w:val="en-US"/>
        </w:rPr>
        <w:t xml:space="preserve">. When insulin binds to its receptor on the membrane, it activates a cascade of intracellular signaling that includes an increase in intracellular calcium levels. This increase in calcium is essential for GLUT4 translocation. Intracellular calcium activates certain protein kinases, such as protein kinase C (PKC) and protein kinase B (Akt), which are also involved in GLUT4 translocation. These kinases phosphorylate specific proteins that facilitate the movement of GLUT4 to the plasma membrane. The intracellular reserves of GLUT4 stored in vesicles require calcium for their mobilization. These vesicles fuse with the plasma membrane, allowing for increased glucose absorption </w:t>
      </w:r>
      <w:r w:rsidRPr="00BC5F1D">
        <w:rPr>
          <w:rFonts w:ascii="Arial" w:hAnsi="Arial" w:cs="Arial"/>
          <w:sz w:val="20"/>
          <w:szCs w:val="20"/>
        </w:rPr>
        <w:fldChar w:fldCharType="begin" w:fldLock="1"/>
      </w:r>
      <w:r w:rsidRPr="00BC5F1D">
        <w:rPr>
          <w:rFonts w:ascii="Arial" w:hAnsi="Arial" w:cs="Arial"/>
          <w:sz w:val="20"/>
          <w:szCs w:val="20"/>
          <w:lang w:val="en-US"/>
        </w:rPr>
        <w:instrText>ADDIN CSL_CITATION {"citationItems":[{"id":"ITEM-1","itemData":{"DOI":"10.1152/ajpendo.00045.2014","author":[{"dropping-particle":"","family":"Li","given":"Q","non-dropping-particle":"","parse-names":false,"suffix":""},{"dropping-particle":"","family":"Zhu","given":"X","non-dropping-particle":"","parse-names":false,"suffix":""},{"dropping-particle":"","family":"Ishikura","given":"S","non-dropping-particle":"","parse-names":false,"suffix":""},{"dropping-particle":"","family":"Zhang","given":"D","non-dropping-particle":"","parse-names":false,"suffix":""},{"dropping-particle":"","family":"Gao","given":"J","non-dropping-particle":"","parse-names":false,"suffix":""},{"dropping-particle":"","family":"Sun","given":"Y","non-dropping-particle":"","parse-names":false,"suffix":""},{"dropping-particle":"","family":"Contreras-Ferrat","given":"A","non-dropping-particle":"","parse-names":false,"suffix":""},{"dropping-particle":"","family":"Foley","given":"KP","non-dropping-particle":"","parse-names":false,"suffix":""},{"dropping-particle":"","family":"Lavandero","given":"S","non-dropping-particle":"","parse-names":false,"suffix":""},{"dropping-particle":"","family":"Yao","given":"Z","non-dropping-particle":"","parse-names":false,"suffix":""},{"dropping-particle":"","family":"Bilan","given":"PJ","non-dropping-particle":"","parse-names":false,"suffix":""},{"dropping-particle":"","family":"Klip","given":"A","non-dropping-particle":"","parse-names":false,"suffix":""},{"dropping-particle":"","family":"Niu","given":"W","non-dropping-particle":"","parse-names":false,"suffix":""}],"container-title":"American Physiological Society","id":"ITEM-1","issued":{"date-parts":[["2014"]]},"title":"Ca2+ signals promote GLUT4 exocytosis and reduce its endocytosis in muscle cells","type":"article-journal","volume":"3"},"uris":["http://www.mendeley.com/documents/?uuid=04ca6e0c-70e8-49e7-8cad-dda0301d52d4"]}],"mendeley":{"formattedCitation":"(Li et al., 2014)","plainTextFormattedCitation":"(Li et al., 2014)","previouslyFormattedCitation":"(Li et al., 2014)"},"properties":{"noteIndex":0},"schema":"https://github.com/citation-style-language/schema/raw/master/csl-citation.json"}</w:instrText>
      </w:r>
      <w:r w:rsidRPr="00BC5F1D">
        <w:rPr>
          <w:rFonts w:ascii="Arial" w:hAnsi="Arial" w:cs="Arial"/>
          <w:sz w:val="20"/>
          <w:szCs w:val="20"/>
        </w:rPr>
        <w:fldChar w:fldCharType="separate"/>
      </w:r>
      <w:r w:rsidRPr="00BC5F1D">
        <w:rPr>
          <w:rFonts w:ascii="Arial" w:hAnsi="Arial" w:cs="Arial"/>
          <w:noProof/>
          <w:sz w:val="20"/>
          <w:szCs w:val="20"/>
          <w:lang w:val="en-US"/>
        </w:rPr>
        <w:t>(Li et al., 2014)</w:t>
      </w:r>
      <w:r w:rsidRPr="00BC5F1D">
        <w:rPr>
          <w:rFonts w:ascii="Arial" w:hAnsi="Arial" w:cs="Arial"/>
          <w:sz w:val="20"/>
          <w:szCs w:val="20"/>
        </w:rPr>
        <w:fldChar w:fldCharType="end"/>
      </w:r>
      <w:r w:rsidRPr="00BC5F1D">
        <w:rPr>
          <w:rFonts w:ascii="Arial" w:hAnsi="Arial" w:cs="Arial"/>
          <w:sz w:val="20"/>
          <w:szCs w:val="20"/>
          <w:lang w:val="en-US"/>
        </w:rPr>
        <w:t>. From the above, it is clear that a significant decrease in calcium can disrupt the entire GLUT4 translocation mechanisms and significantly affect the entry of sugar, particularly glucose, into cells. This important role of calcium in GLUT4 translocation highlights its essential nature in the diet of diabetic patients.</w:t>
      </w:r>
    </w:p>
    <w:p w14:paraId="33BAD051" w14:textId="7A3BDD26" w:rsidR="007C7BF0" w:rsidRPr="00BC5F1D" w:rsidRDefault="007C7BF0" w:rsidP="007C7BF0">
      <w:pPr>
        <w:spacing w:line="360" w:lineRule="auto"/>
        <w:jc w:val="both"/>
        <w:rPr>
          <w:rFonts w:ascii="Arial" w:hAnsi="Arial" w:cs="Arial"/>
          <w:sz w:val="20"/>
          <w:szCs w:val="20"/>
          <w:lang w:val="en-US"/>
        </w:rPr>
      </w:pPr>
      <w:r w:rsidRPr="00BC5F1D">
        <w:rPr>
          <w:rFonts w:ascii="Arial" w:hAnsi="Arial" w:cs="Arial"/>
          <w:sz w:val="20"/>
          <w:szCs w:val="20"/>
          <w:lang w:val="en-US"/>
        </w:rPr>
        <w:t>Although the bioactive compounds (total polyphenols, condensed tannins, total flavonoids) did not show any significance under the study conditions, one cannot overlook the fact that their content or even their presence contributes to the movement of GLUT4 storage vesicles to the plasma membrane. This can only be attributed to the action of specific bioactive molecules contained in the powders. To this end, a determination of the bioactive compound profiles of the extracts from each powder was conducted and is presented in Figs</w:t>
      </w:r>
      <w:r w:rsidR="00883578">
        <w:rPr>
          <w:rFonts w:ascii="Arial" w:hAnsi="Arial" w:cs="Arial"/>
          <w:sz w:val="20"/>
          <w:szCs w:val="20"/>
          <w:lang w:val="en-US"/>
        </w:rPr>
        <w:t>.</w:t>
      </w:r>
      <w:r w:rsidRPr="00BC5F1D">
        <w:rPr>
          <w:rFonts w:ascii="Arial" w:hAnsi="Arial" w:cs="Arial"/>
          <w:sz w:val="20"/>
          <w:szCs w:val="20"/>
          <w:lang w:val="en-US"/>
        </w:rPr>
        <w:t xml:space="preserve"> 2, 3, and 4.</w:t>
      </w:r>
    </w:p>
    <w:p w14:paraId="20D692E3" w14:textId="1D5D5936" w:rsidR="007C7BF0" w:rsidRPr="00BC5F1D" w:rsidRDefault="007C7BF0" w:rsidP="007C7BF0">
      <w:pPr>
        <w:spacing w:line="360" w:lineRule="auto"/>
        <w:jc w:val="both"/>
        <w:rPr>
          <w:rFonts w:ascii="Arial" w:hAnsi="Arial" w:cs="Arial"/>
          <w:sz w:val="20"/>
          <w:szCs w:val="20"/>
          <w:lang w:val="en-US"/>
        </w:rPr>
      </w:pPr>
      <w:r w:rsidRPr="00BC5F1D">
        <w:rPr>
          <w:rFonts w:ascii="Arial" w:hAnsi="Arial" w:cs="Arial"/>
          <w:sz w:val="20"/>
          <w:szCs w:val="20"/>
          <w:lang w:val="en-US"/>
        </w:rPr>
        <w:lastRenderedPageBreak/>
        <w:t>Figs</w:t>
      </w:r>
      <w:r w:rsidR="00883578">
        <w:rPr>
          <w:rFonts w:ascii="Arial" w:hAnsi="Arial" w:cs="Arial"/>
          <w:sz w:val="20"/>
          <w:szCs w:val="20"/>
          <w:lang w:val="en-US"/>
        </w:rPr>
        <w:t>.</w:t>
      </w:r>
      <w:r w:rsidRPr="00BC5F1D">
        <w:rPr>
          <w:rFonts w:ascii="Arial" w:hAnsi="Arial" w:cs="Arial"/>
          <w:sz w:val="20"/>
          <w:szCs w:val="20"/>
          <w:lang w:val="en-US"/>
        </w:rPr>
        <w:t xml:space="preserve"> 2 and 3 each present a chromatogram coupled with a mass spectrum that highlight the presence of several chemical compounds contained in the extracts from </w:t>
      </w:r>
      <w:r w:rsidRPr="00BC5F1D">
        <w:rPr>
          <w:rFonts w:ascii="Arial" w:hAnsi="Arial" w:cs="Arial"/>
          <w:i/>
          <w:iCs/>
          <w:sz w:val="20"/>
          <w:szCs w:val="20"/>
          <w:lang w:val="en-US"/>
        </w:rPr>
        <w:t>A. digitata</w:t>
      </w:r>
      <w:r w:rsidRPr="00BC5F1D">
        <w:rPr>
          <w:rFonts w:ascii="Arial" w:hAnsi="Arial" w:cs="Arial"/>
          <w:sz w:val="20"/>
          <w:szCs w:val="20"/>
          <w:lang w:val="en-US"/>
        </w:rPr>
        <w:t xml:space="preserve"> and </w:t>
      </w:r>
      <w:r w:rsidRPr="00BC5F1D">
        <w:rPr>
          <w:rFonts w:ascii="Arial" w:hAnsi="Arial" w:cs="Arial"/>
          <w:i/>
          <w:iCs/>
          <w:sz w:val="20"/>
          <w:szCs w:val="20"/>
          <w:lang w:val="en-US"/>
        </w:rPr>
        <w:t xml:space="preserve">C. </w:t>
      </w:r>
      <w:proofErr w:type="spellStart"/>
      <w:r w:rsidRPr="00BC5F1D">
        <w:rPr>
          <w:rFonts w:ascii="Arial" w:hAnsi="Arial" w:cs="Arial"/>
          <w:i/>
          <w:iCs/>
          <w:sz w:val="20"/>
          <w:szCs w:val="20"/>
          <w:lang w:val="en-US"/>
        </w:rPr>
        <w:t>olitorius</w:t>
      </w:r>
      <w:proofErr w:type="spellEnd"/>
      <w:r w:rsidRPr="00BC5F1D">
        <w:rPr>
          <w:rFonts w:ascii="Arial" w:hAnsi="Arial" w:cs="Arial"/>
          <w:sz w:val="20"/>
          <w:szCs w:val="20"/>
          <w:lang w:val="en-US"/>
        </w:rPr>
        <w:t xml:space="preserve"> powders, respectively. When comparing the identified chemical compounds with literature data, it is observed that in the </w:t>
      </w:r>
      <w:r w:rsidRPr="00BC5F1D">
        <w:rPr>
          <w:rFonts w:ascii="Arial" w:hAnsi="Arial" w:cs="Arial"/>
          <w:i/>
          <w:iCs/>
          <w:sz w:val="20"/>
          <w:szCs w:val="20"/>
          <w:lang w:val="en-US"/>
        </w:rPr>
        <w:t>A. digitata</w:t>
      </w:r>
      <w:r w:rsidRPr="00BC5F1D">
        <w:rPr>
          <w:rFonts w:ascii="Arial" w:hAnsi="Arial" w:cs="Arial"/>
          <w:sz w:val="20"/>
          <w:szCs w:val="20"/>
          <w:lang w:val="en-US"/>
        </w:rPr>
        <w:t xml:space="preserve"> powder (Fig</w:t>
      </w:r>
      <w:r w:rsidR="00883578">
        <w:rPr>
          <w:rFonts w:ascii="Arial" w:hAnsi="Arial" w:cs="Arial"/>
          <w:sz w:val="20"/>
          <w:szCs w:val="20"/>
          <w:lang w:val="en-US"/>
        </w:rPr>
        <w:t>.</w:t>
      </w:r>
      <w:r w:rsidRPr="00BC5F1D">
        <w:rPr>
          <w:rFonts w:ascii="Arial" w:hAnsi="Arial" w:cs="Arial"/>
          <w:sz w:val="20"/>
          <w:szCs w:val="20"/>
          <w:lang w:val="en-US"/>
        </w:rPr>
        <w:t xml:space="preserve"> 1), the following flavonoids are known for their GLUT4 translocation activities: Procyanidin B1, Procyanidin C1 and C2; kaempfero</w:t>
      </w:r>
      <w:r w:rsidRPr="00883578">
        <w:rPr>
          <w:rFonts w:ascii="Arial" w:hAnsi="Arial" w:cs="Arial"/>
          <w:sz w:val="20"/>
          <w:szCs w:val="20"/>
          <w:lang w:val="en-US"/>
        </w:rPr>
        <w:t xml:space="preserve">l-3-O-rhamnosylrutinoside, </w:t>
      </w:r>
      <w:proofErr w:type="spellStart"/>
      <w:r w:rsidRPr="00883578">
        <w:rPr>
          <w:rFonts w:ascii="Arial" w:hAnsi="Arial" w:cs="Arial"/>
          <w:sz w:val="20"/>
          <w:szCs w:val="20"/>
          <w:lang w:val="en-US"/>
        </w:rPr>
        <w:t>rutin</w:t>
      </w:r>
      <w:proofErr w:type="spellEnd"/>
      <w:r w:rsidRPr="00883578">
        <w:rPr>
          <w:rFonts w:ascii="Arial" w:hAnsi="Arial" w:cs="Arial"/>
          <w:sz w:val="20"/>
          <w:szCs w:val="20"/>
          <w:lang w:val="en-US"/>
        </w:rPr>
        <w:t xml:space="preserve">, </w:t>
      </w:r>
      <w:proofErr w:type="spellStart"/>
      <w:r w:rsidRPr="00883578">
        <w:rPr>
          <w:rFonts w:ascii="Arial" w:hAnsi="Arial" w:cs="Arial"/>
          <w:sz w:val="20"/>
          <w:szCs w:val="20"/>
          <w:lang w:val="en-US"/>
        </w:rPr>
        <w:t>isoquercetin</w:t>
      </w:r>
      <w:proofErr w:type="spellEnd"/>
      <w:r w:rsidRPr="00883578">
        <w:rPr>
          <w:rFonts w:ascii="Arial" w:hAnsi="Arial" w:cs="Arial"/>
          <w:sz w:val="20"/>
          <w:szCs w:val="20"/>
          <w:lang w:val="en-US"/>
        </w:rPr>
        <w:t xml:space="preserve">, and quercetin </w:t>
      </w:r>
      <w:r w:rsidRPr="00BC5F1D">
        <w:rPr>
          <w:rFonts w:ascii="Arial" w:hAnsi="Arial" w:cs="Arial"/>
          <w:sz w:val="20"/>
          <w:szCs w:val="20"/>
        </w:rPr>
        <w:fldChar w:fldCharType="begin" w:fldLock="1"/>
      </w:r>
      <w:r w:rsidR="009A02E1" w:rsidRPr="00883578">
        <w:rPr>
          <w:rFonts w:ascii="Arial" w:hAnsi="Arial" w:cs="Arial"/>
          <w:sz w:val="20"/>
          <w:szCs w:val="20"/>
          <w:lang w:val="en-US"/>
        </w:rPr>
        <w:instrText>ADDIN CSL_CITATION {"citationItems":[{"id":"ITEM-1","itemData":{"DOI":"10.1371/journal.pone.0161704","author":[{"dropping-particle":"","family":"Yamashita","given":"Yoko","non-dropping-particle":"","parse-names":false,"suffix":""},{"dropping-particle":"","family":"Wang","given":"Liuqing","non-dropping-particle":"","parse-names":false,"suffix":""},{"dropping-particle":"","family":"Nanba","given":"Fumio","non-dropping-particle":"","parse-names":false,"suffix":""},{"dropping-particle":"","family":"Ito","given":"Chiaki","non-dropping-particle":"","parse-names":false,"suffix":""},{"dropping-particle":"","family":"Toda","given":"Toshiya","non-dropping-particle":"","parse-names":false,"suffix":""}],"container-title":"PLoS ONE","id":"ITEM-1","issue":"9","issued":{"date-parts":[["2016"]]},"page":"1-19","title":"Procyanidin Promotes Translocation of Glucose Transporter 4 in Muscle of Mice through Activation of Insulin and AMPK Signaling Pathways","type":"article-journal","volume":"11"},"uris":["http://www.mendeley.com/documents/?uuid=845a9885-c550-4951-a485-4a95c88867a0"]}],"mendeley":{"formattedCitation":"(Yamashita et al., 2016)","manualFormatting":"(Yamashita et al., 2016;","plainTextFormattedCitation":"(Yamashita et al., 2016)","previouslyFormattedCitation":"(Yamashita et al., 2016)"},"properties":{"noteIndex":0},"schema":"https://github.com/citation-style-language/schema/raw/master/csl-citation.json"}</w:instrText>
      </w:r>
      <w:r w:rsidRPr="00BC5F1D">
        <w:rPr>
          <w:rFonts w:ascii="Arial" w:hAnsi="Arial" w:cs="Arial"/>
          <w:sz w:val="20"/>
          <w:szCs w:val="20"/>
        </w:rPr>
        <w:fldChar w:fldCharType="separate"/>
      </w:r>
      <w:r w:rsidRPr="00883578">
        <w:rPr>
          <w:rFonts w:ascii="Arial" w:hAnsi="Arial" w:cs="Arial"/>
          <w:noProof/>
          <w:sz w:val="20"/>
          <w:szCs w:val="20"/>
          <w:lang w:val="en-US"/>
        </w:rPr>
        <w:t>(Yamashita et al., 2016</w:t>
      </w:r>
      <w:r w:rsidR="009A02E1" w:rsidRPr="00883578">
        <w:rPr>
          <w:rFonts w:ascii="Arial" w:hAnsi="Arial" w:cs="Arial"/>
          <w:noProof/>
          <w:sz w:val="20"/>
          <w:szCs w:val="20"/>
          <w:lang w:val="en-US"/>
        </w:rPr>
        <w:t>;</w:t>
      </w:r>
      <w:r w:rsidRPr="00BC5F1D">
        <w:rPr>
          <w:rFonts w:ascii="Arial" w:hAnsi="Arial" w:cs="Arial"/>
          <w:sz w:val="20"/>
          <w:szCs w:val="20"/>
        </w:rPr>
        <w:fldChar w:fldCharType="end"/>
      </w:r>
      <w:r w:rsidR="009A02E1" w:rsidRPr="00883578">
        <w:rPr>
          <w:rFonts w:ascii="Arial" w:hAnsi="Arial" w:cs="Arial"/>
          <w:sz w:val="20"/>
          <w:szCs w:val="20"/>
          <w:lang w:val="en-US"/>
        </w:rPr>
        <w:t xml:space="preserve"> </w:t>
      </w:r>
      <w:r w:rsidRPr="00BC5F1D">
        <w:rPr>
          <w:rFonts w:ascii="Arial" w:hAnsi="Arial" w:cs="Arial"/>
          <w:sz w:val="20"/>
          <w:szCs w:val="20"/>
        </w:rPr>
        <w:fldChar w:fldCharType="begin" w:fldLock="1"/>
      </w:r>
      <w:r w:rsidR="009A02E1" w:rsidRPr="00883578">
        <w:rPr>
          <w:rFonts w:ascii="Arial" w:hAnsi="Arial" w:cs="Arial"/>
          <w:sz w:val="20"/>
          <w:szCs w:val="20"/>
          <w:lang w:val="en-US"/>
        </w:rPr>
        <w:instrText>ADDIN CSL_CITATION {"citationItems":[{"id":"ITEM-1","itemData":{"DOI":"10.3390/molecules26133785","ISSN":"14203049","PMID":"34206320","abstract":"Type 2 diabetes (T2D) is a chronic metabolic disease, which could affect the daily life of patients and increase their risk of developing other diseases. Synthetic anti-diabetic drugs usually show severe side effects. In the last few decades, plant-derived drugs have been intensively studied, particularly because of a rapid development of the instruments used in analytical chemistry. We tested the efficacy of Gundelia tournefortii L. (GT) in increasing the translocation of glucose trans-porter-4 (GLUT4) to the myocyte plasma membrane (PM), as a main strategy to manage T2D. In this study, GT methanol extract was sub-fractionated into 10 samples using flash chromatography. The toxicity of the fractions on L6 muscle cells, stably expressing GLUTmyc, was evaluated using the MTT assay. The efficacy with which GLUT4 was attached to the L6 PM was evaluated at non-toxic conce</w:instrText>
      </w:r>
      <w:r w:rsidR="009A02E1">
        <w:rPr>
          <w:rFonts w:ascii="Arial" w:hAnsi="Arial" w:cs="Arial"/>
          <w:sz w:val="20"/>
          <w:szCs w:val="20"/>
        </w:rPr>
        <w:instrText>ntrations. Fraction 6 was the most effective, as it stimulated GLUT4 translocation in the absence and presence of insulin, 3.5 and 5.2 times (at 250 μg/mL), respectively. Fraction 1 and 3 showed no significant effects on GLUT4 translocation, while other fractions increased GLUT4 trans-location up to 2.0 times. Gas chromatography–mass spectrometry of silylated fractions revealed 98 distinct compounds. Among those compounds, 25 were considered anti-diabetic and glucose dis-posal agents. These findings suggest that GT methanol sub-fractions exert an anti-diabetic effect by modulating GLUT4 translocation in L6 muscle cells, and indicate the potential of GT extracts as novel therapeutic agents for T2D.","author":[{"dropping-particle":"","family":"Kadan","given":"Sleman","non-dropping-particle":"","parse-names":false,"suffix":""},{"dropping-particle":"","family":"Melamed","given":"Sarit","non-dropping-particle":"","parse-names":false,"suffix":""},{"dropping-particle":"","family":"Benvalid","given":"Shoshana","non-dropping-particle":"","parse-names":false,"suffix":""},{"dropping-particle":"","family":"Tietel","given":"Zipora","non-dropping-particle":"","parse-names":false,"suffix":""},{"dropping-particle":"","family":"Sasson","given":"Yoel","non-dropping-particle":"","parse-names":false,"suffix":""},{"dropping-particle":"","family":"Zaid","given":"Hilal","non-dropping-particle":"","parse-names":false,"suffix":""}],"container-title":"Molecules","id":"ITEM-1","issue":"13","issued":{"date-parts":[["2021"]]},"title":"Gundelia tournefortii: Fractionation, chemical composition and glut4 translocation enhancement in muscle cell line","type":"article-journal","volume":"26"},"uris":["http://www.mendeley.com/documents/?uuid=8b6ffebb-c2f2-49ab-b2b2-8c69be03ca03"]}],"mendeley":{"formattedCitation":"(Kadan et al., 2021)","manualFormatting":"Kadan et al., 2021;","plainTextFormattedCitation":"(Kadan et al., 2021)","previouslyFormattedCitation":"(Kadan et al., 2021)"},"properties":{"noteIndex":0},"schema":"https://github.com/citation-style-language/schema/raw/master/csl-citation.json"}</w:instrText>
      </w:r>
      <w:r w:rsidRPr="00BC5F1D">
        <w:rPr>
          <w:rFonts w:ascii="Arial" w:hAnsi="Arial" w:cs="Arial"/>
          <w:sz w:val="20"/>
          <w:szCs w:val="20"/>
        </w:rPr>
        <w:fldChar w:fldCharType="separate"/>
      </w:r>
      <w:r w:rsidRPr="00BC5F1D">
        <w:rPr>
          <w:rFonts w:ascii="Arial" w:hAnsi="Arial" w:cs="Arial"/>
          <w:noProof/>
          <w:sz w:val="20"/>
          <w:szCs w:val="20"/>
        </w:rPr>
        <w:t>Kadan et al., 2021</w:t>
      </w:r>
      <w:r w:rsidR="009A02E1">
        <w:rPr>
          <w:rFonts w:ascii="Arial" w:hAnsi="Arial" w:cs="Arial"/>
          <w:noProof/>
          <w:sz w:val="20"/>
          <w:szCs w:val="20"/>
        </w:rPr>
        <w:t>;</w:t>
      </w:r>
      <w:r w:rsidRPr="00BC5F1D">
        <w:rPr>
          <w:rFonts w:ascii="Arial" w:hAnsi="Arial" w:cs="Arial"/>
          <w:sz w:val="20"/>
          <w:szCs w:val="20"/>
        </w:rPr>
        <w:fldChar w:fldCharType="end"/>
      </w:r>
      <w:r w:rsidR="009A02E1">
        <w:rPr>
          <w:rFonts w:ascii="Arial" w:hAnsi="Arial" w:cs="Arial"/>
          <w:sz w:val="20"/>
          <w:szCs w:val="20"/>
        </w:rPr>
        <w:t xml:space="preserve"> </w:t>
      </w:r>
      <w:r w:rsidRPr="00BC5F1D">
        <w:rPr>
          <w:rFonts w:ascii="Arial" w:hAnsi="Arial" w:cs="Arial"/>
          <w:sz w:val="20"/>
          <w:szCs w:val="20"/>
        </w:rPr>
        <w:fldChar w:fldCharType="begin" w:fldLock="1"/>
      </w:r>
      <w:r w:rsidR="009A02E1">
        <w:rPr>
          <w:rFonts w:ascii="Arial" w:hAnsi="Arial" w:cs="Arial"/>
          <w:sz w:val="20"/>
          <w:szCs w:val="20"/>
        </w:rPr>
        <w:instrText>ADDIN CSL_CITATION {"citationItems":[{"id":"ITEM-1","itemData":{"DOI":"10.14421/biomedich.2023.121.289-293","ISSN":"2089-6514","abstract":"WHO reported 1.9 million death cases of diabetes patients in 2019. Diabetes is caused by damage in the pancreas which resulted in a lack of insulin or insulin resistance. Medication for T2DM mainly focuses on lowering blood glucose and treating affected organs. Current medications are still lacking, thus research is needed in finding novel medications to accommodate T2DM. This paper aims to present the current research on potential plant extract in increasing GLUT4 translocation in diabetes conditions. insulin resistance state affecting GLUT4 translocation which is important in affecting glucose uptake. Some research shows that plant extract proved to be potential in increasing the translocation of GLUT4 and helping lowering blood glucose levels.","author":[{"dropping-particle":"","family":"Sutandar","given":"Vivi Hendra","non-dropping-particle":"","parse-names":false,"suffix":""},{"dropping-particle":"","family":"Saleh","given":"Mgs. Irsan","non-dropping-particle":"","parse-names":false,"suffix":""},{"dropping-particle":"","family":"Maritska","given":"Ziske","non-dropping-particle":"","parse-names":false,"suffix":""}],"container-title":"Biology, Medicine, &amp; Natural Product Chemistry","id":"ITEM-1","issue":"1","issued":{"date-parts":[["2023"]]},"page":"289-293","title":"GLUT4 as A Protein Target for T2DM Therapy with Natural Compounds","type":"article-journal","volume":"12"},"uris":["http://www.mendeley.com/documents/?uuid=90379f2a-10d1-4092-88b4-73a60ca3c460"]}],"mendeley":{"formattedCitation":"(Sutandar et al., 2023)","manualFormatting":"Sutandar et al., 2023)","plainTextFormattedCitation":"(Sutandar et al., 2023)","previouslyFormattedCitation":"(Sutandar et al., 2023)"},"properties":{"noteIndex":0},"schema":"https://github.com/citation-style-language/schema/raw/master/csl-citation.json"}</w:instrText>
      </w:r>
      <w:r w:rsidRPr="00BC5F1D">
        <w:rPr>
          <w:rFonts w:ascii="Arial" w:hAnsi="Arial" w:cs="Arial"/>
          <w:sz w:val="20"/>
          <w:szCs w:val="20"/>
        </w:rPr>
        <w:fldChar w:fldCharType="separate"/>
      </w:r>
      <w:r w:rsidRPr="00B148EB">
        <w:rPr>
          <w:rFonts w:ascii="Arial" w:hAnsi="Arial" w:cs="Arial"/>
          <w:noProof/>
          <w:sz w:val="20"/>
          <w:szCs w:val="20"/>
        </w:rPr>
        <w:t>Sutandar et al., 2023)</w:t>
      </w:r>
      <w:r w:rsidRPr="00BC5F1D">
        <w:rPr>
          <w:rFonts w:ascii="Arial" w:hAnsi="Arial" w:cs="Arial"/>
          <w:sz w:val="20"/>
          <w:szCs w:val="20"/>
        </w:rPr>
        <w:fldChar w:fldCharType="end"/>
      </w:r>
      <w:r w:rsidRPr="00B148EB">
        <w:rPr>
          <w:rFonts w:ascii="Arial" w:hAnsi="Arial" w:cs="Arial"/>
          <w:sz w:val="20"/>
          <w:szCs w:val="20"/>
        </w:rPr>
        <w:t xml:space="preserve">. </w:t>
      </w:r>
      <w:proofErr w:type="spellStart"/>
      <w:r w:rsidRPr="00B148EB">
        <w:rPr>
          <w:rFonts w:ascii="Arial" w:hAnsi="Arial" w:cs="Arial"/>
          <w:sz w:val="20"/>
          <w:szCs w:val="20"/>
        </w:rPr>
        <w:t>Meanwhile</w:t>
      </w:r>
      <w:proofErr w:type="spellEnd"/>
      <w:r w:rsidRPr="00B148EB">
        <w:rPr>
          <w:rFonts w:ascii="Arial" w:hAnsi="Arial" w:cs="Arial"/>
          <w:sz w:val="20"/>
          <w:szCs w:val="20"/>
        </w:rPr>
        <w:t xml:space="preserve">, in the </w:t>
      </w:r>
      <w:r w:rsidRPr="00B148EB">
        <w:rPr>
          <w:rFonts w:ascii="Arial" w:hAnsi="Arial" w:cs="Arial"/>
          <w:i/>
          <w:iCs/>
          <w:sz w:val="20"/>
          <w:szCs w:val="20"/>
        </w:rPr>
        <w:t xml:space="preserve">C. </w:t>
      </w:r>
      <w:proofErr w:type="spellStart"/>
      <w:r w:rsidRPr="00B148EB">
        <w:rPr>
          <w:rFonts w:ascii="Arial" w:hAnsi="Arial" w:cs="Arial"/>
          <w:i/>
          <w:iCs/>
          <w:sz w:val="20"/>
          <w:szCs w:val="20"/>
        </w:rPr>
        <w:t>olitorius</w:t>
      </w:r>
      <w:proofErr w:type="spellEnd"/>
      <w:r w:rsidRPr="00B148EB">
        <w:rPr>
          <w:rFonts w:ascii="Arial" w:hAnsi="Arial" w:cs="Arial"/>
          <w:sz w:val="20"/>
          <w:szCs w:val="20"/>
        </w:rPr>
        <w:t xml:space="preserve"> </w:t>
      </w:r>
      <w:proofErr w:type="spellStart"/>
      <w:r w:rsidRPr="00B148EB">
        <w:rPr>
          <w:rFonts w:ascii="Arial" w:hAnsi="Arial" w:cs="Arial"/>
          <w:sz w:val="20"/>
          <w:szCs w:val="20"/>
        </w:rPr>
        <w:t>powder</w:t>
      </w:r>
      <w:proofErr w:type="spellEnd"/>
      <w:r w:rsidRPr="00B148EB">
        <w:rPr>
          <w:rFonts w:ascii="Arial" w:hAnsi="Arial" w:cs="Arial"/>
          <w:sz w:val="20"/>
          <w:szCs w:val="20"/>
        </w:rPr>
        <w:t xml:space="preserve"> (Fig</w:t>
      </w:r>
      <w:r w:rsidR="00883578" w:rsidRPr="00B148EB">
        <w:rPr>
          <w:rFonts w:ascii="Arial" w:hAnsi="Arial" w:cs="Arial"/>
          <w:sz w:val="20"/>
          <w:szCs w:val="20"/>
        </w:rPr>
        <w:t>.</w:t>
      </w:r>
      <w:r w:rsidRPr="00B148EB">
        <w:rPr>
          <w:rFonts w:ascii="Arial" w:hAnsi="Arial" w:cs="Arial"/>
          <w:sz w:val="20"/>
          <w:szCs w:val="20"/>
        </w:rPr>
        <w:t xml:space="preserve"> 2), </w:t>
      </w:r>
      <w:proofErr w:type="spellStart"/>
      <w:r w:rsidRPr="00B148EB">
        <w:rPr>
          <w:rFonts w:ascii="Arial" w:hAnsi="Arial" w:cs="Arial"/>
          <w:sz w:val="20"/>
          <w:szCs w:val="20"/>
        </w:rPr>
        <w:t>isoquercetin</w:t>
      </w:r>
      <w:proofErr w:type="spellEnd"/>
      <w:r w:rsidRPr="00B148EB">
        <w:rPr>
          <w:rFonts w:ascii="Arial" w:hAnsi="Arial" w:cs="Arial"/>
          <w:sz w:val="20"/>
          <w:szCs w:val="20"/>
        </w:rPr>
        <w:t xml:space="preserve"> and a </w:t>
      </w:r>
      <w:proofErr w:type="spellStart"/>
      <w:r w:rsidRPr="00B148EB">
        <w:rPr>
          <w:rFonts w:ascii="Arial" w:hAnsi="Arial" w:cs="Arial"/>
          <w:sz w:val="20"/>
          <w:szCs w:val="20"/>
        </w:rPr>
        <w:t>quercetin</w:t>
      </w:r>
      <w:proofErr w:type="spellEnd"/>
      <w:r w:rsidRPr="00B148EB">
        <w:rPr>
          <w:rFonts w:ascii="Arial" w:hAnsi="Arial" w:cs="Arial"/>
          <w:sz w:val="20"/>
          <w:szCs w:val="20"/>
        </w:rPr>
        <w:t xml:space="preserve"> glycoside </w:t>
      </w:r>
      <w:r w:rsidRPr="00B148EB">
        <w:rPr>
          <w:rFonts w:ascii="Arial" w:hAnsi="Arial" w:cs="Arial"/>
          <w:sz w:val="20"/>
          <w:szCs w:val="20"/>
          <w:lang w:val="en-US"/>
        </w:rPr>
        <w:t xml:space="preserve">(quercetin 3-O-(6˝-acetyl-glucoside)) are also found </w:t>
      </w:r>
      <w:r w:rsidRPr="00BC5F1D">
        <w:rPr>
          <w:rFonts w:ascii="Arial" w:hAnsi="Arial" w:cs="Arial"/>
          <w:sz w:val="20"/>
          <w:szCs w:val="20"/>
        </w:rPr>
        <w:fldChar w:fldCharType="begin" w:fldLock="1"/>
      </w:r>
      <w:r w:rsidR="009A02E1" w:rsidRPr="00B148EB">
        <w:rPr>
          <w:rFonts w:ascii="Arial" w:hAnsi="Arial" w:cs="Arial"/>
          <w:sz w:val="20"/>
          <w:szCs w:val="20"/>
          <w:lang w:val="en-US"/>
        </w:rPr>
        <w:instrText>ADDIN CSL_CITATION {"citationItems":[{"id":"ITEM-1","itemData":{"DOI":"10.1038/s41598-019-38711-7","ISSN":"2045-2322","author":[{"dropping-particle":"","family":"Jiang","given":"Hao","non-dropping-particle":"","parse-names":false,"suffix":""},{"dropping-particle":"","family":"Yamashita","given":"Yoko","non-dropping-particle":"","parse-names":false,"suffix":""},{"dropping-particle":"","family":"Nakamura","given":"Asuka","non-dropping-particle":"","parse-names":false,"suffix":""},{"dropping-particle":"","family":"Croft","given":"Kevin","non-dropping-particle":"","parse-names":false,"suffix":""},{"dropping-particle":"","family":"Ashida","given":"Hitoshi","non-dropping-particle":"","parse-names":false,"suffix":""}],"container-title":"Scientific Reports","id":"ITEM-1","issue":"July 2018","issued":{"date-parts":[["2019"]]},"page":"1-15","publisher":"Springer US","title":"Quercetin and its metabolite isorhamnetin promote glucose uptake through different signalling pathways in myotubes","type":"article-journal","volume":"9"},"uris":["http://www.mendeley.com/documents/?uuid=4f263281-90cf-4cc8-811b-77f871612eed"]}],"mendeley":{"formattedCitation":"(Jiang et al., 2019)","manualFormatting":"(Jiang et al., 2019;","plainTextFormattedCitation":"(Jiang et al., 2019)","previouslyFormattedCitation":"(Jiang et al., 2019)"},"properties":{"noteIndex":0},"sch</w:instrText>
      </w:r>
      <w:r w:rsidR="009A02E1">
        <w:rPr>
          <w:rFonts w:ascii="Arial" w:hAnsi="Arial" w:cs="Arial"/>
          <w:sz w:val="20"/>
          <w:szCs w:val="20"/>
          <w:lang w:val="en-US"/>
        </w:rPr>
        <w:instrText>ema":"https://github.com/citation-style-language/schema/raw/master/csl-citation.json"}</w:instrText>
      </w:r>
      <w:r w:rsidRPr="00BC5F1D">
        <w:rPr>
          <w:rFonts w:ascii="Arial" w:hAnsi="Arial" w:cs="Arial"/>
          <w:sz w:val="20"/>
          <w:szCs w:val="20"/>
        </w:rPr>
        <w:fldChar w:fldCharType="separate"/>
      </w:r>
      <w:r w:rsidRPr="00BC5F1D">
        <w:rPr>
          <w:rFonts w:ascii="Arial" w:hAnsi="Arial" w:cs="Arial"/>
          <w:noProof/>
          <w:sz w:val="20"/>
          <w:szCs w:val="20"/>
          <w:lang w:val="en-US"/>
        </w:rPr>
        <w:t>(Jiang et al., 2019</w:t>
      </w:r>
      <w:r w:rsidR="009A02E1">
        <w:rPr>
          <w:rFonts w:ascii="Arial" w:hAnsi="Arial" w:cs="Arial"/>
          <w:noProof/>
          <w:sz w:val="20"/>
          <w:szCs w:val="20"/>
          <w:lang w:val="en-US"/>
        </w:rPr>
        <w:t>;</w:t>
      </w:r>
      <w:r w:rsidRPr="00BC5F1D">
        <w:rPr>
          <w:rFonts w:ascii="Arial" w:hAnsi="Arial" w:cs="Arial"/>
          <w:sz w:val="20"/>
          <w:szCs w:val="20"/>
        </w:rPr>
        <w:fldChar w:fldCharType="end"/>
      </w:r>
      <w:r w:rsidRPr="00BC5F1D">
        <w:rPr>
          <w:rFonts w:ascii="Arial" w:hAnsi="Arial" w:cs="Arial"/>
          <w:sz w:val="20"/>
          <w:szCs w:val="20"/>
          <w:lang w:val="en-US"/>
        </w:rPr>
        <w:t xml:space="preserve"> </w:t>
      </w:r>
      <w:r w:rsidRPr="00BC5F1D">
        <w:rPr>
          <w:rFonts w:ascii="Arial" w:hAnsi="Arial" w:cs="Arial"/>
          <w:sz w:val="20"/>
          <w:szCs w:val="20"/>
        </w:rPr>
        <w:fldChar w:fldCharType="begin" w:fldLock="1"/>
      </w:r>
      <w:r w:rsidR="009A02E1">
        <w:rPr>
          <w:rFonts w:ascii="Arial" w:hAnsi="Arial" w:cs="Arial"/>
          <w:sz w:val="20"/>
          <w:szCs w:val="20"/>
          <w:lang w:val="en-US"/>
        </w:rPr>
        <w:instrText>ADDIN CSL_CITATION {"citationItems":[{"id":"ITEM-1","itemData":{"DOI":"10.3164/jcbn.23-30","author":[{"dropping-particle":"","family":"Yamashita","given":"Yoko","non-dropping-particle":"","parse-names":false,"suffix":""},{"dropping-particle":"","family":"Jiang","given":"Hao","non-dropping-particle":"","parse-names":false,"suffix":""},{"dropping-particle":"","family":"Okada","given":"Fukiko","non-dropping-particle":"","parse-names":false,"suffix":""},{"dropping-particle":"","family":"Kitakaze","given":"Tomoya","non-dropping-particle":"","parse-names":false,"suffix":""},{"dropping-particle":"","family":"Yoshioka","given":"Yasukiyo","non-dropping-particle":"","parse-names":false,"suffix":""},{"dropping-particle":"","family":"Ashida","given":"Hitoshi","non-dropping-particle":"","parse-names":false,"suffix":""}],"container-title":"J. Clin. Biochem. Nutr. |","id":"ITEM-1","issue":"1","issued":{"date-parts":[["2024"]]},"page":"37-46","title":"Single oral administration of quercetin glycosides prevented acute hyperglycemia by promoting GLUT4 translocation in skeletal muscles through the activation of AMPK in mice","type":"article-journal","volume":"74"},"uris":["http://www.mendeley.com/documents/?uuid=6603a7e1-f40b-47c3-9510-1e9664d95c4a"]}],"mendeley":{"formattedCitation":"(Yamashita et al., 2024)","manualFormatting":"Yamashita et al., 2024)","plainTextFormattedCitation":"(Yamashita et al., 2024)","previouslyFormattedCitation":"(Yamashita et al., 2024)"},"properties":{"noteIndex":0},"schema":"https://github.com/citation-style-language/schema/raw/master/csl-citation.json"}</w:instrText>
      </w:r>
      <w:r w:rsidRPr="00BC5F1D">
        <w:rPr>
          <w:rFonts w:ascii="Arial" w:hAnsi="Arial" w:cs="Arial"/>
          <w:sz w:val="20"/>
          <w:szCs w:val="20"/>
        </w:rPr>
        <w:fldChar w:fldCharType="separate"/>
      </w:r>
      <w:r w:rsidRPr="00BC5F1D">
        <w:rPr>
          <w:rFonts w:ascii="Arial" w:hAnsi="Arial" w:cs="Arial"/>
          <w:noProof/>
          <w:sz w:val="20"/>
          <w:szCs w:val="20"/>
          <w:lang w:val="en-US"/>
        </w:rPr>
        <w:t>Yamashita et al., 2024)</w:t>
      </w:r>
      <w:r w:rsidRPr="00BC5F1D">
        <w:rPr>
          <w:rFonts w:ascii="Arial" w:hAnsi="Arial" w:cs="Arial"/>
          <w:sz w:val="20"/>
          <w:szCs w:val="20"/>
        </w:rPr>
        <w:fldChar w:fldCharType="end"/>
      </w:r>
      <w:r w:rsidRPr="00BC5F1D">
        <w:rPr>
          <w:rFonts w:ascii="Arial" w:hAnsi="Arial" w:cs="Arial"/>
          <w:sz w:val="20"/>
          <w:szCs w:val="20"/>
          <w:lang w:val="en-US"/>
        </w:rPr>
        <w:t xml:space="preserve">. These results may explain the high GLUT4 translocation activities of the extracts from </w:t>
      </w:r>
      <w:r w:rsidRPr="00BC5F1D">
        <w:rPr>
          <w:rFonts w:ascii="Arial" w:hAnsi="Arial" w:cs="Arial"/>
          <w:i/>
          <w:iCs/>
          <w:sz w:val="20"/>
          <w:szCs w:val="20"/>
          <w:lang w:val="en-US"/>
        </w:rPr>
        <w:t>A. digitata</w:t>
      </w:r>
      <w:r w:rsidRPr="00BC5F1D">
        <w:rPr>
          <w:rFonts w:ascii="Arial" w:hAnsi="Arial" w:cs="Arial"/>
          <w:sz w:val="20"/>
          <w:szCs w:val="20"/>
          <w:lang w:val="en-US"/>
        </w:rPr>
        <w:t xml:space="preserve"> powder (90.61% Insulin) and C. </w:t>
      </w:r>
      <w:proofErr w:type="spellStart"/>
      <w:r w:rsidRPr="00BC5F1D">
        <w:rPr>
          <w:rFonts w:ascii="Arial" w:hAnsi="Arial" w:cs="Arial"/>
          <w:sz w:val="20"/>
          <w:szCs w:val="20"/>
          <w:lang w:val="en-US"/>
        </w:rPr>
        <w:t>olitorius</w:t>
      </w:r>
      <w:proofErr w:type="spellEnd"/>
      <w:r w:rsidRPr="00BC5F1D">
        <w:rPr>
          <w:rFonts w:ascii="Arial" w:hAnsi="Arial" w:cs="Arial"/>
          <w:sz w:val="20"/>
          <w:szCs w:val="20"/>
          <w:lang w:val="en-US"/>
        </w:rPr>
        <w:t xml:space="preserve"> powder (92.52% Insulin) (Figs</w:t>
      </w:r>
      <w:r w:rsidR="00883578">
        <w:rPr>
          <w:rFonts w:ascii="Arial" w:hAnsi="Arial" w:cs="Arial"/>
          <w:sz w:val="20"/>
          <w:szCs w:val="20"/>
          <w:lang w:val="en-US"/>
        </w:rPr>
        <w:t>.</w:t>
      </w:r>
      <w:r w:rsidRPr="00BC5F1D">
        <w:rPr>
          <w:rFonts w:ascii="Arial" w:hAnsi="Arial" w:cs="Arial"/>
          <w:sz w:val="20"/>
          <w:szCs w:val="20"/>
          <w:lang w:val="en-US"/>
        </w:rPr>
        <w:t xml:space="preserve"> 1a and 1b).</w:t>
      </w:r>
    </w:p>
    <w:p w14:paraId="28CC52A1" w14:textId="03F89780" w:rsidR="00A41550" w:rsidRPr="00BC5F1D" w:rsidRDefault="007C7BF0" w:rsidP="00C26EDE">
      <w:pPr>
        <w:spacing w:line="360" w:lineRule="auto"/>
        <w:jc w:val="both"/>
        <w:rPr>
          <w:rFonts w:ascii="Arial" w:hAnsi="Arial" w:cs="Arial"/>
          <w:sz w:val="20"/>
          <w:szCs w:val="20"/>
          <w:lang w:val="en-US"/>
        </w:rPr>
      </w:pPr>
      <w:r w:rsidRPr="00BC5F1D">
        <w:rPr>
          <w:rFonts w:ascii="Arial" w:hAnsi="Arial" w:cs="Arial"/>
          <w:sz w:val="20"/>
          <w:szCs w:val="20"/>
          <w:lang w:val="en-US"/>
        </w:rPr>
        <w:t>Fig</w:t>
      </w:r>
      <w:r w:rsidR="00883578">
        <w:rPr>
          <w:rFonts w:ascii="Arial" w:hAnsi="Arial" w:cs="Arial"/>
          <w:sz w:val="20"/>
          <w:szCs w:val="20"/>
          <w:lang w:val="en-US"/>
        </w:rPr>
        <w:t>.</w:t>
      </w:r>
      <w:r w:rsidRPr="00BC5F1D">
        <w:rPr>
          <w:rFonts w:ascii="Arial" w:hAnsi="Arial" w:cs="Arial"/>
          <w:sz w:val="20"/>
          <w:szCs w:val="20"/>
          <w:lang w:val="en-US"/>
        </w:rPr>
        <w:t xml:space="preserve"> 4 presents a chromatogram coupled with a mass spectrum that highlights the presence of several chemical compounds contained in the extracts from </w:t>
      </w:r>
      <w:r w:rsidRPr="00BC5F1D">
        <w:rPr>
          <w:rFonts w:ascii="Arial" w:hAnsi="Arial" w:cs="Arial"/>
          <w:i/>
          <w:iCs/>
          <w:sz w:val="20"/>
          <w:szCs w:val="20"/>
          <w:lang w:val="en-US"/>
        </w:rPr>
        <w:t>T. cordifolia</w:t>
      </w:r>
      <w:r w:rsidRPr="00BC5F1D">
        <w:rPr>
          <w:rFonts w:ascii="Arial" w:hAnsi="Arial" w:cs="Arial"/>
          <w:sz w:val="20"/>
          <w:szCs w:val="20"/>
          <w:lang w:val="en-US"/>
        </w:rPr>
        <w:t xml:space="preserve"> powders. Several chemical compounds are identified that do not belong to the polyphenol family, nor to flavonoids or condensed tannins, including D-gluconic acid, </w:t>
      </w:r>
      <w:proofErr w:type="spellStart"/>
      <w:r w:rsidRPr="00BC5F1D">
        <w:rPr>
          <w:rFonts w:ascii="Arial" w:hAnsi="Arial" w:cs="Arial"/>
          <w:sz w:val="20"/>
          <w:szCs w:val="20"/>
          <w:lang w:val="en-US"/>
        </w:rPr>
        <w:t>quinic</w:t>
      </w:r>
      <w:proofErr w:type="spellEnd"/>
      <w:r w:rsidRPr="00BC5F1D">
        <w:rPr>
          <w:rFonts w:ascii="Arial" w:hAnsi="Arial" w:cs="Arial"/>
          <w:sz w:val="20"/>
          <w:szCs w:val="20"/>
          <w:lang w:val="en-US"/>
        </w:rPr>
        <w:t xml:space="preserve"> acid, (+)-</w:t>
      </w:r>
      <w:proofErr w:type="spellStart"/>
      <w:r w:rsidRPr="00BC5F1D">
        <w:rPr>
          <w:rFonts w:ascii="Arial" w:hAnsi="Arial" w:cs="Arial"/>
          <w:sz w:val="20"/>
          <w:szCs w:val="20"/>
          <w:lang w:val="en-US"/>
        </w:rPr>
        <w:t>lyoniresinol</w:t>
      </w:r>
      <w:proofErr w:type="spellEnd"/>
      <w:r w:rsidRPr="00BC5F1D">
        <w:rPr>
          <w:rFonts w:ascii="Arial" w:hAnsi="Arial" w:cs="Arial"/>
          <w:sz w:val="20"/>
          <w:szCs w:val="20"/>
          <w:lang w:val="en-US"/>
        </w:rPr>
        <w:t xml:space="preserve"> 9’-O-glucoside, </w:t>
      </w:r>
      <w:proofErr w:type="spellStart"/>
      <w:r w:rsidRPr="00BC5F1D">
        <w:rPr>
          <w:rFonts w:ascii="Arial" w:hAnsi="Arial" w:cs="Arial"/>
          <w:sz w:val="20"/>
          <w:szCs w:val="20"/>
          <w:lang w:val="en-US"/>
        </w:rPr>
        <w:t>cryptostictic</w:t>
      </w:r>
      <w:proofErr w:type="spellEnd"/>
      <w:r w:rsidRPr="00BC5F1D">
        <w:rPr>
          <w:rFonts w:ascii="Arial" w:hAnsi="Arial" w:cs="Arial"/>
          <w:sz w:val="20"/>
          <w:szCs w:val="20"/>
          <w:lang w:val="en-US"/>
        </w:rPr>
        <w:t xml:space="preserve"> acid, fatty acids, and triterpenes. These organic compounds have no GLUT4 translocation activity when compared to literature data. However, their high content in the powders could have a toxic effect on the amount of GLUT4 translocated, potentially explaining the observed results on GLUT4 translocation from the extracts of </w:t>
      </w:r>
      <w:r w:rsidRPr="00BC5F1D">
        <w:rPr>
          <w:rFonts w:ascii="Arial" w:hAnsi="Arial" w:cs="Arial"/>
          <w:i/>
          <w:iCs/>
          <w:sz w:val="20"/>
          <w:szCs w:val="20"/>
          <w:lang w:val="en-US"/>
        </w:rPr>
        <w:t>T. cordifolia</w:t>
      </w:r>
      <w:r w:rsidRPr="00BC5F1D">
        <w:rPr>
          <w:rFonts w:ascii="Arial" w:hAnsi="Arial" w:cs="Arial"/>
          <w:sz w:val="20"/>
          <w:szCs w:val="20"/>
          <w:lang w:val="en-US"/>
        </w:rPr>
        <w:t xml:space="preserve"> powder (Fig</w:t>
      </w:r>
      <w:r w:rsidR="00883578">
        <w:rPr>
          <w:rFonts w:ascii="Arial" w:hAnsi="Arial" w:cs="Arial"/>
          <w:sz w:val="20"/>
          <w:szCs w:val="20"/>
          <w:lang w:val="en-US"/>
        </w:rPr>
        <w:t>.</w:t>
      </w:r>
      <w:r w:rsidRPr="00BC5F1D">
        <w:rPr>
          <w:rFonts w:ascii="Arial" w:hAnsi="Arial" w:cs="Arial"/>
          <w:sz w:val="20"/>
          <w:szCs w:val="20"/>
          <w:lang w:val="en-US"/>
        </w:rPr>
        <w:t xml:space="preserve"> 1c).</w:t>
      </w:r>
    </w:p>
    <w:p w14:paraId="3A65DBEF" w14:textId="77777777" w:rsidR="000A657C" w:rsidRPr="00BC5F1D" w:rsidRDefault="000A657C" w:rsidP="000A657C">
      <w:pPr>
        <w:spacing w:after="0" w:line="360" w:lineRule="auto"/>
        <w:jc w:val="both"/>
        <w:rPr>
          <w:rFonts w:ascii="Arial" w:hAnsi="Arial" w:cs="Arial"/>
          <w:sz w:val="20"/>
          <w:szCs w:val="20"/>
          <w:lang w:val="en-US"/>
        </w:rPr>
      </w:pPr>
    </w:p>
    <w:p w14:paraId="019A68A6" w14:textId="7A9CD933" w:rsidR="009F3608" w:rsidRPr="00BC5F1D" w:rsidRDefault="009F3608" w:rsidP="00C26EDE">
      <w:pPr>
        <w:spacing w:line="360" w:lineRule="auto"/>
        <w:jc w:val="both"/>
        <w:rPr>
          <w:rFonts w:ascii="Arial" w:hAnsi="Arial" w:cs="Arial"/>
          <w:color w:val="000000" w:themeColor="text1"/>
          <w:sz w:val="20"/>
          <w:szCs w:val="20"/>
        </w:rPr>
      </w:pPr>
      <w:r w:rsidRPr="00BC5F1D">
        <w:rPr>
          <w:rFonts w:ascii="Arial" w:hAnsi="Arial" w:cs="Arial"/>
          <w:color w:val="000000" w:themeColor="text1"/>
          <w:sz w:val="20"/>
          <w:szCs w:val="20"/>
        </w:rPr>
        <w:t xml:space="preserve">Table </w:t>
      </w:r>
      <w:r w:rsidR="00A41550" w:rsidRPr="00BC5F1D">
        <w:rPr>
          <w:rFonts w:ascii="Arial" w:hAnsi="Arial" w:cs="Arial"/>
          <w:color w:val="000000" w:themeColor="text1"/>
          <w:sz w:val="20"/>
          <w:szCs w:val="20"/>
        </w:rPr>
        <w:t>4 :</w:t>
      </w:r>
      <w:r w:rsidRPr="00BC5F1D">
        <w:rPr>
          <w:rFonts w:ascii="Arial" w:hAnsi="Arial" w:cs="Arial"/>
          <w:color w:val="000000" w:themeColor="text1"/>
          <w:sz w:val="20"/>
          <w:szCs w:val="20"/>
        </w:rPr>
        <w:t xml:space="preserve"> Main</w:t>
      </w:r>
      <w:r w:rsidR="00DC22F0" w:rsidRPr="00BC5F1D">
        <w:rPr>
          <w:rFonts w:ascii="Arial" w:hAnsi="Arial" w:cs="Arial"/>
          <w:color w:val="000000" w:themeColor="text1"/>
          <w:sz w:val="20"/>
          <w:szCs w:val="20"/>
        </w:rPr>
        <w:t xml:space="preserve"> </w:t>
      </w:r>
      <w:proofErr w:type="spellStart"/>
      <w:r w:rsidRPr="00BC5F1D">
        <w:rPr>
          <w:rFonts w:ascii="Arial" w:hAnsi="Arial" w:cs="Arial"/>
          <w:color w:val="000000" w:themeColor="text1"/>
          <w:sz w:val="20"/>
          <w:szCs w:val="20"/>
        </w:rPr>
        <w:t>significant</w:t>
      </w:r>
      <w:proofErr w:type="spellEnd"/>
      <w:r w:rsidR="00387D8F" w:rsidRPr="00BC5F1D">
        <w:rPr>
          <w:rFonts w:ascii="Arial" w:hAnsi="Arial" w:cs="Arial"/>
          <w:color w:val="000000" w:themeColor="text1"/>
          <w:sz w:val="20"/>
          <w:szCs w:val="20"/>
        </w:rPr>
        <w:t xml:space="preserve"> and non-</w:t>
      </w:r>
      <w:proofErr w:type="spellStart"/>
      <w:r w:rsidR="00387D8F" w:rsidRPr="00BC5F1D">
        <w:rPr>
          <w:rFonts w:ascii="Arial" w:hAnsi="Arial" w:cs="Arial"/>
          <w:color w:val="000000" w:themeColor="text1"/>
          <w:sz w:val="20"/>
          <w:szCs w:val="20"/>
        </w:rPr>
        <w:t>significant</w:t>
      </w:r>
      <w:proofErr w:type="spellEnd"/>
      <w:r w:rsidRPr="00BC5F1D">
        <w:rPr>
          <w:rFonts w:ascii="Arial" w:hAnsi="Arial" w:cs="Arial"/>
          <w:color w:val="000000" w:themeColor="text1"/>
          <w:sz w:val="20"/>
          <w:szCs w:val="20"/>
        </w:rPr>
        <w:t xml:space="preserve"> </w:t>
      </w:r>
      <w:r w:rsidR="00DC22F0" w:rsidRPr="00BC5F1D">
        <w:rPr>
          <w:rFonts w:ascii="Arial" w:hAnsi="Arial" w:cs="Arial"/>
          <w:color w:val="000000" w:themeColor="text1"/>
          <w:sz w:val="20"/>
          <w:szCs w:val="20"/>
        </w:rPr>
        <w:t xml:space="preserve">high </w:t>
      </w:r>
      <w:proofErr w:type="spellStart"/>
      <w:r w:rsidRPr="00BC5F1D">
        <w:rPr>
          <w:rFonts w:ascii="Arial" w:hAnsi="Arial" w:cs="Arial"/>
          <w:color w:val="000000" w:themeColor="text1"/>
          <w:sz w:val="20"/>
          <w:szCs w:val="20"/>
        </w:rPr>
        <w:t>correlations</w:t>
      </w:r>
      <w:proofErr w:type="spellEnd"/>
      <w:r w:rsidRPr="00BC5F1D">
        <w:rPr>
          <w:rFonts w:ascii="Arial" w:hAnsi="Arial" w:cs="Arial"/>
          <w:color w:val="000000" w:themeColor="text1"/>
          <w:sz w:val="20"/>
          <w:szCs w:val="20"/>
        </w:rPr>
        <w:t xml:space="preserve"> </w:t>
      </w:r>
      <w:proofErr w:type="spellStart"/>
      <w:r w:rsidRPr="00BC5F1D">
        <w:rPr>
          <w:rFonts w:ascii="Arial" w:hAnsi="Arial" w:cs="Arial"/>
          <w:color w:val="000000" w:themeColor="text1"/>
          <w:sz w:val="20"/>
          <w:szCs w:val="20"/>
        </w:rPr>
        <w:t>between</w:t>
      </w:r>
      <w:proofErr w:type="spellEnd"/>
      <w:r w:rsidRPr="00BC5F1D">
        <w:rPr>
          <w:rFonts w:ascii="Arial" w:hAnsi="Arial" w:cs="Arial"/>
          <w:color w:val="000000" w:themeColor="text1"/>
          <w:sz w:val="20"/>
          <w:szCs w:val="20"/>
        </w:rPr>
        <w:t xml:space="preserve"> </w:t>
      </w:r>
      <w:r w:rsidR="00DC22F0" w:rsidRPr="00BC5F1D">
        <w:rPr>
          <w:rFonts w:ascii="Arial" w:hAnsi="Arial" w:cs="Arial"/>
          <w:color w:val="000000" w:themeColor="text1"/>
          <w:sz w:val="20"/>
          <w:szCs w:val="20"/>
        </w:rPr>
        <w:t>certain</w:t>
      </w:r>
      <w:r w:rsidR="00214116" w:rsidRPr="00BC5F1D">
        <w:rPr>
          <w:rFonts w:ascii="Arial" w:hAnsi="Arial" w:cs="Arial"/>
          <w:color w:val="000000" w:themeColor="text1"/>
          <w:sz w:val="20"/>
          <w:szCs w:val="20"/>
        </w:rPr>
        <w:t xml:space="preserve"> </w:t>
      </w:r>
      <w:proofErr w:type="spellStart"/>
      <w:r w:rsidRPr="00BC5F1D">
        <w:rPr>
          <w:rFonts w:ascii="Arial" w:hAnsi="Arial" w:cs="Arial"/>
          <w:color w:val="000000" w:themeColor="text1"/>
          <w:sz w:val="20"/>
          <w:szCs w:val="20"/>
        </w:rPr>
        <w:t>nutrients</w:t>
      </w:r>
      <w:proofErr w:type="spellEnd"/>
      <w:r w:rsidRPr="00BC5F1D">
        <w:rPr>
          <w:rFonts w:ascii="Arial" w:hAnsi="Arial" w:cs="Arial"/>
          <w:color w:val="000000" w:themeColor="text1"/>
          <w:sz w:val="20"/>
          <w:szCs w:val="20"/>
        </w:rPr>
        <w:t xml:space="preserve">, bioactive compounds, and GLUT4 translocation </w:t>
      </w:r>
      <w:proofErr w:type="spellStart"/>
      <w:r w:rsidRPr="00BC5F1D">
        <w:rPr>
          <w:rFonts w:ascii="Arial" w:hAnsi="Arial" w:cs="Arial"/>
          <w:color w:val="000000" w:themeColor="text1"/>
          <w:sz w:val="20"/>
          <w:szCs w:val="20"/>
        </w:rPr>
        <w:t>activit</w:t>
      </w:r>
      <w:r w:rsidR="00DC22F0" w:rsidRPr="00BC5F1D">
        <w:rPr>
          <w:rFonts w:ascii="Arial" w:hAnsi="Arial" w:cs="Arial"/>
          <w:color w:val="000000" w:themeColor="text1"/>
          <w:sz w:val="20"/>
          <w:szCs w:val="20"/>
        </w:rPr>
        <w:t>ies</w:t>
      </w:r>
      <w:proofErr w:type="spellEnd"/>
    </w:p>
    <w:tbl>
      <w:tblPr>
        <w:tblStyle w:val="TableGrid"/>
        <w:tblW w:w="10349" w:type="dxa"/>
        <w:jc w:val="center"/>
        <w:tblLayout w:type="fixed"/>
        <w:tblLook w:val="04A0" w:firstRow="1" w:lastRow="0" w:firstColumn="1" w:lastColumn="0" w:noHBand="0" w:noVBand="1"/>
      </w:tblPr>
      <w:tblGrid>
        <w:gridCol w:w="1985"/>
        <w:gridCol w:w="1984"/>
        <w:gridCol w:w="1418"/>
        <w:gridCol w:w="1559"/>
        <w:gridCol w:w="1701"/>
        <w:gridCol w:w="1702"/>
      </w:tblGrid>
      <w:tr w:rsidR="00C26EDE" w:rsidRPr="00BC5F1D" w14:paraId="55FC5750" w14:textId="72F7DDB6" w:rsidTr="00C26EDE">
        <w:trPr>
          <w:trHeight w:val="491"/>
          <w:jc w:val="center"/>
        </w:trPr>
        <w:tc>
          <w:tcPr>
            <w:tcW w:w="1985" w:type="dxa"/>
            <w:tcBorders>
              <w:left w:val="nil"/>
              <w:bottom w:val="single" w:sz="4" w:space="0" w:color="auto"/>
              <w:right w:val="nil"/>
            </w:tcBorders>
            <w:vAlign w:val="center"/>
          </w:tcPr>
          <w:p w14:paraId="1BAD684C" w14:textId="77777777" w:rsidR="00C26EDE" w:rsidRPr="00BC5F1D" w:rsidRDefault="00C26EDE">
            <w:pPr>
              <w:jc w:val="center"/>
              <w:rPr>
                <w:rFonts w:ascii="Arial" w:hAnsi="Arial" w:cs="Arial"/>
                <w:color w:val="000000" w:themeColor="text1"/>
                <w:sz w:val="18"/>
                <w:szCs w:val="18"/>
              </w:rPr>
            </w:pPr>
          </w:p>
        </w:tc>
        <w:tc>
          <w:tcPr>
            <w:tcW w:w="1984" w:type="dxa"/>
            <w:tcBorders>
              <w:left w:val="nil"/>
              <w:bottom w:val="single" w:sz="4" w:space="0" w:color="auto"/>
              <w:right w:val="nil"/>
            </w:tcBorders>
            <w:vAlign w:val="center"/>
          </w:tcPr>
          <w:p w14:paraId="6686E3BB" w14:textId="77777777" w:rsidR="00C26EDE" w:rsidRPr="00BC5F1D" w:rsidRDefault="00C26EDE">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Available carbohydrate</w:t>
            </w:r>
          </w:p>
        </w:tc>
        <w:tc>
          <w:tcPr>
            <w:tcW w:w="1418" w:type="dxa"/>
            <w:tcBorders>
              <w:left w:val="nil"/>
              <w:bottom w:val="single" w:sz="4" w:space="0" w:color="auto"/>
              <w:right w:val="nil"/>
            </w:tcBorders>
            <w:vAlign w:val="center"/>
          </w:tcPr>
          <w:p w14:paraId="5FDB6425" w14:textId="748FE982" w:rsidR="00C26EDE" w:rsidRPr="00BC5F1D" w:rsidRDefault="00C26EDE">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 xml:space="preserve">Calcium </w:t>
            </w:r>
          </w:p>
        </w:tc>
        <w:tc>
          <w:tcPr>
            <w:tcW w:w="1559" w:type="dxa"/>
            <w:tcBorders>
              <w:left w:val="nil"/>
              <w:bottom w:val="single" w:sz="4" w:space="0" w:color="auto"/>
              <w:right w:val="nil"/>
            </w:tcBorders>
            <w:vAlign w:val="center"/>
          </w:tcPr>
          <w:p w14:paraId="4B92B37B" w14:textId="30542FEF" w:rsidR="00C26EDE" w:rsidRPr="00BC5F1D" w:rsidRDefault="00C26EDE">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Total polyphenol</w:t>
            </w:r>
          </w:p>
        </w:tc>
        <w:tc>
          <w:tcPr>
            <w:tcW w:w="1701" w:type="dxa"/>
            <w:tcBorders>
              <w:left w:val="nil"/>
              <w:bottom w:val="single" w:sz="4" w:space="0" w:color="auto"/>
              <w:right w:val="nil"/>
            </w:tcBorders>
            <w:vAlign w:val="center"/>
          </w:tcPr>
          <w:p w14:paraId="039187B2" w14:textId="44C42F79" w:rsidR="00C26EDE" w:rsidRPr="00BC5F1D" w:rsidRDefault="00C26EDE" w:rsidP="005072F9">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Condensed tannins</w:t>
            </w:r>
          </w:p>
        </w:tc>
        <w:tc>
          <w:tcPr>
            <w:tcW w:w="1702" w:type="dxa"/>
            <w:tcBorders>
              <w:left w:val="nil"/>
              <w:bottom w:val="single" w:sz="4" w:space="0" w:color="auto"/>
              <w:right w:val="nil"/>
            </w:tcBorders>
            <w:vAlign w:val="center"/>
          </w:tcPr>
          <w:p w14:paraId="2A018EB9" w14:textId="112EA031" w:rsidR="00C26EDE" w:rsidRPr="00BC5F1D" w:rsidRDefault="00C26EDE" w:rsidP="005072F9">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Total flavonoids</w:t>
            </w:r>
          </w:p>
        </w:tc>
      </w:tr>
      <w:tr w:rsidR="00C26EDE" w:rsidRPr="00BC5F1D" w14:paraId="76B49CB7" w14:textId="2CA70079" w:rsidTr="00C26EDE">
        <w:trPr>
          <w:trHeight w:val="491"/>
          <w:jc w:val="center"/>
        </w:trPr>
        <w:tc>
          <w:tcPr>
            <w:tcW w:w="1985" w:type="dxa"/>
            <w:tcBorders>
              <w:top w:val="nil"/>
              <w:left w:val="nil"/>
              <w:bottom w:val="nil"/>
              <w:right w:val="nil"/>
            </w:tcBorders>
            <w:vAlign w:val="center"/>
          </w:tcPr>
          <w:p w14:paraId="7015CA9F" w14:textId="77777777" w:rsidR="00C26EDE" w:rsidRPr="00BC5F1D" w:rsidRDefault="00C26EDE" w:rsidP="00692C5A">
            <w:pPr>
              <w:rPr>
                <w:rFonts w:ascii="Arial" w:hAnsi="Arial" w:cs="Arial"/>
                <w:color w:val="000000" w:themeColor="text1"/>
                <w:sz w:val="18"/>
                <w:szCs w:val="18"/>
                <w:lang w:val="en-US"/>
              </w:rPr>
            </w:pPr>
            <w:r w:rsidRPr="00BC5F1D">
              <w:rPr>
                <w:rFonts w:ascii="Arial" w:hAnsi="Arial" w:cs="Arial"/>
                <w:color w:val="000000" w:themeColor="text1"/>
                <w:sz w:val="18"/>
                <w:szCs w:val="18"/>
                <w:lang w:val="en-US"/>
              </w:rPr>
              <w:t>Available carbohydrate</w:t>
            </w:r>
          </w:p>
        </w:tc>
        <w:tc>
          <w:tcPr>
            <w:tcW w:w="1984" w:type="dxa"/>
            <w:tcBorders>
              <w:top w:val="nil"/>
              <w:left w:val="nil"/>
              <w:bottom w:val="nil"/>
              <w:right w:val="nil"/>
            </w:tcBorders>
            <w:vAlign w:val="center"/>
          </w:tcPr>
          <w:p w14:paraId="0F0B234F" w14:textId="77777777" w:rsidR="00C26EDE" w:rsidRPr="00BC5F1D" w:rsidRDefault="00C26EDE" w:rsidP="00692C5A">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1</w:t>
            </w:r>
          </w:p>
        </w:tc>
        <w:tc>
          <w:tcPr>
            <w:tcW w:w="1418" w:type="dxa"/>
            <w:tcBorders>
              <w:top w:val="nil"/>
              <w:left w:val="nil"/>
              <w:bottom w:val="nil"/>
              <w:right w:val="nil"/>
            </w:tcBorders>
            <w:vAlign w:val="center"/>
          </w:tcPr>
          <w:p w14:paraId="395656C1" w14:textId="0ACB8E44" w:rsidR="00C26EDE" w:rsidRPr="00BC5F1D" w:rsidRDefault="00C26EDE" w:rsidP="00692C5A">
            <w:pPr>
              <w:rPr>
                <w:rFonts w:ascii="Arial" w:hAnsi="Arial" w:cs="Arial"/>
                <w:b/>
                <w:bCs/>
                <w:color w:val="000000" w:themeColor="text1"/>
                <w:sz w:val="18"/>
                <w:szCs w:val="18"/>
                <w:lang w:val="en-US"/>
              </w:rPr>
            </w:pPr>
            <w:r w:rsidRPr="00BC5F1D">
              <w:rPr>
                <w:rFonts w:ascii="Arial" w:hAnsi="Arial" w:cs="Arial"/>
                <w:b/>
                <w:bCs/>
                <w:color w:val="000000" w:themeColor="text1"/>
                <w:sz w:val="18"/>
                <w:szCs w:val="18"/>
                <w:lang w:val="en-US"/>
              </w:rPr>
              <w:t>- 0.999 (0.007)</w:t>
            </w:r>
          </w:p>
        </w:tc>
        <w:tc>
          <w:tcPr>
            <w:tcW w:w="1559" w:type="dxa"/>
            <w:tcBorders>
              <w:top w:val="nil"/>
              <w:left w:val="nil"/>
              <w:bottom w:val="nil"/>
              <w:right w:val="nil"/>
            </w:tcBorders>
            <w:vAlign w:val="center"/>
          </w:tcPr>
          <w:p w14:paraId="0D0AE9B6" w14:textId="76AA2635" w:rsidR="00C26EDE" w:rsidRPr="00BC5F1D" w:rsidRDefault="00C26EDE" w:rsidP="00692C5A">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 </w:t>
            </w:r>
          </w:p>
        </w:tc>
        <w:tc>
          <w:tcPr>
            <w:tcW w:w="1701" w:type="dxa"/>
            <w:tcBorders>
              <w:top w:val="nil"/>
              <w:left w:val="nil"/>
              <w:bottom w:val="nil"/>
              <w:right w:val="nil"/>
            </w:tcBorders>
            <w:vAlign w:val="center"/>
          </w:tcPr>
          <w:p w14:paraId="13DBA8F2" w14:textId="7888C17A" w:rsidR="00C26EDE" w:rsidRPr="00BC5F1D" w:rsidRDefault="00C26EDE" w:rsidP="00692C5A">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 </w:t>
            </w:r>
          </w:p>
        </w:tc>
        <w:tc>
          <w:tcPr>
            <w:tcW w:w="1702" w:type="dxa"/>
            <w:tcBorders>
              <w:top w:val="nil"/>
              <w:left w:val="nil"/>
              <w:bottom w:val="nil"/>
              <w:right w:val="nil"/>
            </w:tcBorders>
            <w:vAlign w:val="center"/>
          </w:tcPr>
          <w:p w14:paraId="1DC9E3E5" w14:textId="317359D6" w:rsidR="00C26EDE" w:rsidRPr="00BC5F1D" w:rsidRDefault="00C26EDE" w:rsidP="00692C5A">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 </w:t>
            </w:r>
          </w:p>
        </w:tc>
      </w:tr>
      <w:tr w:rsidR="00C26EDE" w:rsidRPr="00BC5F1D" w14:paraId="204D113B" w14:textId="65389C09" w:rsidTr="00C26EDE">
        <w:trPr>
          <w:trHeight w:val="491"/>
          <w:jc w:val="center"/>
        </w:trPr>
        <w:tc>
          <w:tcPr>
            <w:tcW w:w="1985" w:type="dxa"/>
            <w:tcBorders>
              <w:top w:val="nil"/>
              <w:left w:val="nil"/>
              <w:bottom w:val="nil"/>
              <w:right w:val="nil"/>
            </w:tcBorders>
            <w:vAlign w:val="center"/>
          </w:tcPr>
          <w:p w14:paraId="09ED2221" w14:textId="77777777" w:rsidR="00C26EDE" w:rsidRPr="00BC5F1D" w:rsidRDefault="00C26EDE" w:rsidP="00692C5A">
            <w:pPr>
              <w:rPr>
                <w:rFonts w:ascii="Arial" w:hAnsi="Arial" w:cs="Arial"/>
                <w:color w:val="000000" w:themeColor="text1"/>
                <w:sz w:val="18"/>
                <w:szCs w:val="18"/>
                <w:vertAlign w:val="superscript"/>
                <w:lang w:val="en-US"/>
              </w:rPr>
            </w:pPr>
            <w:r w:rsidRPr="00BC5F1D">
              <w:rPr>
                <w:rFonts w:ascii="Arial" w:hAnsi="Arial" w:cs="Arial"/>
                <w:color w:val="000000" w:themeColor="text1"/>
                <w:sz w:val="18"/>
                <w:szCs w:val="18"/>
                <w:lang w:val="en-US"/>
              </w:rPr>
              <w:t>GLUT4-10</w:t>
            </w:r>
            <w:r w:rsidRPr="00BC5F1D">
              <w:rPr>
                <w:rFonts w:ascii="Arial" w:hAnsi="Arial" w:cs="Arial"/>
                <w:color w:val="000000" w:themeColor="text1"/>
                <w:sz w:val="18"/>
                <w:szCs w:val="18"/>
                <w:vertAlign w:val="superscript"/>
                <w:lang w:val="en-US"/>
              </w:rPr>
              <w:t>1</w:t>
            </w:r>
          </w:p>
        </w:tc>
        <w:tc>
          <w:tcPr>
            <w:tcW w:w="1984" w:type="dxa"/>
            <w:tcBorders>
              <w:top w:val="nil"/>
              <w:left w:val="nil"/>
              <w:bottom w:val="nil"/>
              <w:right w:val="nil"/>
            </w:tcBorders>
            <w:vAlign w:val="center"/>
          </w:tcPr>
          <w:p w14:paraId="6942F306" w14:textId="744A75D9" w:rsidR="00C26EDE" w:rsidRPr="00BC5F1D" w:rsidRDefault="00C26EDE" w:rsidP="00692C5A">
            <w:pPr>
              <w:jc w:val="center"/>
              <w:rPr>
                <w:rFonts w:ascii="Arial" w:hAnsi="Arial" w:cs="Arial"/>
                <w:b/>
                <w:bCs/>
                <w:color w:val="000000" w:themeColor="text1"/>
                <w:sz w:val="18"/>
                <w:szCs w:val="18"/>
                <w:lang w:val="en-US"/>
              </w:rPr>
            </w:pPr>
            <w:r w:rsidRPr="00BC5F1D">
              <w:rPr>
                <w:rFonts w:ascii="Arial" w:hAnsi="Arial" w:cs="Arial"/>
                <w:b/>
                <w:bCs/>
                <w:color w:val="000000" w:themeColor="text1"/>
                <w:sz w:val="18"/>
                <w:szCs w:val="18"/>
                <w:lang w:val="en-US"/>
              </w:rPr>
              <w:t>- 0.997 (0.044)</w:t>
            </w:r>
          </w:p>
        </w:tc>
        <w:tc>
          <w:tcPr>
            <w:tcW w:w="1418" w:type="dxa"/>
            <w:tcBorders>
              <w:top w:val="nil"/>
              <w:left w:val="nil"/>
              <w:bottom w:val="nil"/>
              <w:right w:val="nil"/>
            </w:tcBorders>
            <w:vAlign w:val="center"/>
          </w:tcPr>
          <w:p w14:paraId="48721F5F" w14:textId="3BDAC270" w:rsidR="00C26EDE" w:rsidRPr="00BC5F1D" w:rsidRDefault="00C26EDE" w:rsidP="00692C5A">
            <w:pPr>
              <w:jc w:val="center"/>
              <w:rPr>
                <w:rFonts w:ascii="Arial" w:hAnsi="Arial" w:cs="Arial"/>
                <w:b/>
                <w:bCs/>
                <w:color w:val="000000" w:themeColor="text1"/>
                <w:sz w:val="18"/>
                <w:szCs w:val="18"/>
                <w:lang w:val="en-US"/>
              </w:rPr>
            </w:pPr>
            <w:r w:rsidRPr="00BC5F1D">
              <w:rPr>
                <w:rFonts w:ascii="Arial" w:hAnsi="Arial" w:cs="Arial"/>
                <w:b/>
                <w:bCs/>
                <w:color w:val="000000" w:themeColor="text1"/>
                <w:sz w:val="18"/>
                <w:szCs w:val="18"/>
                <w:lang w:val="en-US"/>
              </w:rPr>
              <w:t>0.998 (0.022)</w:t>
            </w:r>
          </w:p>
        </w:tc>
        <w:tc>
          <w:tcPr>
            <w:tcW w:w="1559" w:type="dxa"/>
            <w:tcBorders>
              <w:top w:val="nil"/>
              <w:left w:val="nil"/>
              <w:bottom w:val="nil"/>
              <w:right w:val="nil"/>
            </w:tcBorders>
            <w:vAlign w:val="center"/>
          </w:tcPr>
          <w:p w14:paraId="6B9077B3" w14:textId="778B5AEB" w:rsidR="00C26EDE" w:rsidRPr="00BC5F1D" w:rsidRDefault="00C26EDE" w:rsidP="00692C5A">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-0.857 (0.343)</w:t>
            </w:r>
          </w:p>
        </w:tc>
        <w:tc>
          <w:tcPr>
            <w:tcW w:w="1701" w:type="dxa"/>
            <w:tcBorders>
              <w:top w:val="nil"/>
              <w:left w:val="nil"/>
              <w:bottom w:val="nil"/>
              <w:right w:val="nil"/>
            </w:tcBorders>
            <w:vAlign w:val="center"/>
          </w:tcPr>
          <w:p w14:paraId="5CF43B24" w14:textId="707810CA" w:rsidR="00C26EDE" w:rsidRPr="00BC5F1D" w:rsidRDefault="00C26EDE" w:rsidP="00692C5A">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-0.993 (0.075)</w:t>
            </w:r>
          </w:p>
        </w:tc>
        <w:tc>
          <w:tcPr>
            <w:tcW w:w="1702" w:type="dxa"/>
            <w:tcBorders>
              <w:top w:val="nil"/>
              <w:left w:val="nil"/>
              <w:bottom w:val="nil"/>
              <w:right w:val="nil"/>
            </w:tcBorders>
            <w:vAlign w:val="center"/>
          </w:tcPr>
          <w:p w14:paraId="47C6E8ED" w14:textId="7B040903" w:rsidR="00C26EDE" w:rsidRPr="00BC5F1D" w:rsidRDefault="00C26EDE" w:rsidP="00692C5A">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-0.932 (0.235)</w:t>
            </w:r>
          </w:p>
        </w:tc>
      </w:tr>
      <w:tr w:rsidR="00C26EDE" w:rsidRPr="00BC5F1D" w14:paraId="61DF7E41" w14:textId="34E295E7" w:rsidTr="00C26EDE">
        <w:trPr>
          <w:trHeight w:val="469"/>
          <w:jc w:val="center"/>
        </w:trPr>
        <w:tc>
          <w:tcPr>
            <w:tcW w:w="1985" w:type="dxa"/>
            <w:tcBorders>
              <w:top w:val="nil"/>
              <w:left w:val="nil"/>
              <w:bottom w:val="nil"/>
              <w:right w:val="nil"/>
            </w:tcBorders>
            <w:vAlign w:val="center"/>
          </w:tcPr>
          <w:p w14:paraId="479ABA02" w14:textId="77777777" w:rsidR="00C26EDE" w:rsidRPr="00BC5F1D" w:rsidRDefault="00C26EDE" w:rsidP="00692C5A">
            <w:pPr>
              <w:rPr>
                <w:rFonts w:ascii="Arial" w:hAnsi="Arial" w:cs="Arial"/>
                <w:color w:val="000000" w:themeColor="text1"/>
                <w:sz w:val="18"/>
                <w:szCs w:val="18"/>
                <w:vertAlign w:val="superscript"/>
                <w:lang w:val="en-US"/>
              </w:rPr>
            </w:pPr>
            <w:r w:rsidRPr="00BC5F1D">
              <w:rPr>
                <w:rFonts w:ascii="Arial" w:hAnsi="Arial" w:cs="Arial"/>
                <w:color w:val="000000" w:themeColor="text1"/>
                <w:sz w:val="18"/>
                <w:szCs w:val="18"/>
                <w:lang w:val="en-US"/>
              </w:rPr>
              <w:t>GLUT4-20</w:t>
            </w:r>
            <w:r w:rsidRPr="00BC5F1D">
              <w:rPr>
                <w:rFonts w:ascii="Arial" w:hAnsi="Arial" w:cs="Arial"/>
                <w:color w:val="000000" w:themeColor="text1"/>
                <w:sz w:val="18"/>
                <w:szCs w:val="18"/>
                <w:vertAlign w:val="superscript"/>
                <w:lang w:val="en-US"/>
              </w:rPr>
              <w:t>2</w:t>
            </w:r>
          </w:p>
        </w:tc>
        <w:tc>
          <w:tcPr>
            <w:tcW w:w="1984" w:type="dxa"/>
            <w:tcBorders>
              <w:top w:val="nil"/>
              <w:left w:val="nil"/>
              <w:bottom w:val="nil"/>
              <w:right w:val="nil"/>
            </w:tcBorders>
            <w:vAlign w:val="center"/>
          </w:tcPr>
          <w:p w14:paraId="15DEB3B3" w14:textId="56B18BBB" w:rsidR="00C26EDE" w:rsidRPr="00BC5F1D" w:rsidRDefault="00C26EDE" w:rsidP="00692C5A">
            <w:pPr>
              <w:jc w:val="center"/>
              <w:rPr>
                <w:rFonts w:ascii="Arial" w:hAnsi="Arial" w:cs="Arial"/>
                <w:b/>
                <w:bCs/>
                <w:color w:val="000000" w:themeColor="text1"/>
                <w:sz w:val="18"/>
                <w:szCs w:val="18"/>
                <w:lang w:val="en-US"/>
              </w:rPr>
            </w:pPr>
            <w:r w:rsidRPr="00BC5F1D">
              <w:rPr>
                <w:rFonts w:ascii="Arial" w:hAnsi="Arial" w:cs="Arial"/>
                <w:b/>
                <w:bCs/>
                <w:color w:val="000000" w:themeColor="text1"/>
                <w:sz w:val="18"/>
                <w:szCs w:val="18"/>
                <w:lang w:val="en-US"/>
              </w:rPr>
              <w:t>- 0.998 (0.039)</w:t>
            </w:r>
          </w:p>
        </w:tc>
        <w:tc>
          <w:tcPr>
            <w:tcW w:w="1418" w:type="dxa"/>
            <w:tcBorders>
              <w:top w:val="nil"/>
              <w:left w:val="nil"/>
              <w:bottom w:val="nil"/>
              <w:right w:val="nil"/>
            </w:tcBorders>
            <w:vAlign w:val="center"/>
          </w:tcPr>
          <w:p w14:paraId="1BA08CC2" w14:textId="1F6A249A" w:rsidR="00C26EDE" w:rsidRPr="00BC5F1D" w:rsidRDefault="00C26EDE" w:rsidP="00692C5A">
            <w:pPr>
              <w:jc w:val="center"/>
              <w:rPr>
                <w:rFonts w:ascii="Arial" w:hAnsi="Arial" w:cs="Arial"/>
                <w:b/>
                <w:bCs/>
                <w:color w:val="000000" w:themeColor="text1"/>
                <w:sz w:val="18"/>
                <w:szCs w:val="18"/>
                <w:lang w:val="en-US"/>
              </w:rPr>
            </w:pPr>
            <w:r w:rsidRPr="00BC5F1D">
              <w:rPr>
                <w:rFonts w:ascii="Arial" w:hAnsi="Arial" w:cs="Arial"/>
                <w:b/>
                <w:bCs/>
                <w:color w:val="000000" w:themeColor="text1"/>
                <w:sz w:val="18"/>
                <w:szCs w:val="18"/>
                <w:lang w:val="en-US"/>
              </w:rPr>
              <w:t>0.999 (0.027)</w:t>
            </w:r>
          </w:p>
        </w:tc>
        <w:tc>
          <w:tcPr>
            <w:tcW w:w="1559" w:type="dxa"/>
            <w:tcBorders>
              <w:top w:val="nil"/>
              <w:left w:val="nil"/>
              <w:bottom w:val="nil"/>
              <w:right w:val="nil"/>
            </w:tcBorders>
            <w:vAlign w:val="center"/>
          </w:tcPr>
          <w:p w14:paraId="0DB13233" w14:textId="6FBD8163" w:rsidR="00C26EDE" w:rsidRPr="00BC5F1D" w:rsidRDefault="00C26EDE" w:rsidP="00692C5A">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-0.853 (0.348)</w:t>
            </w:r>
          </w:p>
        </w:tc>
        <w:tc>
          <w:tcPr>
            <w:tcW w:w="1701" w:type="dxa"/>
            <w:tcBorders>
              <w:top w:val="nil"/>
              <w:left w:val="nil"/>
              <w:bottom w:val="nil"/>
              <w:right w:val="nil"/>
            </w:tcBorders>
            <w:vAlign w:val="center"/>
          </w:tcPr>
          <w:p w14:paraId="7B242AB0" w14:textId="492914C3" w:rsidR="00C26EDE" w:rsidRPr="00BC5F1D" w:rsidRDefault="00C26EDE" w:rsidP="00692C5A">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-0.994 (0.070)</w:t>
            </w:r>
          </w:p>
        </w:tc>
        <w:tc>
          <w:tcPr>
            <w:tcW w:w="1702" w:type="dxa"/>
            <w:tcBorders>
              <w:top w:val="nil"/>
              <w:left w:val="nil"/>
              <w:bottom w:val="nil"/>
              <w:right w:val="nil"/>
            </w:tcBorders>
            <w:vAlign w:val="center"/>
          </w:tcPr>
          <w:p w14:paraId="739D9588" w14:textId="64DAB18C" w:rsidR="00C26EDE" w:rsidRPr="00BC5F1D" w:rsidRDefault="00C26EDE" w:rsidP="00692C5A">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-0.935 (0.230)</w:t>
            </w:r>
          </w:p>
        </w:tc>
      </w:tr>
      <w:tr w:rsidR="00C26EDE" w:rsidRPr="00BC5F1D" w14:paraId="273F45AA" w14:textId="7F7E81B5" w:rsidTr="00C26EDE">
        <w:trPr>
          <w:trHeight w:val="491"/>
          <w:jc w:val="center"/>
        </w:trPr>
        <w:tc>
          <w:tcPr>
            <w:tcW w:w="1985" w:type="dxa"/>
            <w:tcBorders>
              <w:top w:val="nil"/>
              <w:left w:val="nil"/>
              <w:bottom w:val="nil"/>
              <w:right w:val="nil"/>
            </w:tcBorders>
            <w:vAlign w:val="center"/>
          </w:tcPr>
          <w:p w14:paraId="55FB7880" w14:textId="77777777" w:rsidR="00C26EDE" w:rsidRPr="00BC5F1D" w:rsidRDefault="00C26EDE" w:rsidP="00692C5A">
            <w:pPr>
              <w:rPr>
                <w:rFonts w:ascii="Arial" w:hAnsi="Arial" w:cs="Arial"/>
                <w:color w:val="000000" w:themeColor="text1"/>
                <w:sz w:val="18"/>
                <w:szCs w:val="18"/>
                <w:vertAlign w:val="superscript"/>
                <w:lang w:val="en-US"/>
              </w:rPr>
            </w:pPr>
            <w:r w:rsidRPr="00BC5F1D">
              <w:rPr>
                <w:rFonts w:ascii="Arial" w:hAnsi="Arial" w:cs="Arial"/>
                <w:color w:val="000000" w:themeColor="text1"/>
                <w:sz w:val="18"/>
                <w:szCs w:val="18"/>
                <w:lang w:val="en-US"/>
              </w:rPr>
              <w:t>GLUT4-30</w:t>
            </w:r>
            <w:r w:rsidRPr="00BC5F1D">
              <w:rPr>
                <w:rFonts w:ascii="Arial" w:hAnsi="Arial" w:cs="Arial"/>
                <w:color w:val="000000" w:themeColor="text1"/>
                <w:sz w:val="18"/>
                <w:szCs w:val="18"/>
                <w:vertAlign w:val="superscript"/>
                <w:lang w:val="en-US"/>
              </w:rPr>
              <w:t>3</w:t>
            </w:r>
          </w:p>
        </w:tc>
        <w:tc>
          <w:tcPr>
            <w:tcW w:w="1984" w:type="dxa"/>
            <w:tcBorders>
              <w:top w:val="nil"/>
              <w:left w:val="nil"/>
              <w:bottom w:val="nil"/>
              <w:right w:val="nil"/>
            </w:tcBorders>
            <w:vAlign w:val="center"/>
          </w:tcPr>
          <w:p w14:paraId="2B4AAE21" w14:textId="4EE5887A" w:rsidR="00C26EDE" w:rsidRPr="00BC5F1D" w:rsidRDefault="00C26EDE" w:rsidP="00692C5A">
            <w:pPr>
              <w:jc w:val="center"/>
              <w:rPr>
                <w:rFonts w:ascii="Arial" w:hAnsi="Arial" w:cs="Arial"/>
                <w:b/>
                <w:bCs/>
                <w:color w:val="000000" w:themeColor="text1"/>
                <w:sz w:val="18"/>
                <w:szCs w:val="18"/>
                <w:lang w:val="en-US"/>
              </w:rPr>
            </w:pPr>
            <w:r w:rsidRPr="00BC5F1D">
              <w:rPr>
                <w:rFonts w:ascii="Arial" w:hAnsi="Arial" w:cs="Arial"/>
                <w:b/>
                <w:bCs/>
                <w:color w:val="000000" w:themeColor="text1"/>
                <w:sz w:val="18"/>
                <w:szCs w:val="18"/>
                <w:lang w:val="en-US"/>
              </w:rPr>
              <w:t>- 0.997 (0.043)</w:t>
            </w:r>
          </w:p>
        </w:tc>
        <w:tc>
          <w:tcPr>
            <w:tcW w:w="1418" w:type="dxa"/>
            <w:tcBorders>
              <w:top w:val="nil"/>
              <w:left w:val="nil"/>
              <w:bottom w:val="nil"/>
              <w:right w:val="nil"/>
            </w:tcBorders>
            <w:vAlign w:val="center"/>
          </w:tcPr>
          <w:p w14:paraId="6B06E37B" w14:textId="24CE0C79" w:rsidR="00C26EDE" w:rsidRPr="00BC5F1D" w:rsidRDefault="00C26EDE" w:rsidP="00692C5A">
            <w:pPr>
              <w:jc w:val="center"/>
              <w:rPr>
                <w:rFonts w:ascii="Arial" w:hAnsi="Arial" w:cs="Arial"/>
                <w:b/>
                <w:bCs/>
                <w:color w:val="000000" w:themeColor="text1"/>
                <w:sz w:val="18"/>
                <w:szCs w:val="18"/>
                <w:lang w:val="en-US"/>
              </w:rPr>
            </w:pPr>
            <w:r w:rsidRPr="00BC5F1D">
              <w:rPr>
                <w:rFonts w:ascii="Arial" w:hAnsi="Arial" w:cs="Arial"/>
                <w:b/>
                <w:bCs/>
                <w:color w:val="000000" w:themeColor="text1"/>
                <w:sz w:val="18"/>
                <w:szCs w:val="18"/>
                <w:lang w:val="en-US"/>
              </w:rPr>
              <w:t>0.998 (0.024)</w:t>
            </w:r>
          </w:p>
        </w:tc>
        <w:tc>
          <w:tcPr>
            <w:tcW w:w="1559" w:type="dxa"/>
            <w:tcBorders>
              <w:top w:val="nil"/>
              <w:left w:val="nil"/>
              <w:bottom w:val="nil"/>
              <w:right w:val="nil"/>
            </w:tcBorders>
            <w:vAlign w:val="center"/>
          </w:tcPr>
          <w:p w14:paraId="491AE13A" w14:textId="58DC07EC" w:rsidR="00C26EDE" w:rsidRPr="00BC5F1D" w:rsidRDefault="00C26EDE" w:rsidP="00692C5A">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-0.856 (0.345)</w:t>
            </w:r>
          </w:p>
        </w:tc>
        <w:tc>
          <w:tcPr>
            <w:tcW w:w="1701" w:type="dxa"/>
            <w:tcBorders>
              <w:top w:val="nil"/>
              <w:left w:val="nil"/>
              <w:bottom w:val="nil"/>
              <w:right w:val="nil"/>
            </w:tcBorders>
            <w:vAlign w:val="center"/>
          </w:tcPr>
          <w:p w14:paraId="0918500D" w14:textId="480E4E96" w:rsidR="00C26EDE" w:rsidRPr="00BC5F1D" w:rsidRDefault="00C26EDE" w:rsidP="00692C5A">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-0.993 (0.073)</w:t>
            </w:r>
          </w:p>
        </w:tc>
        <w:tc>
          <w:tcPr>
            <w:tcW w:w="1702" w:type="dxa"/>
            <w:tcBorders>
              <w:top w:val="nil"/>
              <w:left w:val="nil"/>
              <w:bottom w:val="nil"/>
              <w:right w:val="nil"/>
            </w:tcBorders>
            <w:vAlign w:val="center"/>
          </w:tcPr>
          <w:p w14:paraId="3342EDF9" w14:textId="34DA32A2" w:rsidR="00C26EDE" w:rsidRPr="00BC5F1D" w:rsidRDefault="00C26EDE" w:rsidP="00692C5A">
            <w:pPr>
              <w:jc w:val="center"/>
              <w:rPr>
                <w:rFonts w:ascii="Arial" w:hAnsi="Arial" w:cs="Arial"/>
                <w:color w:val="000000" w:themeColor="text1"/>
                <w:sz w:val="18"/>
                <w:szCs w:val="18"/>
                <w:lang w:val="en-US"/>
              </w:rPr>
            </w:pPr>
            <w:r w:rsidRPr="00BC5F1D">
              <w:rPr>
                <w:rFonts w:ascii="Arial" w:hAnsi="Arial" w:cs="Arial"/>
                <w:color w:val="000000" w:themeColor="text1"/>
                <w:sz w:val="18"/>
                <w:szCs w:val="18"/>
                <w:lang w:val="en-US"/>
              </w:rPr>
              <w:t>-0.933 (0.234)</w:t>
            </w:r>
          </w:p>
        </w:tc>
      </w:tr>
      <w:tr w:rsidR="00C26EDE" w:rsidRPr="00B148EB" w14:paraId="37E6DDE6" w14:textId="2EEA1BF7" w:rsidTr="00C26EDE">
        <w:trPr>
          <w:trHeight w:val="520"/>
          <w:jc w:val="center"/>
        </w:trPr>
        <w:tc>
          <w:tcPr>
            <w:tcW w:w="10349" w:type="dxa"/>
            <w:gridSpan w:val="6"/>
            <w:tcBorders>
              <w:top w:val="single" w:sz="4" w:space="0" w:color="auto"/>
              <w:left w:val="nil"/>
              <w:bottom w:val="nil"/>
              <w:right w:val="nil"/>
            </w:tcBorders>
            <w:vAlign w:val="center"/>
          </w:tcPr>
          <w:p w14:paraId="663FB077" w14:textId="4C43853E" w:rsidR="00C26EDE" w:rsidRPr="00BC5F1D" w:rsidRDefault="00C26EDE" w:rsidP="00797D8A">
            <w:pPr>
              <w:jc w:val="both"/>
              <w:rPr>
                <w:rFonts w:ascii="Arial" w:hAnsi="Arial" w:cs="Arial"/>
                <w:sz w:val="18"/>
                <w:szCs w:val="18"/>
                <w:lang w:val="en-US"/>
              </w:rPr>
            </w:pPr>
            <w:r w:rsidRPr="00BC5F1D">
              <w:rPr>
                <w:rFonts w:ascii="Arial" w:hAnsi="Arial" w:cs="Arial"/>
                <w:color w:val="000000" w:themeColor="text1"/>
                <w:sz w:val="18"/>
                <w:szCs w:val="18"/>
                <w:lang w:val="en-US"/>
              </w:rPr>
              <w:t xml:space="preserve">Correlation coefficient (probability threshold), </w:t>
            </w:r>
            <w:r w:rsidRPr="00BC5F1D">
              <w:rPr>
                <w:rFonts w:ascii="Arial" w:hAnsi="Arial" w:cs="Arial"/>
                <w:sz w:val="18"/>
                <w:szCs w:val="18"/>
                <w:lang w:val="en-US"/>
              </w:rPr>
              <w:t>Probability values below 0.05 indicate correlation coefficients (in bold) that are significantly different from 0 at a 95.0% confidence level.</w:t>
            </w:r>
            <w:r w:rsidRPr="00BC5F1D">
              <w:rPr>
                <w:rFonts w:ascii="Arial" w:hAnsi="Arial" w:cs="Arial"/>
                <w:color w:val="000000" w:themeColor="text1"/>
                <w:sz w:val="18"/>
                <w:szCs w:val="18"/>
                <w:lang w:val="en-US"/>
              </w:rPr>
              <w:t xml:space="preserve"> </w:t>
            </w:r>
            <w:r w:rsidRPr="00BC5F1D">
              <w:rPr>
                <w:rFonts w:ascii="Arial" w:hAnsi="Arial" w:cs="Arial"/>
                <w:color w:val="000000" w:themeColor="text1"/>
                <w:sz w:val="18"/>
                <w:szCs w:val="18"/>
                <w:vertAlign w:val="superscript"/>
                <w:lang w:val="en-US"/>
              </w:rPr>
              <w:t xml:space="preserve">1 </w:t>
            </w:r>
            <w:r w:rsidRPr="00BC5F1D">
              <w:rPr>
                <w:rFonts w:ascii="Arial" w:hAnsi="Arial" w:cs="Arial"/>
                <w:color w:val="000000" w:themeColor="text1"/>
                <w:sz w:val="18"/>
                <w:szCs w:val="18"/>
                <w:lang w:val="en-US"/>
              </w:rPr>
              <w:t xml:space="preserve">GLUT4 translocation after 10 minutes of activity on average; </w:t>
            </w:r>
            <w:r w:rsidRPr="00BC5F1D">
              <w:rPr>
                <w:rFonts w:ascii="Arial" w:hAnsi="Arial" w:cs="Arial"/>
                <w:color w:val="000000" w:themeColor="text1"/>
                <w:sz w:val="18"/>
                <w:szCs w:val="18"/>
                <w:vertAlign w:val="superscript"/>
                <w:lang w:val="en-US"/>
              </w:rPr>
              <w:t xml:space="preserve">2 </w:t>
            </w:r>
            <w:r w:rsidRPr="00BC5F1D">
              <w:rPr>
                <w:rFonts w:ascii="Arial" w:hAnsi="Arial" w:cs="Arial"/>
                <w:color w:val="000000" w:themeColor="text1"/>
                <w:sz w:val="18"/>
                <w:szCs w:val="18"/>
                <w:lang w:val="en-US"/>
              </w:rPr>
              <w:t xml:space="preserve">GLUT4 translocation after 20 minutes of activity on average; </w:t>
            </w:r>
            <w:r w:rsidRPr="00BC5F1D">
              <w:rPr>
                <w:rFonts w:ascii="Arial" w:hAnsi="Arial" w:cs="Arial"/>
                <w:color w:val="000000" w:themeColor="text1"/>
                <w:sz w:val="18"/>
                <w:szCs w:val="18"/>
                <w:vertAlign w:val="superscript"/>
                <w:lang w:val="en-US"/>
              </w:rPr>
              <w:t>3</w:t>
            </w:r>
            <w:r w:rsidRPr="00BC5F1D">
              <w:rPr>
                <w:rFonts w:ascii="Arial" w:hAnsi="Arial" w:cs="Arial"/>
                <w:color w:val="000000" w:themeColor="text1"/>
                <w:sz w:val="18"/>
                <w:szCs w:val="18"/>
                <w:lang w:val="en-US"/>
              </w:rPr>
              <w:t xml:space="preserve"> GLUT4 translocation after 30 minutes of activity on average</w:t>
            </w:r>
          </w:p>
        </w:tc>
      </w:tr>
      <w:bookmarkEnd w:id="7"/>
    </w:tbl>
    <w:p w14:paraId="70972175" w14:textId="77777777" w:rsidR="00C26EDE" w:rsidRDefault="00C26EDE" w:rsidP="00C26EDE">
      <w:pPr>
        <w:tabs>
          <w:tab w:val="left" w:pos="3633"/>
        </w:tabs>
        <w:rPr>
          <w:noProof/>
          <w:lang w:val="en-US"/>
        </w:rPr>
      </w:pPr>
    </w:p>
    <w:p w14:paraId="0D007EC7" w14:textId="77777777" w:rsidR="000A657C" w:rsidRDefault="000A657C" w:rsidP="00C26EDE">
      <w:pPr>
        <w:tabs>
          <w:tab w:val="left" w:pos="3633"/>
        </w:tabs>
        <w:rPr>
          <w:noProof/>
          <w:lang w:val="en-US"/>
        </w:rPr>
        <w:sectPr w:rsidR="000A657C" w:rsidSect="000B582C">
          <w:type w:val="continuous"/>
          <w:pgSz w:w="11906" w:h="16838"/>
          <w:pgMar w:top="1417" w:right="1417" w:bottom="1417" w:left="1417" w:header="708" w:footer="708" w:gutter="0"/>
          <w:cols w:space="708"/>
          <w:docGrid w:linePitch="360"/>
        </w:sectPr>
      </w:pPr>
    </w:p>
    <w:p w14:paraId="541B3291" w14:textId="77777777" w:rsidR="00C26EDE" w:rsidRDefault="00C26EDE" w:rsidP="00C26EDE">
      <w:pPr>
        <w:tabs>
          <w:tab w:val="left" w:pos="3633"/>
        </w:tabs>
        <w:rPr>
          <w:lang w:val="en-US"/>
        </w:rPr>
      </w:pPr>
      <w:r>
        <w:rPr>
          <w:noProof/>
        </w:rPr>
        <w:lastRenderedPageBreak/>
        <w:drawing>
          <wp:inline distT="0" distB="0" distL="0" distR="0" wp14:anchorId="7B9415F7" wp14:editId="4C550F77">
            <wp:extent cx="5760720" cy="4172537"/>
            <wp:effectExtent l="0" t="0" r="0" b="0"/>
            <wp:docPr id="46927725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172537"/>
                    </a:xfrm>
                    <a:prstGeom prst="rect">
                      <a:avLst/>
                    </a:prstGeom>
                    <a:noFill/>
                    <a:ln>
                      <a:noFill/>
                    </a:ln>
                  </pic:spPr>
                </pic:pic>
              </a:graphicData>
            </a:graphic>
          </wp:inline>
        </w:drawing>
      </w:r>
      <w:r>
        <w:rPr>
          <w:lang w:val="en-US"/>
        </w:rPr>
        <w:tab/>
      </w:r>
    </w:p>
    <w:p w14:paraId="47059125" w14:textId="4096157E" w:rsidR="0020269D" w:rsidRPr="00BC5F1D" w:rsidRDefault="00C26EDE" w:rsidP="0020269D">
      <w:pPr>
        <w:tabs>
          <w:tab w:val="left" w:pos="3633"/>
        </w:tabs>
        <w:jc w:val="center"/>
        <w:rPr>
          <w:rFonts w:ascii="Arial" w:hAnsi="Arial" w:cs="Arial"/>
          <w:sz w:val="20"/>
          <w:szCs w:val="20"/>
          <w:lang w:val="en-US"/>
        </w:rPr>
      </w:pPr>
      <w:r w:rsidRPr="00BC5F1D">
        <w:rPr>
          <w:rFonts w:ascii="Arial" w:hAnsi="Arial" w:cs="Arial"/>
          <w:sz w:val="20"/>
          <w:szCs w:val="20"/>
          <w:lang w:val="en-US"/>
        </w:rPr>
        <w:t>Fig</w:t>
      </w:r>
      <w:r w:rsidR="00883578">
        <w:rPr>
          <w:rFonts w:ascii="Arial" w:hAnsi="Arial" w:cs="Arial"/>
          <w:sz w:val="20"/>
          <w:szCs w:val="20"/>
          <w:lang w:val="en-US"/>
        </w:rPr>
        <w:t>.</w:t>
      </w:r>
      <w:r w:rsidRPr="00BC5F1D">
        <w:rPr>
          <w:rFonts w:ascii="Arial" w:hAnsi="Arial" w:cs="Arial"/>
          <w:sz w:val="20"/>
          <w:szCs w:val="20"/>
          <w:lang w:val="en-US"/>
        </w:rPr>
        <w:t xml:space="preserve"> </w:t>
      </w:r>
      <w:r w:rsidR="00E43983" w:rsidRPr="00BC5F1D">
        <w:rPr>
          <w:rFonts w:ascii="Arial" w:hAnsi="Arial" w:cs="Arial"/>
          <w:sz w:val="20"/>
          <w:szCs w:val="20"/>
          <w:lang w:val="en-US"/>
        </w:rPr>
        <w:t>2</w:t>
      </w:r>
      <w:r w:rsidR="00883578">
        <w:rPr>
          <w:rFonts w:ascii="Arial" w:hAnsi="Arial" w:cs="Arial"/>
          <w:sz w:val="20"/>
          <w:szCs w:val="20"/>
          <w:lang w:val="en-US"/>
        </w:rPr>
        <w:t>.</w:t>
      </w:r>
      <w:r w:rsidRPr="00BC5F1D">
        <w:rPr>
          <w:rFonts w:ascii="Arial" w:hAnsi="Arial" w:cs="Arial"/>
          <w:sz w:val="20"/>
          <w:szCs w:val="20"/>
          <w:lang w:val="en-US"/>
        </w:rPr>
        <w:t xml:space="preserve"> UPLC/ESI-TOF-MS chromatogram of </w:t>
      </w:r>
      <w:r w:rsidRPr="00BC5F1D">
        <w:rPr>
          <w:rFonts w:ascii="Arial" w:hAnsi="Arial" w:cs="Arial"/>
          <w:i/>
          <w:iCs/>
          <w:sz w:val="20"/>
          <w:szCs w:val="20"/>
          <w:lang w:val="en-US"/>
        </w:rPr>
        <w:t>Adansonia digitata</w:t>
      </w:r>
      <w:r w:rsidRPr="00BC5F1D">
        <w:rPr>
          <w:rFonts w:ascii="Arial" w:hAnsi="Arial" w:cs="Arial"/>
          <w:sz w:val="20"/>
          <w:szCs w:val="20"/>
          <w:lang w:val="en-US"/>
        </w:rPr>
        <w:t xml:space="preserve"> leaf extracts</w:t>
      </w:r>
    </w:p>
    <w:p w14:paraId="354169F4" w14:textId="77777777" w:rsidR="000A657C" w:rsidRDefault="000A657C" w:rsidP="0020269D">
      <w:pPr>
        <w:tabs>
          <w:tab w:val="left" w:pos="3633"/>
        </w:tabs>
        <w:jc w:val="center"/>
        <w:rPr>
          <w:rFonts w:ascii="Times New Roman" w:hAnsi="Times New Roman" w:cs="Times New Roman"/>
          <w:lang w:val="en-US"/>
        </w:rPr>
      </w:pPr>
    </w:p>
    <w:p w14:paraId="004405C0" w14:textId="5F5FC8F8" w:rsidR="000A657C" w:rsidRDefault="0020269D" w:rsidP="000A657C">
      <w:pPr>
        <w:tabs>
          <w:tab w:val="center" w:pos="4536"/>
        </w:tabs>
        <w:rPr>
          <w:lang w:val="en-US"/>
        </w:rPr>
      </w:pPr>
      <w:r>
        <w:rPr>
          <w:lang w:val="en-US"/>
        </w:rPr>
        <w:tab/>
      </w:r>
      <w:r w:rsidR="000A657C">
        <w:rPr>
          <w:noProof/>
        </w:rPr>
        <w:drawing>
          <wp:inline distT="0" distB="0" distL="0" distR="0" wp14:anchorId="73810AD8" wp14:editId="5D52CB7B">
            <wp:extent cx="5760720" cy="3343499"/>
            <wp:effectExtent l="0" t="0" r="0" b="9525"/>
            <wp:docPr id="565935037"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400" r="894"/>
                    <a:stretch/>
                  </pic:blipFill>
                  <pic:spPr bwMode="auto">
                    <a:xfrm>
                      <a:off x="0" y="0"/>
                      <a:ext cx="5760720" cy="3343499"/>
                    </a:xfrm>
                    <a:prstGeom prst="rect">
                      <a:avLst/>
                    </a:prstGeom>
                    <a:noFill/>
                    <a:ln>
                      <a:noFill/>
                    </a:ln>
                    <a:extLst>
                      <a:ext uri="{53640926-AAD7-44D8-BBD7-CCE9431645EC}">
                        <a14:shadowObscured xmlns:a14="http://schemas.microsoft.com/office/drawing/2010/main"/>
                      </a:ext>
                    </a:extLst>
                  </pic:spPr>
                </pic:pic>
              </a:graphicData>
            </a:graphic>
          </wp:inline>
        </w:drawing>
      </w:r>
    </w:p>
    <w:p w14:paraId="6CFAB5EB" w14:textId="63D5DF0B" w:rsidR="000A657C" w:rsidRPr="00BC5F1D" w:rsidRDefault="000A657C" w:rsidP="000A657C">
      <w:pPr>
        <w:spacing w:before="240"/>
        <w:jc w:val="center"/>
        <w:rPr>
          <w:rFonts w:ascii="Arial" w:hAnsi="Arial" w:cs="Arial"/>
          <w:sz w:val="20"/>
          <w:szCs w:val="20"/>
          <w:lang w:val="en-US"/>
        </w:rPr>
        <w:sectPr w:rsidR="000A657C" w:rsidRPr="00BC5F1D" w:rsidSect="000B582C">
          <w:type w:val="continuous"/>
          <w:pgSz w:w="11906" w:h="16838"/>
          <w:pgMar w:top="1135" w:right="1417" w:bottom="1417" w:left="1417" w:header="708" w:footer="708" w:gutter="0"/>
          <w:cols w:space="708"/>
          <w:docGrid w:linePitch="360"/>
        </w:sectPr>
      </w:pPr>
      <w:r w:rsidRPr="00BC5F1D">
        <w:rPr>
          <w:rFonts w:ascii="Arial" w:hAnsi="Arial" w:cs="Arial"/>
          <w:sz w:val="20"/>
          <w:szCs w:val="20"/>
          <w:lang w:val="en-US"/>
        </w:rPr>
        <w:t>Fig</w:t>
      </w:r>
      <w:r w:rsidR="00883578">
        <w:rPr>
          <w:rFonts w:ascii="Arial" w:hAnsi="Arial" w:cs="Arial"/>
          <w:sz w:val="20"/>
          <w:szCs w:val="20"/>
          <w:lang w:val="en-US"/>
        </w:rPr>
        <w:t>.</w:t>
      </w:r>
      <w:r w:rsidRPr="00BC5F1D">
        <w:rPr>
          <w:rFonts w:ascii="Arial" w:hAnsi="Arial" w:cs="Arial"/>
          <w:sz w:val="20"/>
          <w:szCs w:val="20"/>
          <w:lang w:val="en-US"/>
        </w:rPr>
        <w:t xml:space="preserve"> 3</w:t>
      </w:r>
      <w:r w:rsidR="00883578">
        <w:rPr>
          <w:rFonts w:ascii="Arial" w:hAnsi="Arial" w:cs="Arial"/>
          <w:sz w:val="20"/>
          <w:szCs w:val="20"/>
          <w:lang w:val="en-US"/>
        </w:rPr>
        <w:t>.</w:t>
      </w:r>
      <w:r w:rsidRPr="00BC5F1D">
        <w:rPr>
          <w:rFonts w:ascii="Arial" w:hAnsi="Arial" w:cs="Arial"/>
          <w:sz w:val="20"/>
          <w:szCs w:val="20"/>
          <w:lang w:val="en-US"/>
        </w:rPr>
        <w:t xml:space="preserve"> UPLC/ESI-TOF-MS chromatogram of </w:t>
      </w:r>
      <w:r w:rsidRPr="00BC5F1D">
        <w:rPr>
          <w:rFonts w:ascii="Arial" w:hAnsi="Arial" w:cs="Arial"/>
          <w:i/>
          <w:iCs/>
          <w:sz w:val="20"/>
          <w:szCs w:val="20"/>
          <w:lang w:val="en-US"/>
        </w:rPr>
        <w:t xml:space="preserve">Corchorus </w:t>
      </w:r>
      <w:proofErr w:type="spellStart"/>
      <w:r w:rsidRPr="00BC5F1D">
        <w:rPr>
          <w:rFonts w:ascii="Arial" w:hAnsi="Arial" w:cs="Arial"/>
          <w:i/>
          <w:iCs/>
          <w:sz w:val="20"/>
          <w:szCs w:val="20"/>
          <w:lang w:val="en-US"/>
        </w:rPr>
        <w:t>olitorius</w:t>
      </w:r>
      <w:proofErr w:type="spellEnd"/>
      <w:r w:rsidRPr="00BC5F1D">
        <w:rPr>
          <w:rFonts w:ascii="Arial" w:hAnsi="Arial" w:cs="Arial"/>
          <w:sz w:val="20"/>
          <w:szCs w:val="20"/>
          <w:lang w:val="en-US"/>
        </w:rPr>
        <w:t xml:space="preserve"> leaf extracts</w:t>
      </w:r>
    </w:p>
    <w:p w14:paraId="54B5D89E" w14:textId="77777777" w:rsidR="001B4AA3" w:rsidRDefault="001B4AA3" w:rsidP="001B4AA3">
      <w:pPr>
        <w:tabs>
          <w:tab w:val="left" w:pos="5040"/>
        </w:tabs>
        <w:jc w:val="center"/>
        <w:rPr>
          <w:rFonts w:ascii="Times New Roman" w:hAnsi="Times New Roman" w:cs="Times New Roman"/>
          <w:lang w:val="en-US"/>
        </w:rPr>
      </w:pPr>
      <w:bookmarkStart w:id="8" w:name="_Hlk189601215"/>
      <w:r>
        <w:rPr>
          <w:noProof/>
        </w:rPr>
        <w:lastRenderedPageBreak/>
        <w:drawing>
          <wp:inline distT="0" distB="0" distL="0" distR="0" wp14:anchorId="1864BC31" wp14:editId="6B946908">
            <wp:extent cx="6071388" cy="3189620"/>
            <wp:effectExtent l="0" t="0" r="5715" b="0"/>
            <wp:docPr id="1572005252"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84383" cy="3196447"/>
                    </a:xfrm>
                    <a:prstGeom prst="rect">
                      <a:avLst/>
                    </a:prstGeom>
                    <a:noFill/>
                    <a:ln>
                      <a:noFill/>
                    </a:ln>
                  </pic:spPr>
                </pic:pic>
              </a:graphicData>
            </a:graphic>
          </wp:inline>
        </w:drawing>
      </w:r>
    </w:p>
    <w:p w14:paraId="5F4419E9" w14:textId="628FE140" w:rsidR="001B4AA3" w:rsidRPr="00BC5F1D" w:rsidRDefault="001B4AA3" w:rsidP="001B4AA3">
      <w:pPr>
        <w:tabs>
          <w:tab w:val="left" w:pos="5040"/>
        </w:tabs>
        <w:spacing w:before="240"/>
        <w:jc w:val="center"/>
        <w:rPr>
          <w:rFonts w:ascii="Arial" w:hAnsi="Arial" w:cs="Arial"/>
          <w:sz w:val="20"/>
          <w:szCs w:val="20"/>
          <w:lang w:val="en-US"/>
        </w:rPr>
      </w:pPr>
      <w:r w:rsidRPr="00BC5F1D">
        <w:rPr>
          <w:rFonts w:ascii="Arial" w:hAnsi="Arial" w:cs="Arial"/>
          <w:sz w:val="20"/>
          <w:szCs w:val="20"/>
          <w:lang w:val="en-US"/>
        </w:rPr>
        <w:t>Fig</w:t>
      </w:r>
      <w:r w:rsidR="00883578">
        <w:rPr>
          <w:rFonts w:ascii="Arial" w:hAnsi="Arial" w:cs="Arial"/>
          <w:sz w:val="20"/>
          <w:szCs w:val="20"/>
          <w:lang w:val="en-US"/>
        </w:rPr>
        <w:t>.</w:t>
      </w:r>
      <w:r w:rsidRPr="00BC5F1D">
        <w:rPr>
          <w:rFonts w:ascii="Arial" w:hAnsi="Arial" w:cs="Arial"/>
          <w:sz w:val="20"/>
          <w:szCs w:val="20"/>
          <w:lang w:val="en-US"/>
        </w:rPr>
        <w:t xml:space="preserve"> </w:t>
      </w:r>
      <w:r w:rsidR="0089450A" w:rsidRPr="00BC5F1D">
        <w:rPr>
          <w:rFonts w:ascii="Arial" w:hAnsi="Arial" w:cs="Arial"/>
          <w:sz w:val="20"/>
          <w:szCs w:val="20"/>
          <w:lang w:val="en-US"/>
        </w:rPr>
        <w:t>4</w:t>
      </w:r>
      <w:r w:rsidR="00883578">
        <w:rPr>
          <w:rFonts w:ascii="Arial" w:hAnsi="Arial" w:cs="Arial"/>
          <w:sz w:val="20"/>
          <w:szCs w:val="20"/>
          <w:lang w:val="en-US"/>
        </w:rPr>
        <w:t>.</w:t>
      </w:r>
      <w:r w:rsidRPr="00BC5F1D">
        <w:rPr>
          <w:rFonts w:ascii="Arial" w:hAnsi="Arial" w:cs="Arial"/>
          <w:sz w:val="20"/>
          <w:szCs w:val="20"/>
          <w:lang w:val="en-US"/>
        </w:rPr>
        <w:t xml:space="preserve"> UPLC/ESI-TOF-MS chromatogram of </w:t>
      </w:r>
      <w:proofErr w:type="spellStart"/>
      <w:r w:rsidR="00E90A8C" w:rsidRPr="00BC5F1D">
        <w:rPr>
          <w:rFonts w:ascii="Arial" w:hAnsi="Arial" w:cs="Arial"/>
          <w:i/>
          <w:iCs/>
          <w:sz w:val="20"/>
          <w:szCs w:val="20"/>
          <w:lang w:val="en-US"/>
        </w:rPr>
        <w:t>Triumfetta</w:t>
      </w:r>
      <w:proofErr w:type="spellEnd"/>
      <w:r w:rsidR="00E90A8C" w:rsidRPr="00BC5F1D">
        <w:rPr>
          <w:rFonts w:ascii="Arial" w:hAnsi="Arial" w:cs="Arial"/>
          <w:i/>
          <w:iCs/>
          <w:sz w:val="20"/>
          <w:szCs w:val="20"/>
          <w:lang w:val="en-US"/>
        </w:rPr>
        <w:t xml:space="preserve"> </w:t>
      </w:r>
      <w:proofErr w:type="spellStart"/>
      <w:r w:rsidR="00E90A8C" w:rsidRPr="00BC5F1D">
        <w:rPr>
          <w:rFonts w:ascii="Arial" w:hAnsi="Arial" w:cs="Arial"/>
          <w:i/>
          <w:iCs/>
          <w:sz w:val="20"/>
          <w:szCs w:val="20"/>
          <w:lang w:val="en-US"/>
        </w:rPr>
        <w:t>cordifolia</w:t>
      </w:r>
      <w:proofErr w:type="spellEnd"/>
      <w:r w:rsidR="00E90A8C" w:rsidRPr="00BC5F1D">
        <w:rPr>
          <w:rFonts w:ascii="Arial" w:hAnsi="Arial" w:cs="Arial"/>
          <w:i/>
          <w:iCs/>
          <w:sz w:val="20"/>
          <w:szCs w:val="20"/>
          <w:lang w:val="en-US"/>
        </w:rPr>
        <w:t xml:space="preserve"> </w:t>
      </w:r>
      <w:r w:rsidRPr="00BC5F1D">
        <w:rPr>
          <w:rFonts w:ascii="Arial" w:hAnsi="Arial" w:cs="Arial"/>
          <w:sz w:val="20"/>
          <w:szCs w:val="20"/>
          <w:lang w:val="en-US"/>
        </w:rPr>
        <w:t>bark extracts</w:t>
      </w:r>
    </w:p>
    <w:bookmarkEnd w:id="8"/>
    <w:p w14:paraId="626896B4" w14:textId="77777777" w:rsidR="009F3856" w:rsidRDefault="009F3856" w:rsidP="00245B33">
      <w:pPr>
        <w:spacing w:line="360" w:lineRule="auto"/>
        <w:jc w:val="both"/>
        <w:rPr>
          <w:rFonts w:ascii="Times New Roman" w:hAnsi="Times New Roman" w:cs="Times New Roman"/>
          <w:lang w:val="en-US"/>
        </w:rPr>
      </w:pPr>
    </w:p>
    <w:p w14:paraId="69E586C8" w14:textId="4091A457" w:rsidR="001B4AA3" w:rsidRPr="00BC5F1D" w:rsidRDefault="003730C8" w:rsidP="001B4AA3">
      <w:pPr>
        <w:pStyle w:val="ListParagraph"/>
        <w:numPr>
          <w:ilvl w:val="0"/>
          <w:numId w:val="1"/>
        </w:numPr>
        <w:spacing w:line="360" w:lineRule="auto"/>
        <w:jc w:val="both"/>
        <w:rPr>
          <w:rFonts w:ascii="Arial" w:hAnsi="Arial" w:cs="Arial"/>
          <w:b/>
          <w:bCs/>
          <w:lang w:val="en-US"/>
        </w:rPr>
      </w:pPr>
      <w:r w:rsidRPr="00BC5F1D">
        <w:rPr>
          <w:rFonts w:ascii="Arial" w:hAnsi="Arial" w:cs="Arial"/>
          <w:b/>
          <w:bCs/>
          <w:lang w:val="en-US"/>
        </w:rPr>
        <w:t xml:space="preserve">CONCLUSION </w:t>
      </w:r>
    </w:p>
    <w:p w14:paraId="65DC85FC" w14:textId="542D64C3" w:rsidR="000A657C" w:rsidRDefault="000A657C" w:rsidP="000A657C">
      <w:pPr>
        <w:spacing w:line="360" w:lineRule="auto"/>
        <w:jc w:val="both"/>
        <w:rPr>
          <w:rFonts w:ascii="Arial" w:hAnsi="Arial" w:cs="Arial"/>
          <w:sz w:val="20"/>
          <w:szCs w:val="20"/>
          <w:lang w:val="en-US"/>
        </w:rPr>
      </w:pPr>
      <w:r w:rsidRPr="00BC5F1D">
        <w:rPr>
          <w:rFonts w:ascii="Arial" w:hAnsi="Arial" w:cs="Arial"/>
          <w:sz w:val="20"/>
          <w:szCs w:val="20"/>
          <w:lang w:val="en-US"/>
        </w:rPr>
        <w:t xml:space="preserve">This study aimed to determine the nutritional and bioactive composition of leaf powders from </w:t>
      </w:r>
      <w:r w:rsidRPr="00BC5F1D">
        <w:rPr>
          <w:rFonts w:ascii="Arial" w:hAnsi="Arial" w:cs="Arial"/>
          <w:i/>
          <w:iCs/>
          <w:sz w:val="20"/>
          <w:szCs w:val="20"/>
          <w:lang w:val="en-US"/>
        </w:rPr>
        <w:t xml:space="preserve">A. digitata, C. </w:t>
      </w:r>
      <w:proofErr w:type="spellStart"/>
      <w:r w:rsidRPr="00BC5F1D">
        <w:rPr>
          <w:rFonts w:ascii="Arial" w:hAnsi="Arial" w:cs="Arial"/>
          <w:i/>
          <w:iCs/>
          <w:sz w:val="20"/>
          <w:szCs w:val="20"/>
          <w:lang w:val="en-US"/>
        </w:rPr>
        <w:t>olitorius</w:t>
      </w:r>
      <w:proofErr w:type="spellEnd"/>
      <w:r w:rsidRPr="00BC5F1D">
        <w:rPr>
          <w:rFonts w:ascii="Arial" w:hAnsi="Arial" w:cs="Arial"/>
          <w:sz w:val="20"/>
          <w:szCs w:val="20"/>
          <w:lang w:val="en-US"/>
        </w:rPr>
        <w:t xml:space="preserve">, and the bark of </w:t>
      </w:r>
      <w:r w:rsidRPr="00BC5F1D">
        <w:rPr>
          <w:rFonts w:ascii="Arial" w:hAnsi="Arial" w:cs="Arial"/>
          <w:i/>
          <w:iCs/>
          <w:sz w:val="20"/>
          <w:szCs w:val="20"/>
          <w:lang w:val="en-US"/>
        </w:rPr>
        <w:t>T. cordifolia</w:t>
      </w:r>
      <w:r w:rsidRPr="00BC5F1D">
        <w:rPr>
          <w:rFonts w:ascii="Arial" w:hAnsi="Arial" w:cs="Arial"/>
          <w:sz w:val="20"/>
          <w:szCs w:val="20"/>
          <w:lang w:val="en-US"/>
        </w:rPr>
        <w:t xml:space="preserve">, as well as their effects on GLUT4 translocation activity. The results indicate that the powders from these plants have significant nutritional potential, with high levels of essential nutrients, including proteins, trace elements (iron, zinc, copper), </w:t>
      </w:r>
      <w:proofErr w:type="spellStart"/>
      <w:r w:rsidRPr="00BC5F1D">
        <w:rPr>
          <w:rFonts w:ascii="Arial" w:hAnsi="Arial" w:cs="Arial"/>
          <w:sz w:val="20"/>
          <w:szCs w:val="20"/>
          <w:lang w:val="en-US"/>
        </w:rPr>
        <w:t>macroelements</w:t>
      </w:r>
      <w:proofErr w:type="spellEnd"/>
      <w:r w:rsidRPr="00BC5F1D">
        <w:rPr>
          <w:rFonts w:ascii="Arial" w:hAnsi="Arial" w:cs="Arial"/>
          <w:sz w:val="20"/>
          <w:szCs w:val="20"/>
          <w:lang w:val="en-US"/>
        </w:rPr>
        <w:t xml:space="preserve"> (calcium, magnesium), and crude fiber, known for their satiety-inducing and dietary regulating properties. In this regard, the powders of </w:t>
      </w:r>
      <w:r w:rsidRPr="00BC5F1D">
        <w:rPr>
          <w:rFonts w:ascii="Arial" w:hAnsi="Arial" w:cs="Arial"/>
          <w:i/>
          <w:iCs/>
          <w:sz w:val="20"/>
          <w:szCs w:val="20"/>
          <w:lang w:val="en-US"/>
        </w:rPr>
        <w:t xml:space="preserve">C. </w:t>
      </w:r>
      <w:proofErr w:type="spellStart"/>
      <w:r w:rsidRPr="00BC5F1D">
        <w:rPr>
          <w:rFonts w:ascii="Arial" w:hAnsi="Arial" w:cs="Arial"/>
          <w:i/>
          <w:iCs/>
          <w:sz w:val="20"/>
          <w:szCs w:val="20"/>
          <w:lang w:val="en-US"/>
        </w:rPr>
        <w:t>olitorius</w:t>
      </w:r>
      <w:proofErr w:type="spellEnd"/>
      <w:r w:rsidRPr="00BC5F1D">
        <w:rPr>
          <w:rFonts w:ascii="Arial" w:hAnsi="Arial" w:cs="Arial"/>
          <w:sz w:val="20"/>
          <w:szCs w:val="20"/>
          <w:lang w:val="en-US"/>
        </w:rPr>
        <w:t xml:space="preserve"> followed by A. digitata exhibit better nutritional potentials that can be recommended for type 2 diabetic patients. The bioactive potential, relative to the levels of bioactive compounds (total polyphenols, condensed tannins, total flavonoids), is higher in the powder of </w:t>
      </w:r>
      <w:r w:rsidRPr="00BC5F1D">
        <w:rPr>
          <w:rFonts w:ascii="Arial" w:hAnsi="Arial" w:cs="Arial"/>
          <w:i/>
          <w:iCs/>
          <w:sz w:val="20"/>
          <w:szCs w:val="20"/>
          <w:lang w:val="en-US"/>
        </w:rPr>
        <w:t>T. cordifolia</w:t>
      </w:r>
      <w:r w:rsidRPr="00BC5F1D">
        <w:rPr>
          <w:rFonts w:ascii="Arial" w:hAnsi="Arial" w:cs="Arial"/>
          <w:sz w:val="20"/>
          <w:szCs w:val="20"/>
          <w:lang w:val="en-US"/>
        </w:rPr>
        <w:t xml:space="preserve">. However, it is the only powder that exhibits toxic effects on GLUT4 translocation activity. In contrast, the powders of </w:t>
      </w:r>
      <w:r w:rsidRPr="00BC5F1D">
        <w:rPr>
          <w:rFonts w:ascii="Arial" w:hAnsi="Arial" w:cs="Arial"/>
          <w:i/>
          <w:iCs/>
          <w:sz w:val="20"/>
          <w:szCs w:val="20"/>
          <w:lang w:val="en-US"/>
        </w:rPr>
        <w:t xml:space="preserve">C. </w:t>
      </w:r>
      <w:proofErr w:type="spellStart"/>
      <w:r w:rsidRPr="00BC5F1D">
        <w:rPr>
          <w:rFonts w:ascii="Arial" w:hAnsi="Arial" w:cs="Arial"/>
          <w:i/>
          <w:iCs/>
          <w:sz w:val="20"/>
          <w:szCs w:val="20"/>
          <w:lang w:val="en-US"/>
        </w:rPr>
        <w:t>olitorius</w:t>
      </w:r>
      <w:proofErr w:type="spellEnd"/>
      <w:r w:rsidRPr="00BC5F1D">
        <w:rPr>
          <w:rFonts w:ascii="Arial" w:hAnsi="Arial" w:cs="Arial"/>
          <w:sz w:val="20"/>
          <w:szCs w:val="20"/>
          <w:lang w:val="en-US"/>
        </w:rPr>
        <w:t xml:space="preserve"> and </w:t>
      </w:r>
      <w:r w:rsidRPr="00BC5F1D">
        <w:rPr>
          <w:rFonts w:ascii="Arial" w:hAnsi="Arial" w:cs="Arial"/>
          <w:i/>
          <w:iCs/>
          <w:sz w:val="20"/>
          <w:szCs w:val="20"/>
          <w:lang w:val="en-US"/>
        </w:rPr>
        <w:t>A. digitata</w:t>
      </w:r>
      <w:r w:rsidRPr="00BC5F1D">
        <w:rPr>
          <w:rFonts w:ascii="Arial" w:hAnsi="Arial" w:cs="Arial"/>
          <w:sz w:val="20"/>
          <w:szCs w:val="20"/>
          <w:lang w:val="en-US"/>
        </w:rPr>
        <w:t xml:space="preserve"> demonstrate significant GLUT4 translocation activity, likely triggered by numerous bioactive compounds from the flavonoid family (kaempferol-3-O-rhamnosylrutinoside, </w:t>
      </w:r>
      <w:proofErr w:type="spellStart"/>
      <w:r w:rsidRPr="00BC5F1D">
        <w:rPr>
          <w:rFonts w:ascii="Arial" w:hAnsi="Arial" w:cs="Arial"/>
          <w:sz w:val="20"/>
          <w:szCs w:val="20"/>
          <w:lang w:val="en-US"/>
        </w:rPr>
        <w:t>isoquercetin</w:t>
      </w:r>
      <w:proofErr w:type="spellEnd"/>
      <w:r w:rsidRPr="00BC5F1D">
        <w:rPr>
          <w:rFonts w:ascii="Arial" w:hAnsi="Arial" w:cs="Arial"/>
          <w:sz w:val="20"/>
          <w:szCs w:val="20"/>
          <w:lang w:val="en-US"/>
        </w:rPr>
        <w:t xml:space="preserve">, quercetin, etc.), in which calcium levels play a crucial role. Nevertheless, a more in-depth study, particularly a bio-guided fractionation, will follow this research to more precisely identify the bioactive molecules responsible for the observed GLUT4 translocation activity. However, these results can nonetheless help guide type 2 diabetic patients toward the consumption of </w:t>
      </w:r>
      <w:r w:rsidRPr="00BC5F1D">
        <w:rPr>
          <w:rFonts w:ascii="Arial" w:hAnsi="Arial" w:cs="Arial"/>
          <w:i/>
          <w:iCs/>
          <w:sz w:val="20"/>
          <w:szCs w:val="20"/>
          <w:lang w:val="en-US"/>
        </w:rPr>
        <w:t xml:space="preserve">C </w:t>
      </w:r>
      <w:proofErr w:type="spellStart"/>
      <w:r w:rsidRPr="00BC5F1D">
        <w:rPr>
          <w:rFonts w:ascii="Arial" w:hAnsi="Arial" w:cs="Arial"/>
          <w:i/>
          <w:iCs/>
          <w:sz w:val="20"/>
          <w:szCs w:val="20"/>
          <w:lang w:val="en-US"/>
        </w:rPr>
        <w:t>olitorius</w:t>
      </w:r>
      <w:proofErr w:type="spellEnd"/>
      <w:r w:rsidRPr="00BC5F1D">
        <w:rPr>
          <w:rFonts w:ascii="Arial" w:hAnsi="Arial" w:cs="Arial"/>
          <w:sz w:val="20"/>
          <w:szCs w:val="20"/>
          <w:lang w:val="en-US"/>
        </w:rPr>
        <w:t xml:space="preserve"> powder, as it presents a greater nutritional and bioactive potential.</w:t>
      </w:r>
    </w:p>
    <w:p w14:paraId="21DE6F50" w14:textId="77777777" w:rsidR="00BC5F1D" w:rsidRDefault="00BC5F1D" w:rsidP="000A657C">
      <w:pPr>
        <w:spacing w:line="360" w:lineRule="auto"/>
        <w:jc w:val="both"/>
        <w:rPr>
          <w:rFonts w:ascii="Arial" w:hAnsi="Arial" w:cs="Arial"/>
          <w:sz w:val="20"/>
          <w:szCs w:val="20"/>
          <w:lang w:val="en-US"/>
        </w:rPr>
      </w:pPr>
    </w:p>
    <w:p w14:paraId="364321D5" w14:textId="77777777" w:rsidR="00BC5F1D" w:rsidRDefault="00BC5F1D" w:rsidP="000A657C">
      <w:pPr>
        <w:spacing w:line="360" w:lineRule="auto"/>
        <w:jc w:val="both"/>
        <w:rPr>
          <w:rFonts w:ascii="Arial" w:hAnsi="Arial" w:cs="Arial"/>
          <w:sz w:val="20"/>
          <w:szCs w:val="20"/>
          <w:lang w:val="en-US"/>
        </w:rPr>
      </w:pPr>
    </w:p>
    <w:p w14:paraId="5E6BC61F" w14:textId="77777777" w:rsidR="00BC5F1D" w:rsidRPr="00BC5F1D" w:rsidRDefault="00BC5F1D" w:rsidP="000A657C">
      <w:pPr>
        <w:spacing w:line="360" w:lineRule="auto"/>
        <w:jc w:val="both"/>
        <w:rPr>
          <w:rFonts w:ascii="Arial" w:hAnsi="Arial" w:cs="Arial"/>
          <w:sz w:val="20"/>
          <w:szCs w:val="20"/>
          <w:lang w:val="en-US"/>
        </w:rPr>
      </w:pPr>
    </w:p>
    <w:p w14:paraId="25C53F2D" w14:textId="0781C799" w:rsidR="000A657C" w:rsidRPr="00BC5F1D" w:rsidRDefault="003730C8" w:rsidP="000A657C">
      <w:pPr>
        <w:spacing w:line="360" w:lineRule="auto"/>
        <w:jc w:val="both"/>
        <w:rPr>
          <w:rFonts w:ascii="Arial" w:hAnsi="Arial" w:cs="Arial"/>
          <w:b/>
          <w:bCs/>
          <w:sz w:val="24"/>
          <w:szCs w:val="24"/>
          <w:lang w:val="en-US"/>
        </w:rPr>
      </w:pPr>
      <w:r w:rsidRPr="00BC5F1D">
        <w:rPr>
          <w:rFonts w:ascii="Arial" w:hAnsi="Arial" w:cs="Arial"/>
          <w:b/>
          <w:bCs/>
          <w:sz w:val="24"/>
          <w:szCs w:val="24"/>
          <w:lang w:val="en-US"/>
        </w:rPr>
        <w:lastRenderedPageBreak/>
        <w:t>DISCLAIMER (ARTIFICIAL INTELLIGENCE</w:t>
      </w:r>
      <w:r w:rsidR="009851E8" w:rsidRPr="00BC5F1D">
        <w:rPr>
          <w:rFonts w:ascii="Arial" w:hAnsi="Arial" w:cs="Arial"/>
          <w:b/>
          <w:bCs/>
          <w:sz w:val="24"/>
          <w:szCs w:val="24"/>
          <w:lang w:val="en-US"/>
        </w:rPr>
        <w:t>)</w:t>
      </w:r>
    </w:p>
    <w:p w14:paraId="71D4F8E0" w14:textId="6091BF65" w:rsidR="009851E8" w:rsidRPr="00BC5F1D" w:rsidRDefault="009851E8" w:rsidP="000A657C">
      <w:pPr>
        <w:spacing w:line="360" w:lineRule="auto"/>
        <w:jc w:val="both"/>
        <w:rPr>
          <w:rFonts w:ascii="Arial" w:hAnsi="Arial" w:cs="Arial"/>
          <w:lang w:val="en-US"/>
        </w:rPr>
      </w:pPr>
      <w:r w:rsidRPr="00BC5F1D">
        <w:rPr>
          <w:rFonts w:ascii="Arial" w:hAnsi="Arial" w:cs="Arial"/>
          <w:lang w:val="en-US"/>
        </w:rPr>
        <w:t>Authors hereby declare that no generative AI technologies such as large language Models (ChatGPT, Copilot, etc.) and text to image generators have been used during the writing or editing of this manuscript</w:t>
      </w:r>
    </w:p>
    <w:p w14:paraId="100F1181" w14:textId="27079B6B" w:rsidR="009851E8" w:rsidRPr="00BC5F1D" w:rsidRDefault="009851E8" w:rsidP="003F77BD">
      <w:pPr>
        <w:spacing w:before="240" w:line="360" w:lineRule="auto"/>
        <w:jc w:val="both"/>
        <w:rPr>
          <w:rFonts w:ascii="Arial" w:hAnsi="Arial" w:cs="Arial"/>
          <w:b/>
          <w:bCs/>
          <w:lang w:val="en-US"/>
        </w:rPr>
      </w:pPr>
      <w:r w:rsidRPr="00BC5F1D">
        <w:rPr>
          <w:rFonts w:ascii="Arial" w:hAnsi="Arial" w:cs="Arial"/>
          <w:b/>
          <w:bCs/>
          <w:lang w:val="en-US"/>
        </w:rPr>
        <w:t>CONSENT AND ETHICAL APPROVAL</w:t>
      </w:r>
    </w:p>
    <w:p w14:paraId="2A697EAB" w14:textId="1F1CF847" w:rsidR="009851E8" w:rsidRPr="00BC5F1D" w:rsidRDefault="009851E8" w:rsidP="003F77BD">
      <w:pPr>
        <w:spacing w:before="240" w:line="360" w:lineRule="auto"/>
        <w:jc w:val="both"/>
        <w:rPr>
          <w:rFonts w:ascii="Arial" w:hAnsi="Arial" w:cs="Arial"/>
          <w:lang w:val="en-US"/>
        </w:rPr>
      </w:pPr>
      <w:r w:rsidRPr="00BC5F1D">
        <w:rPr>
          <w:rFonts w:ascii="Arial" w:hAnsi="Arial" w:cs="Arial"/>
          <w:lang w:val="en-US"/>
        </w:rPr>
        <w:t xml:space="preserve">It is no applicable </w:t>
      </w:r>
    </w:p>
    <w:p w14:paraId="250BF626" w14:textId="77777777" w:rsidR="009851E8" w:rsidRPr="00BC5F1D" w:rsidRDefault="009851E8" w:rsidP="009851E8">
      <w:pPr>
        <w:spacing w:after="0" w:line="360" w:lineRule="auto"/>
        <w:jc w:val="both"/>
        <w:rPr>
          <w:rFonts w:ascii="Arial" w:hAnsi="Arial" w:cs="Arial"/>
          <w:lang w:val="en-US"/>
        </w:rPr>
      </w:pPr>
      <w:bookmarkStart w:id="9" w:name="_GoBack"/>
      <w:bookmarkEnd w:id="9"/>
    </w:p>
    <w:p w14:paraId="6503A849" w14:textId="4EC66CC5" w:rsidR="005F0359" w:rsidRPr="00BC5F1D" w:rsidRDefault="009851E8" w:rsidP="005F0359">
      <w:pPr>
        <w:spacing w:line="360" w:lineRule="auto"/>
        <w:jc w:val="both"/>
        <w:rPr>
          <w:rFonts w:ascii="Arial" w:hAnsi="Arial" w:cs="Arial"/>
          <w:b/>
          <w:bCs/>
          <w:sz w:val="24"/>
          <w:szCs w:val="24"/>
          <w:lang w:val="en-US"/>
        </w:rPr>
      </w:pPr>
      <w:r w:rsidRPr="00BC5F1D">
        <w:rPr>
          <w:rFonts w:ascii="Arial" w:hAnsi="Arial" w:cs="Arial"/>
          <w:b/>
          <w:bCs/>
          <w:sz w:val="24"/>
          <w:szCs w:val="24"/>
          <w:lang w:val="en-US"/>
        </w:rPr>
        <w:t>REFERENCES</w:t>
      </w:r>
    </w:p>
    <w:p w14:paraId="5733FAA9" w14:textId="2939B103" w:rsidR="00FF01A1" w:rsidRPr="00B148EB" w:rsidRDefault="005F0359"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BC5F1D">
        <w:rPr>
          <w:rFonts w:ascii="Arial" w:hAnsi="Arial" w:cs="Arial"/>
          <w:b/>
          <w:bCs/>
          <w:sz w:val="20"/>
          <w:szCs w:val="20"/>
          <w:lang w:val="en-US"/>
        </w:rPr>
        <w:fldChar w:fldCharType="begin" w:fldLock="1"/>
      </w:r>
      <w:r w:rsidRPr="00BC5F1D">
        <w:rPr>
          <w:rFonts w:ascii="Arial" w:hAnsi="Arial" w:cs="Arial"/>
          <w:b/>
          <w:bCs/>
          <w:sz w:val="20"/>
          <w:szCs w:val="20"/>
          <w:lang w:val="en-US"/>
        </w:rPr>
        <w:instrText xml:space="preserve">ADDIN Mendeley Bibliography CSL_BIBLIOGRAPHY </w:instrText>
      </w:r>
      <w:r w:rsidRPr="00BC5F1D">
        <w:rPr>
          <w:rFonts w:ascii="Arial" w:hAnsi="Arial" w:cs="Arial"/>
          <w:b/>
          <w:bCs/>
          <w:sz w:val="20"/>
          <w:szCs w:val="20"/>
          <w:lang w:val="en-US"/>
        </w:rPr>
        <w:fldChar w:fldCharType="separate"/>
      </w:r>
      <w:r w:rsidR="00FF01A1" w:rsidRPr="00B148EB">
        <w:rPr>
          <w:rFonts w:ascii="Arial" w:hAnsi="Arial" w:cs="Arial"/>
          <w:noProof/>
          <w:kern w:val="0"/>
          <w:sz w:val="20"/>
          <w:szCs w:val="24"/>
          <w:lang w:val="en-US"/>
        </w:rPr>
        <w:t xml:space="preserve">Abdel-Razek, M. A. M., Abdelwahab, M. F., Abdelmohsen, U. R., &amp; Hamed, A. N. E. (2022). Pharmacological and phytochemical biodiversity of Corchorus olitorius. </w:t>
      </w:r>
      <w:r w:rsidR="00FF01A1" w:rsidRPr="00B148EB">
        <w:rPr>
          <w:rFonts w:ascii="Arial" w:hAnsi="Arial" w:cs="Arial"/>
          <w:i/>
          <w:iCs/>
          <w:noProof/>
          <w:kern w:val="0"/>
          <w:sz w:val="20"/>
          <w:szCs w:val="24"/>
          <w:lang w:val="en-US"/>
        </w:rPr>
        <w:t>RSC Advances</w:t>
      </w:r>
      <w:r w:rsidR="00FF01A1" w:rsidRPr="00B148EB">
        <w:rPr>
          <w:rFonts w:ascii="Arial" w:hAnsi="Arial" w:cs="Arial"/>
          <w:noProof/>
          <w:kern w:val="0"/>
          <w:sz w:val="20"/>
          <w:szCs w:val="24"/>
          <w:lang w:val="en-US"/>
        </w:rPr>
        <w:t xml:space="preserve">, </w:t>
      </w:r>
      <w:r w:rsidR="00FF01A1" w:rsidRPr="00B148EB">
        <w:rPr>
          <w:rFonts w:ascii="Arial" w:hAnsi="Arial" w:cs="Arial"/>
          <w:i/>
          <w:iCs/>
          <w:noProof/>
          <w:kern w:val="0"/>
          <w:sz w:val="20"/>
          <w:szCs w:val="24"/>
          <w:lang w:val="en-US"/>
        </w:rPr>
        <w:t>12</w:t>
      </w:r>
      <w:r w:rsidR="00FF01A1" w:rsidRPr="00B148EB">
        <w:rPr>
          <w:rFonts w:ascii="Arial" w:hAnsi="Arial" w:cs="Arial"/>
          <w:noProof/>
          <w:kern w:val="0"/>
          <w:sz w:val="20"/>
          <w:szCs w:val="24"/>
          <w:lang w:val="en-US"/>
        </w:rPr>
        <w:t>(54), 35103–35114. https://doi.org/10.1039/d2ra07406k</w:t>
      </w:r>
    </w:p>
    <w:p w14:paraId="00240827"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B148EB">
        <w:rPr>
          <w:rFonts w:ascii="Arial" w:hAnsi="Arial" w:cs="Arial"/>
          <w:noProof/>
          <w:kern w:val="0"/>
          <w:sz w:val="20"/>
          <w:szCs w:val="24"/>
          <w:lang w:val="en-US"/>
        </w:rPr>
        <w:t xml:space="preserve">Abiona, D., Adedapo, Z., &amp; Suleiman, M. (2015). Proximate Analysis, Phytochemical Screening and Antimicrobial Activity of Baobab (Adansonia digitata) Leaves. </w:t>
      </w:r>
      <w:r w:rsidRPr="00B148EB">
        <w:rPr>
          <w:rFonts w:ascii="Arial" w:hAnsi="Arial" w:cs="Arial"/>
          <w:i/>
          <w:iCs/>
          <w:noProof/>
          <w:kern w:val="0"/>
          <w:sz w:val="20"/>
          <w:szCs w:val="24"/>
          <w:lang w:val="en-US"/>
        </w:rPr>
        <w:t>IOSR Journal of Applied Chemistry (IOSR-JAC</w:t>
      </w:r>
      <w:r w:rsidRPr="00B148EB">
        <w:rPr>
          <w:rFonts w:ascii="Arial" w:hAnsi="Arial" w:cs="Arial"/>
          <w:noProof/>
          <w:kern w:val="0"/>
          <w:sz w:val="20"/>
          <w:szCs w:val="24"/>
          <w:lang w:val="en-US"/>
        </w:rPr>
        <w:t xml:space="preserve">, </w:t>
      </w:r>
      <w:r w:rsidRPr="00B148EB">
        <w:rPr>
          <w:rFonts w:ascii="Arial" w:hAnsi="Arial" w:cs="Arial"/>
          <w:i/>
          <w:iCs/>
          <w:noProof/>
          <w:kern w:val="0"/>
          <w:sz w:val="20"/>
          <w:szCs w:val="24"/>
          <w:lang w:val="en-US"/>
        </w:rPr>
        <w:t>8</w:t>
      </w:r>
      <w:r w:rsidRPr="00B148EB">
        <w:rPr>
          <w:rFonts w:ascii="Arial" w:hAnsi="Arial" w:cs="Arial"/>
          <w:noProof/>
          <w:kern w:val="0"/>
          <w:sz w:val="20"/>
          <w:szCs w:val="24"/>
          <w:lang w:val="en-US"/>
        </w:rPr>
        <w:t>(5), 60–65. https://doi.org/10.9790/5736-08516065</w:t>
      </w:r>
    </w:p>
    <w:p w14:paraId="01598315"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B148EB">
        <w:rPr>
          <w:rFonts w:ascii="Arial" w:hAnsi="Arial" w:cs="Arial"/>
          <w:noProof/>
          <w:kern w:val="0"/>
          <w:sz w:val="20"/>
          <w:szCs w:val="24"/>
          <w:lang w:val="en-US"/>
        </w:rPr>
        <w:t xml:space="preserve">Abioye, V. F., Adejuyitan, J. A., &amp; Idowu, C. F. (2014). Effects of different drying methods on the nutritional and quality attributes of baobab leaves (Adansonia digitata). </w:t>
      </w:r>
      <w:r w:rsidRPr="00B148EB">
        <w:rPr>
          <w:rFonts w:ascii="Arial" w:hAnsi="Arial" w:cs="Arial"/>
          <w:i/>
          <w:iCs/>
          <w:noProof/>
          <w:kern w:val="0"/>
          <w:sz w:val="20"/>
          <w:szCs w:val="24"/>
          <w:lang w:val="en-US"/>
        </w:rPr>
        <w:t>Agriculture and Biology Journal of North America</w:t>
      </w:r>
      <w:r w:rsidRPr="00B148EB">
        <w:rPr>
          <w:rFonts w:ascii="Arial" w:hAnsi="Arial" w:cs="Arial"/>
          <w:noProof/>
          <w:kern w:val="0"/>
          <w:sz w:val="20"/>
          <w:szCs w:val="24"/>
          <w:lang w:val="en-US"/>
        </w:rPr>
        <w:t xml:space="preserve">, </w:t>
      </w:r>
      <w:r w:rsidRPr="00B148EB">
        <w:rPr>
          <w:rFonts w:ascii="Arial" w:hAnsi="Arial" w:cs="Arial"/>
          <w:i/>
          <w:iCs/>
          <w:noProof/>
          <w:kern w:val="0"/>
          <w:sz w:val="20"/>
          <w:szCs w:val="24"/>
          <w:lang w:val="en-US"/>
        </w:rPr>
        <w:t>5</w:t>
      </w:r>
      <w:r w:rsidRPr="00B148EB">
        <w:rPr>
          <w:rFonts w:ascii="Arial" w:hAnsi="Arial" w:cs="Arial"/>
          <w:noProof/>
          <w:kern w:val="0"/>
          <w:sz w:val="20"/>
          <w:szCs w:val="24"/>
          <w:lang w:val="en-US"/>
        </w:rPr>
        <w:t>(3), 104–108. https://doi.org/10.5251/abjna.2014.5.3.104.108</w:t>
      </w:r>
    </w:p>
    <w:p w14:paraId="620677F9"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B148EB">
        <w:rPr>
          <w:rFonts w:ascii="Arial" w:hAnsi="Arial" w:cs="Arial"/>
          <w:noProof/>
          <w:kern w:val="0"/>
          <w:sz w:val="20"/>
          <w:szCs w:val="24"/>
          <w:lang w:val="en-US"/>
        </w:rPr>
        <w:t xml:space="preserve">AOAC. (1999). </w:t>
      </w:r>
      <w:r w:rsidRPr="00B148EB">
        <w:rPr>
          <w:rFonts w:ascii="Arial" w:hAnsi="Arial" w:cs="Arial"/>
          <w:i/>
          <w:iCs/>
          <w:noProof/>
          <w:kern w:val="0"/>
          <w:sz w:val="20"/>
          <w:szCs w:val="24"/>
          <w:lang w:val="en-US"/>
        </w:rPr>
        <w:t>Official methods of analysis</w:t>
      </w:r>
      <w:r w:rsidRPr="00B148EB">
        <w:rPr>
          <w:rFonts w:ascii="Arial" w:hAnsi="Arial" w:cs="Arial"/>
          <w:noProof/>
          <w:kern w:val="0"/>
          <w:sz w:val="20"/>
          <w:szCs w:val="24"/>
          <w:lang w:val="en-US"/>
        </w:rPr>
        <w:t xml:space="preserve"> (16th editi). Association of Official Analytical Chemists.</w:t>
      </w:r>
    </w:p>
    <w:p w14:paraId="2D356E47"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FF01A1">
        <w:rPr>
          <w:rFonts w:ascii="Arial" w:hAnsi="Arial" w:cs="Arial"/>
          <w:noProof/>
          <w:kern w:val="0"/>
          <w:sz w:val="20"/>
          <w:szCs w:val="24"/>
        </w:rPr>
        <w:t xml:space="preserve">Assiéné, A. J. A., Djeukeu, A. W., Assiéné, O. D. S., Mbida-Mbida, Y. I., &amp; Nyangono, B. C. F. (2024). </w:t>
      </w:r>
      <w:r w:rsidRPr="00B148EB">
        <w:rPr>
          <w:rFonts w:ascii="Arial" w:hAnsi="Arial" w:cs="Arial"/>
          <w:noProof/>
          <w:kern w:val="0"/>
          <w:sz w:val="20"/>
          <w:szCs w:val="24"/>
          <w:lang w:val="en-US"/>
        </w:rPr>
        <w:t xml:space="preserve">Nutritional and bioactive potentials of a powder and a decoction made from Ceylon cinnamon bark , Laurus nobilis leaves , and Curcuma longa Linn rhizome. </w:t>
      </w:r>
      <w:r w:rsidRPr="00B148EB">
        <w:rPr>
          <w:rFonts w:ascii="Arial" w:hAnsi="Arial" w:cs="Arial"/>
          <w:i/>
          <w:iCs/>
          <w:noProof/>
          <w:kern w:val="0"/>
          <w:sz w:val="20"/>
          <w:szCs w:val="24"/>
          <w:lang w:val="en-US"/>
        </w:rPr>
        <w:t>Applied Food Research</w:t>
      </w:r>
      <w:r w:rsidRPr="00B148EB">
        <w:rPr>
          <w:rFonts w:ascii="Arial" w:hAnsi="Arial" w:cs="Arial"/>
          <w:noProof/>
          <w:kern w:val="0"/>
          <w:sz w:val="20"/>
          <w:szCs w:val="24"/>
          <w:lang w:val="en-US"/>
        </w:rPr>
        <w:t xml:space="preserve">, </w:t>
      </w:r>
      <w:r w:rsidRPr="00B148EB">
        <w:rPr>
          <w:rFonts w:ascii="Arial" w:hAnsi="Arial" w:cs="Arial"/>
          <w:i/>
          <w:iCs/>
          <w:noProof/>
          <w:kern w:val="0"/>
          <w:sz w:val="20"/>
          <w:szCs w:val="24"/>
          <w:lang w:val="en-US"/>
        </w:rPr>
        <w:t>4</w:t>
      </w:r>
      <w:r w:rsidRPr="00B148EB">
        <w:rPr>
          <w:rFonts w:ascii="Arial" w:hAnsi="Arial" w:cs="Arial"/>
          <w:noProof/>
          <w:kern w:val="0"/>
          <w:sz w:val="20"/>
          <w:szCs w:val="24"/>
          <w:lang w:val="en-US"/>
        </w:rPr>
        <w:t>(2024), 100436. https://doi.org/10.1016/j.afres.2024.100436</w:t>
      </w:r>
    </w:p>
    <w:p w14:paraId="75D45848"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B148EB">
        <w:rPr>
          <w:rFonts w:ascii="Arial" w:hAnsi="Arial" w:cs="Arial"/>
          <w:noProof/>
          <w:kern w:val="0"/>
          <w:sz w:val="20"/>
          <w:szCs w:val="24"/>
          <w:lang w:val="en-US"/>
        </w:rPr>
        <w:t xml:space="preserve">Assiéné, A. J. A., Djeukeu, A. W., Assiéné, O. D. S., Tize, Z., Obono, N. L., Mbango, E. P., Mboube, N. O., Keubing, F. S. R., &amp; Fongnzossie, F. E. (2024). Influence of particle size fraction and bioactive compound contents on the biological activities of Solanum torvum L. leaf powder extracts. </w:t>
      </w:r>
      <w:r w:rsidRPr="00B148EB">
        <w:rPr>
          <w:rFonts w:ascii="Arial" w:hAnsi="Arial" w:cs="Arial"/>
          <w:i/>
          <w:iCs/>
          <w:noProof/>
          <w:kern w:val="0"/>
          <w:sz w:val="20"/>
          <w:szCs w:val="24"/>
          <w:lang w:val="en-US"/>
        </w:rPr>
        <w:t>Journal of Experimental Biology and Agricultural Sciences</w:t>
      </w:r>
      <w:r w:rsidRPr="00B148EB">
        <w:rPr>
          <w:rFonts w:ascii="Arial" w:hAnsi="Arial" w:cs="Arial"/>
          <w:noProof/>
          <w:kern w:val="0"/>
          <w:sz w:val="20"/>
          <w:szCs w:val="24"/>
          <w:lang w:val="en-US"/>
        </w:rPr>
        <w:t xml:space="preserve">, </w:t>
      </w:r>
      <w:r w:rsidRPr="00B148EB">
        <w:rPr>
          <w:rFonts w:ascii="Arial" w:hAnsi="Arial" w:cs="Arial"/>
          <w:i/>
          <w:iCs/>
          <w:noProof/>
          <w:kern w:val="0"/>
          <w:sz w:val="20"/>
          <w:szCs w:val="24"/>
          <w:lang w:val="en-US"/>
        </w:rPr>
        <w:t>12</w:t>
      </w:r>
      <w:r w:rsidRPr="00B148EB">
        <w:rPr>
          <w:rFonts w:ascii="Arial" w:hAnsi="Arial" w:cs="Arial"/>
          <w:noProof/>
          <w:kern w:val="0"/>
          <w:sz w:val="20"/>
          <w:szCs w:val="24"/>
          <w:lang w:val="en-US"/>
        </w:rPr>
        <w:t>(2), 203–217. https://doi.org/10.18006/2024.12(2).203.217</w:t>
      </w:r>
    </w:p>
    <w:p w14:paraId="6E4BAEBA"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FF01A1">
        <w:rPr>
          <w:rFonts w:ascii="Arial" w:hAnsi="Arial" w:cs="Arial"/>
          <w:noProof/>
          <w:kern w:val="0"/>
          <w:sz w:val="20"/>
          <w:szCs w:val="24"/>
        </w:rPr>
        <w:t xml:space="preserve">Assiéné, A. J. A., Djeukeu, A. W., Tizé, Z., &amp; Fongnzossié, F. E. (2024). </w:t>
      </w:r>
      <w:r w:rsidRPr="00B148EB">
        <w:rPr>
          <w:rFonts w:ascii="Arial" w:hAnsi="Arial" w:cs="Arial"/>
          <w:noProof/>
          <w:kern w:val="0"/>
          <w:sz w:val="20"/>
          <w:szCs w:val="24"/>
          <w:lang w:val="en-US"/>
        </w:rPr>
        <w:t xml:space="preserve">Comparative Evaluation of the Bioactive Potential of a Powder and the Particle Size Fractions of Plant Organs From Dacryodes edulis , Solanum torvum , and Curcuma longa. </w:t>
      </w:r>
      <w:r w:rsidRPr="00B148EB">
        <w:rPr>
          <w:rFonts w:ascii="Arial" w:hAnsi="Arial" w:cs="Arial"/>
          <w:i/>
          <w:iCs/>
          <w:noProof/>
          <w:kern w:val="0"/>
          <w:sz w:val="20"/>
          <w:szCs w:val="24"/>
          <w:lang w:val="en-US"/>
        </w:rPr>
        <w:t>Journal of Food Processing and Preservation</w:t>
      </w:r>
      <w:r w:rsidRPr="00B148EB">
        <w:rPr>
          <w:rFonts w:ascii="Arial" w:hAnsi="Arial" w:cs="Arial"/>
          <w:noProof/>
          <w:kern w:val="0"/>
          <w:sz w:val="20"/>
          <w:szCs w:val="24"/>
          <w:lang w:val="en-US"/>
        </w:rPr>
        <w:t xml:space="preserve">, </w:t>
      </w:r>
      <w:r w:rsidRPr="00B148EB">
        <w:rPr>
          <w:rFonts w:ascii="Arial" w:hAnsi="Arial" w:cs="Arial"/>
          <w:i/>
          <w:iCs/>
          <w:noProof/>
          <w:kern w:val="0"/>
          <w:sz w:val="20"/>
          <w:szCs w:val="24"/>
          <w:lang w:val="en-US"/>
        </w:rPr>
        <w:t>2024</w:t>
      </w:r>
      <w:r w:rsidRPr="00B148EB">
        <w:rPr>
          <w:rFonts w:ascii="Arial" w:hAnsi="Arial" w:cs="Arial"/>
          <w:noProof/>
          <w:kern w:val="0"/>
          <w:sz w:val="20"/>
          <w:szCs w:val="24"/>
          <w:lang w:val="en-US"/>
        </w:rPr>
        <w:t>, 10 p. https://doi.org/10.1155/2024/2680085</w:t>
      </w:r>
    </w:p>
    <w:p w14:paraId="687AF70D" w14:textId="77777777" w:rsidR="00FF01A1" w:rsidRPr="00FF01A1" w:rsidRDefault="00FF01A1" w:rsidP="00FF01A1">
      <w:pPr>
        <w:widowControl w:val="0"/>
        <w:autoSpaceDE w:val="0"/>
        <w:autoSpaceDN w:val="0"/>
        <w:adjustRightInd w:val="0"/>
        <w:spacing w:line="360" w:lineRule="auto"/>
        <w:ind w:left="480" w:hanging="480"/>
        <w:rPr>
          <w:rFonts w:ascii="Arial" w:hAnsi="Arial" w:cs="Arial"/>
          <w:noProof/>
          <w:kern w:val="0"/>
          <w:sz w:val="20"/>
          <w:szCs w:val="24"/>
        </w:rPr>
      </w:pPr>
      <w:r w:rsidRPr="00FF01A1">
        <w:rPr>
          <w:rFonts w:ascii="Arial" w:hAnsi="Arial" w:cs="Arial"/>
          <w:noProof/>
          <w:kern w:val="0"/>
          <w:sz w:val="20"/>
          <w:szCs w:val="24"/>
        </w:rPr>
        <w:t xml:space="preserve">Assiéné, A. J. A., Fombang, E. N., &amp; Mbofung, C. M. F. (2015). </w:t>
      </w:r>
      <w:r w:rsidRPr="00B148EB">
        <w:rPr>
          <w:rFonts w:ascii="Arial" w:hAnsi="Arial" w:cs="Arial"/>
          <w:noProof/>
          <w:kern w:val="0"/>
          <w:sz w:val="20"/>
          <w:szCs w:val="24"/>
          <w:lang w:val="en-US"/>
        </w:rPr>
        <w:t xml:space="preserve">Particular benefits can be attributed to Moringa oleifera Lam leaves based on origin and stage of maturity. </w:t>
      </w:r>
      <w:r w:rsidRPr="00FF01A1">
        <w:rPr>
          <w:rFonts w:ascii="Arial" w:hAnsi="Arial" w:cs="Arial"/>
          <w:i/>
          <w:iCs/>
          <w:noProof/>
          <w:kern w:val="0"/>
          <w:sz w:val="20"/>
          <w:szCs w:val="24"/>
        </w:rPr>
        <w:t xml:space="preserve">Journal of Experimental </w:t>
      </w:r>
      <w:r w:rsidRPr="00FF01A1">
        <w:rPr>
          <w:rFonts w:ascii="Arial" w:hAnsi="Arial" w:cs="Arial"/>
          <w:i/>
          <w:iCs/>
          <w:noProof/>
          <w:kern w:val="0"/>
          <w:sz w:val="20"/>
          <w:szCs w:val="24"/>
        </w:rPr>
        <w:lastRenderedPageBreak/>
        <w:t>Biology and Agricultural Sciences</w:t>
      </w:r>
      <w:r w:rsidRPr="00FF01A1">
        <w:rPr>
          <w:rFonts w:ascii="Arial" w:hAnsi="Arial" w:cs="Arial"/>
          <w:noProof/>
          <w:kern w:val="0"/>
          <w:sz w:val="20"/>
          <w:szCs w:val="24"/>
        </w:rPr>
        <w:t xml:space="preserve">, </w:t>
      </w:r>
      <w:r w:rsidRPr="00FF01A1">
        <w:rPr>
          <w:rFonts w:ascii="Arial" w:hAnsi="Arial" w:cs="Arial"/>
          <w:i/>
          <w:iCs/>
          <w:noProof/>
          <w:kern w:val="0"/>
          <w:sz w:val="20"/>
          <w:szCs w:val="24"/>
        </w:rPr>
        <w:t>3</w:t>
      </w:r>
      <w:r w:rsidRPr="00FF01A1">
        <w:rPr>
          <w:rFonts w:ascii="Arial" w:hAnsi="Arial" w:cs="Arial"/>
          <w:noProof/>
          <w:kern w:val="0"/>
          <w:sz w:val="20"/>
          <w:szCs w:val="24"/>
        </w:rPr>
        <w:t>(2320), 541–555.</w:t>
      </w:r>
    </w:p>
    <w:p w14:paraId="506493B3" w14:textId="77777777" w:rsidR="00FF01A1" w:rsidRPr="00FF01A1" w:rsidRDefault="00FF01A1" w:rsidP="00FF01A1">
      <w:pPr>
        <w:widowControl w:val="0"/>
        <w:autoSpaceDE w:val="0"/>
        <w:autoSpaceDN w:val="0"/>
        <w:adjustRightInd w:val="0"/>
        <w:spacing w:line="360" w:lineRule="auto"/>
        <w:ind w:left="480" w:hanging="480"/>
        <w:rPr>
          <w:rFonts w:ascii="Arial" w:hAnsi="Arial" w:cs="Arial"/>
          <w:noProof/>
          <w:kern w:val="0"/>
          <w:sz w:val="20"/>
          <w:szCs w:val="24"/>
        </w:rPr>
      </w:pPr>
      <w:r w:rsidRPr="00FF01A1">
        <w:rPr>
          <w:rFonts w:ascii="Arial" w:hAnsi="Arial" w:cs="Arial"/>
          <w:noProof/>
          <w:kern w:val="0"/>
          <w:sz w:val="20"/>
          <w:szCs w:val="24"/>
        </w:rPr>
        <w:t xml:space="preserve">Bourely. (1982). Observation sur le dosage de l’huile des graines de cotonnie. </w:t>
      </w:r>
      <w:r w:rsidRPr="00FF01A1">
        <w:rPr>
          <w:rFonts w:ascii="Arial" w:hAnsi="Arial" w:cs="Arial"/>
          <w:i/>
          <w:iCs/>
          <w:noProof/>
          <w:kern w:val="0"/>
          <w:sz w:val="20"/>
          <w:szCs w:val="24"/>
        </w:rPr>
        <w:t>Coton et Fibres Tropicales</w:t>
      </w:r>
      <w:r w:rsidRPr="00FF01A1">
        <w:rPr>
          <w:rFonts w:ascii="Arial" w:hAnsi="Arial" w:cs="Arial"/>
          <w:noProof/>
          <w:kern w:val="0"/>
          <w:sz w:val="20"/>
          <w:szCs w:val="24"/>
        </w:rPr>
        <w:t xml:space="preserve">, </w:t>
      </w:r>
      <w:r w:rsidRPr="00FF01A1">
        <w:rPr>
          <w:rFonts w:ascii="Arial" w:hAnsi="Arial" w:cs="Arial"/>
          <w:i/>
          <w:iCs/>
          <w:noProof/>
          <w:kern w:val="0"/>
          <w:sz w:val="20"/>
          <w:szCs w:val="24"/>
        </w:rPr>
        <w:t>27</w:t>
      </w:r>
      <w:r w:rsidRPr="00FF01A1">
        <w:rPr>
          <w:rFonts w:ascii="Arial" w:hAnsi="Arial" w:cs="Arial"/>
          <w:noProof/>
          <w:kern w:val="0"/>
          <w:sz w:val="20"/>
          <w:szCs w:val="24"/>
        </w:rPr>
        <w:t>, 183–196.</w:t>
      </w:r>
    </w:p>
    <w:p w14:paraId="3D831C09"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FF01A1">
        <w:rPr>
          <w:rFonts w:ascii="Arial" w:hAnsi="Arial" w:cs="Arial"/>
          <w:noProof/>
          <w:kern w:val="0"/>
          <w:sz w:val="20"/>
          <w:szCs w:val="24"/>
        </w:rPr>
        <w:t xml:space="preserve">Cavalcante, M. D. A., Oliveira, J. S., Barreto, M. S. S., Pinheiro, L. P., Cantuária, P. D. C., Borges, W. L., Silva, G. A., Souza, T. M. De, Cavalcante, M. D. A., Pinheiro, L. P., Cantuária, D. C., Borges, L., Gabriel, A., De, T. M., Eryngium, L., &amp; Mart, I. (2022). </w:t>
      </w:r>
      <w:r w:rsidRPr="00B148EB">
        <w:rPr>
          <w:rFonts w:ascii="Arial" w:hAnsi="Arial" w:cs="Arial"/>
          <w:i/>
          <w:iCs/>
          <w:noProof/>
          <w:kern w:val="0"/>
          <w:sz w:val="20"/>
          <w:szCs w:val="24"/>
          <w:lang w:val="en-US"/>
        </w:rPr>
        <w:t>An HPLC Method to Determine Phenolic Compounds of Plant Extracts : Application to Byrsonima crassifolia and Senna alata Leaves</w:t>
      </w:r>
      <w:r w:rsidRPr="00B148EB">
        <w:rPr>
          <w:rFonts w:ascii="Arial" w:hAnsi="Arial" w:cs="Arial"/>
          <w:noProof/>
          <w:kern w:val="0"/>
          <w:sz w:val="20"/>
          <w:szCs w:val="24"/>
          <w:lang w:val="en-US"/>
        </w:rPr>
        <w:t xml:space="preserve">. </w:t>
      </w:r>
      <w:r w:rsidRPr="00B148EB">
        <w:rPr>
          <w:rFonts w:ascii="Arial" w:hAnsi="Arial" w:cs="Arial"/>
          <w:i/>
          <w:iCs/>
          <w:noProof/>
          <w:kern w:val="0"/>
          <w:sz w:val="20"/>
          <w:szCs w:val="24"/>
          <w:lang w:val="en-US"/>
        </w:rPr>
        <w:t>14</w:t>
      </w:r>
      <w:r w:rsidRPr="00B148EB">
        <w:rPr>
          <w:rFonts w:ascii="Arial" w:hAnsi="Arial" w:cs="Arial"/>
          <w:noProof/>
          <w:kern w:val="0"/>
          <w:sz w:val="20"/>
          <w:szCs w:val="24"/>
          <w:lang w:val="en-US"/>
        </w:rPr>
        <w:t>(4), 395–404.</w:t>
      </w:r>
    </w:p>
    <w:p w14:paraId="69D74F39" w14:textId="77777777" w:rsidR="00FF01A1" w:rsidRPr="00FF01A1" w:rsidRDefault="00FF01A1" w:rsidP="00FF01A1">
      <w:pPr>
        <w:widowControl w:val="0"/>
        <w:autoSpaceDE w:val="0"/>
        <w:autoSpaceDN w:val="0"/>
        <w:adjustRightInd w:val="0"/>
        <w:spacing w:line="360" w:lineRule="auto"/>
        <w:ind w:left="480" w:hanging="480"/>
        <w:rPr>
          <w:rFonts w:ascii="Arial" w:hAnsi="Arial" w:cs="Arial"/>
          <w:noProof/>
          <w:kern w:val="0"/>
          <w:sz w:val="20"/>
          <w:szCs w:val="24"/>
        </w:rPr>
      </w:pPr>
      <w:r w:rsidRPr="00B148EB">
        <w:rPr>
          <w:rFonts w:ascii="Arial" w:hAnsi="Arial" w:cs="Arial"/>
          <w:noProof/>
          <w:kern w:val="0"/>
          <w:sz w:val="20"/>
          <w:szCs w:val="24"/>
          <w:lang w:val="en-US"/>
        </w:rPr>
        <w:t xml:space="preserve">Chun, D., Kim, Y., Moon, H., &amp; Lee, C. (2003). Quantification of phenolics and their antioxydant capacity in fresh plums. </w:t>
      </w:r>
      <w:r w:rsidRPr="00FF01A1">
        <w:rPr>
          <w:rFonts w:ascii="Arial" w:hAnsi="Arial" w:cs="Arial"/>
          <w:i/>
          <w:iCs/>
          <w:noProof/>
          <w:kern w:val="0"/>
          <w:sz w:val="20"/>
          <w:szCs w:val="24"/>
        </w:rPr>
        <w:t>Journal of Agricultural and Food Chemistry</w:t>
      </w:r>
      <w:r w:rsidRPr="00FF01A1">
        <w:rPr>
          <w:rFonts w:ascii="Arial" w:hAnsi="Arial" w:cs="Arial"/>
          <w:noProof/>
          <w:kern w:val="0"/>
          <w:sz w:val="20"/>
          <w:szCs w:val="24"/>
        </w:rPr>
        <w:t xml:space="preserve">, </w:t>
      </w:r>
      <w:r w:rsidRPr="00FF01A1">
        <w:rPr>
          <w:rFonts w:ascii="Arial" w:hAnsi="Arial" w:cs="Arial"/>
          <w:i/>
          <w:iCs/>
          <w:noProof/>
          <w:kern w:val="0"/>
          <w:sz w:val="20"/>
          <w:szCs w:val="24"/>
        </w:rPr>
        <w:t>51</w:t>
      </w:r>
      <w:r w:rsidRPr="00FF01A1">
        <w:rPr>
          <w:rFonts w:ascii="Arial" w:hAnsi="Arial" w:cs="Arial"/>
          <w:noProof/>
          <w:kern w:val="0"/>
          <w:sz w:val="20"/>
          <w:szCs w:val="24"/>
        </w:rPr>
        <w:t>(6509).</w:t>
      </w:r>
    </w:p>
    <w:p w14:paraId="04072244" w14:textId="77777777" w:rsidR="00FF01A1" w:rsidRPr="00FF01A1" w:rsidRDefault="00FF01A1" w:rsidP="00FF01A1">
      <w:pPr>
        <w:widowControl w:val="0"/>
        <w:autoSpaceDE w:val="0"/>
        <w:autoSpaceDN w:val="0"/>
        <w:adjustRightInd w:val="0"/>
        <w:spacing w:line="360" w:lineRule="auto"/>
        <w:ind w:left="480" w:hanging="480"/>
        <w:rPr>
          <w:rFonts w:ascii="Arial" w:hAnsi="Arial" w:cs="Arial"/>
          <w:noProof/>
          <w:kern w:val="0"/>
          <w:sz w:val="20"/>
          <w:szCs w:val="24"/>
        </w:rPr>
      </w:pPr>
      <w:r w:rsidRPr="00FF01A1">
        <w:rPr>
          <w:rFonts w:ascii="Arial" w:hAnsi="Arial" w:cs="Arial"/>
          <w:noProof/>
          <w:kern w:val="0"/>
          <w:sz w:val="20"/>
          <w:szCs w:val="24"/>
        </w:rPr>
        <w:t xml:space="preserve">Dombrowski, L. (2001). </w:t>
      </w:r>
      <w:r w:rsidRPr="00FF01A1">
        <w:rPr>
          <w:rFonts w:ascii="Arial" w:hAnsi="Arial" w:cs="Arial"/>
          <w:i/>
          <w:iCs/>
          <w:noProof/>
          <w:kern w:val="0"/>
          <w:sz w:val="20"/>
          <w:szCs w:val="24"/>
        </w:rPr>
        <w:t>Mécanisme d’action de l’insuline sur les transporteurs de glucose glut4 dans le muscle squelettique de rats normaux et diabétiques</w:t>
      </w:r>
      <w:r w:rsidRPr="00FF01A1">
        <w:rPr>
          <w:rFonts w:ascii="Arial" w:hAnsi="Arial" w:cs="Arial"/>
          <w:noProof/>
          <w:kern w:val="0"/>
          <w:sz w:val="20"/>
          <w:szCs w:val="24"/>
        </w:rPr>
        <w:t>. Université Laval.</w:t>
      </w:r>
    </w:p>
    <w:p w14:paraId="20BA350A" w14:textId="77777777" w:rsidR="00FF01A1" w:rsidRPr="00FF01A1" w:rsidRDefault="00FF01A1" w:rsidP="00FF01A1">
      <w:pPr>
        <w:widowControl w:val="0"/>
        <w:autoSpaceDE w:val="0"/>
        <w:autoSpaceDN w:val="0"/>
        <w:adjustRightInd w:val="0"/>
        <w:spacing w:line="360" w:lineRule="auto"/>
        <w:ind w:left="480" w:hanging="480"/>
        <w:rPr>
          <w:rFonts w:ascii="Arial" w:hAnsi="Arial" w:cs="Arial"/>
          <w:noProof/>
          <w:kern w:val="0"/>
          <w:sz w:val="20"/>
          <w:szCs w:val="24"/>
        </w:rPr>
      </w:pPr>
      <w:r w:rsidRPr="00FF01A1">
        <w:rPr>
          <w:rFonts w:ascii="Arial" w:hAnsi="Arial" w:cs="Arial"/>
          <w:noProof/>
          <w:kern w:val="0"/>
          <w:sz w:val="20"/>
          <w:szCs w:val="24"/>
        </w:rPr>
        <w:t xml:space="preserve">Fasuyi, A. O. (2005). Nutrient Composition and Processing Effects on Cassava Leaf (Manihot esculenta, Crantz) Antinutrients. </w:t>
      </w:r>
      <w:r w:rsidRPr="00FF01A1">
        <w:rPr>
          <w:rFonts w:ascii="Arial" w:hAnsi="Arial" w:cs="Arial"/>
          <w:i/>
          <w:iCs/>
          <w:noProof/>
          <w:kern w:val="0"/>
          <w:sz w:val="20"/>
          <w:szCs w:val="24"/>
        </w:rPr>
        <w:t>Pakistan Journal of Nutrition</w:t>
      </w:r>
      <w:r w:rsidRPr="00FF01A1">
        <w:rPr>
          <w:rFonts w:ascii="Arial" w:hAnsi="Arial" w:cs="Arial"/>
          <w:noProof/>
          <w:kern w:val="0"/>
          <w:sz w:val="20"/>
          <w:szCs w:val="24"/>
        </w:rPr>
        <w:t xml:space="preserve">, </w:t>
      </w:r>
      <w:r w:rsidRPr="00FF01A1">
        <w:rPr>
          <w:rFonts w:ascii="Arial" w:hAnsi="Arial" w:cs="Arial"/>
          <w:i/>
          <w:iCs/>
          <w:noProof/>
          <w:kern w:val="0"/>
          <w:sz w:val="20"/>
          <w:szCs w:val="24"/>
        </w:rPr>
        <w:t>4</w:t>
      </w:r>
      <w:r w:rsidRPr="00FF01A1">
        <w:rPr>
          <w:rFonts w:ascii="Arial" w:hAnsi="Arial" w:cs="Arial"/>
          <w:noProof/>
          <w:kern w:val="0"/>
          <w:sz w:val="20"/>
          <w:szCs w:val="24"/>
        </w:rPr>
        <w:t>(1), 37–42.</w:t>
      </w:r>
    </w:p>
    <w:p w14:paraId="22918C2A"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B148EB">
        <w:rPr>
          <w:rFonts w:ascii="Arial" w:hAnsi="Arial" w:cs="Arial"/>
          <w:noProof/>
          <w:kern w:val="0"/>
          <w:sz w:val="20"/>
          <w:szCs w:val="24"/>
          <w:lang w:val="en-US"/>
        </w:rPr>
        <w:t xml:space="preserve">Fischer, E., &amp; Stein, E. A. (1961). DNS colorimetric determination of available carbohydrates in foods. </w:t>
      </w:r>
      <w:r w:rsidRPr="00B148EB">
        <w:rPr>
          <w:rFonts w:ascii="Arial" w:hAnsi="Arial" w:cs="Arial"/>
          <w:i/>
          <w:iCs/>
          <w:noProof/>
          <w:kern w:val="0"/>
          <w:sz w:val="20"/>
          <w:szCs w:val="24"/>
          <w:lang w:val="en-US"/>
        </w:rPr>
        <w:t>Biochemical Preparation</w:t>
      </w:r>
      <w:r w:rsidRPr="00B148EB">
        <w:rPr>
          <w:rFonts w:ascii="Arial" w:hAnsi="Arial" w:cs="Arial"/>
          <w:noProof/>
          <w:kern w:val="0"/>
          <w:sz w:val="20"/>
          <w:szCs w:val="24"/>
          <w:lang w:val="en-US"/>
        </w:rPr>
        <w:t xml:space="preserve">, </w:t>
      </w:r>
      <w:r w:rsidRPr="00B148EB">
        <w:rPr>
          <w:rFonts w:ascii="Arial" w:hAnsi="Arial" w:cs="Arial"/>
          <w:i/>
          <w:iCs/>
          <w:noProof/>
          <w:kern w:val="0"/>
          <w:sz w:val="20"/>
          <w:szCs w:val="24"/>
          <w:lang w:val="en-US"/>
        </w:rPr>
        <w:t>8</w:t>
      </w:r>
      <w:r w:rsidRPr="00B148EB">
        <w:rPr>
          <w:rFonts w:ascii="Arial" w:hAnsi="Arial" w:cs="Arial"/>
          <w:noProof/>
          <w:kern w:val="0"/>
          <w:sz w:val="20"/>
          <w:szCs w:val="24"/>
          <w:lang w:val="en-US"/>
        </w:rPr>
        <w:t>, 30–37.</w:t>
      </w:r>
    </w:p>
    <w:p w14:paraId="44BADE55"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B148EB">
        <w:rPr>
          <w:rFonts w:ascii="Arial" w:hAnsi="Arial" w:cs="Arial"/>
          <w:noProof/>
          <w:kern w:val="0"/>
          <w:sz w:val="20"/>
          <w:szCs w:val="24"/>
          <w:lang w:val="en-US"/>
        </w:rPr>
        <w:t xml:space="preserve">Foumane, M. J., Lobé, S. V, Nga, N., Ntsama, M. J., Mekoulou, M. F., Ngolsou, F., Diboué, B. P., Obono, P., Ndongo, M. N., &amp; Minkande, J. Z. (2022). </w:t>
      </w:r>
      <w:r w:rsidRPr="00FF01A1">
        <w:rPr>
          <w:rFonts w:ascii="Arial" w:hAnsi="Arial" w:cs="Arial"/>
          <w:noProof/>
          <w:kern w:val="0"/>
          <w:sz w:val="20"/>
          <w:szCs w:val="24"/>
        </w:rPr>
        <w:t xml:space="preserve">Analyse Phytochimique des Extraits Aqueux de Sida Acuta et Triumfetta Cordifolia , Deux Plantes Utilisées pour Faciliter l ’ Accouchement en Médecine Traditionnelle au Cameroun. </w:t>
      </w:r>
      <w:r w:rsidRPr="00B148EB">
        <w:rPr>
          <w:rFonts w:ascii="Arial" w:hAnsi="Arial" w:cs="Arial"/>
          <w:i/>
          <w:iCs/>
          <w:noProof/>
          <w:kern w:val="0"/>
          <w:sz w:val="20"/>
          <w:szCs w:val="24"/>
          <w:lang w:val="en-US"/>
        </w:rPr>
        <w:t>Health Sciences and Disease</w:t>
      </w:r>
      <w:r w:rsidRPr="00B148EB">
        <w:rPr>
          <w:rFonts w:ascii="Arial" w:hAnsi="Arial" w:cs="Arial"/>
          <w:noProof/>
          <w:kern w:val="0"/>
          <w:sz w:val="20"/>
          <w:szCs w:val="24"/>
          <w:lang w:val="en-US"/>
        </w:rPr>
        <w:t xml:space="preserve">, </w:t>
      </w:r>
      <w:r w:rsidRPr="00B148EB">
        <w:rPr>
          <w:rFonts w:ascii="Arial" w:hAnsi="Arial" w:cs="Arial"/>
          <w:i/>
          <w:iCs/>
          <w:noProof/>
          <w:kern w:val="0"/>
          <w:sz w:val="20"/>
          <w:szCs w:val="24"/>
          <w:lang w:val="en-US"/>
        </w:rPr>
        <w:t>23</w:t>
      </w:r>
      <w:r w:rsidRPr="00B148EB">
        <w:rPr>
          <w:rFonts w:ascii="Arial" w:hAnsi="Arial" w:cs="Arial"/>
          <w:noProof/>
          <w:kern w:val="0"/>
          <w:sz w:val="20"/>
          <w:szCs w:val="24"/>
          <w:lang w:val="en-US"/>
        </w:rPr>
        <w:t>(2 Suppl 1), 14–18.</w:t>
      </w:r>
    </w:p>
    <w:p w14:paraId="4FF029C3"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B148EB">
        <w:rPr>
          <w:rFonts w:ascii="Arial" w:hAnsi="Arial" w:cs="Arial"/>
          <w:noProof/>
          <w:kern w:val="0"/>
          <w:sz w:val="20"/>
          <w:szCs w:val="24"/>
          <w:lang w:val="en-US"/>
        </w:rPr>
        <w:t xml:space="preserve">Gannon, N. P., Conn, C. A., &amp; Vaughan, R. A. (2014). Dietary stimulators of GLUT4 expression and translocation in skeletal muscle: A mini-review. </w:t>
      </w:r>
      <w:r w:rsidRPr="00B148EB">
        <w:rPr>
          <w:rFonts w:ascii="Arial" w:hAnsi="Arial" w:cs="Arial"/>
          <w:i/>
          <w:iCs/>
          <w:noProof/>
          <w:kern w:val="0"/>
          <w:sz w:val="20"/>
          <w:szCs w:val="24"/>
          <w:lang w:val="en-US"/>
        </w:rPr>
        <w:t>Molecular Nutrition and Food Research</w:t>
      </w:r>
      <w:r w:rsidRPr="00B148EB">
        <w:rPr>
          <w:rFonts w:ascii="Arial" w:hAnsi="Arial" w:cs="Arial"/>
          <w:noProof/>
          <w:kern w:val="0"/>
          <w:sz w:val="20"/>
          <w:szCs w:val="24"/>
          <w:lang w:val="en-US"/>
        </w:rPr>
        <w:t xml:space="preserve">, </w:t>
      </w:r>
      <w:r w:rsidRPr="00B148EB">
        <w:rPr>
          <w:rFonts w:ascii="Arial" w:hAnsi="Arial" w:cs="Arial"/>
          <w:i/>
          <w:iCs/>
          <w:noProof/>
          <w:kern w:val="0"/>
          <w:sz w:val="20"/>
          <w:szCs w:val="24"/>
          <w:lang w:val="en-US"/>
        </w:rPr>
        <w:t>59</w:t>
      </w:r>
      <w:r w:rsidRPr="00B148EB">
        <w:rPr>
          <w:rFonts w:ascii="Arial" w:hAnsi="Arial" w:cs="Arial"/>
          <w:noProof/>
          <w:kern w:val="0"/>
          <w:sz w:val="20"/>
          <w:szCs w:val="24"/>
          <w:lang w:val="en-US"/>
        </w:rPr>
        <w:t>(1), 48–64. https://doi.org/10.1002/mnfr.201400414</w:t>
      </w:r>
    </w:p>
    <w:p w14:paraId="4B7EF13C"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B148EB">
        <w:rPr>
          <w:rFonts w:ascii="Arial" w:hAnsi="Arial" w:cs="Arial"/>
          <w:noProof/>
          <w:kern w:val="0"/>
          <w:sz w:val="20"/>
          <w:szCs w:val="24"/>
          <w:lang w:val="en-US"/>
        </w:rPr>
        <w:t xml:space="preserve">Grosser, P., Siegel, C., Neinhuis, C., &amp; Lautenschläger, T. (2018). Triumfetta cordifolia: A Valuable (African) Source for Biocomposites. </w:t>
      </w:r>
      <w:r w:rsidRPr="00B148EB">
        <w:rPr>
          <w:rFonts w:ascii="Arial" w:hAnsi="Arial" w:cs="Arial"/>
          <w:i/>
          <w:iCs/>
          <w:noProof/>
          <w:kern w:val="0"/>
          <w:sz w:val="20"/>
          <w:szCs w:val="24"/>
          <w:lang w:val="en-US"/>
        </w:rPr>
        <w:t>BioResources</w:t>
      </w:r>
      <w:r w:rsidRPr="00B148EB">
        <w:rPr>
          <w:rFonts w:ascii="Arial" w:hAnsi="Arial" w:cs="Arial"/>
          <w:noProof/>
          <w:kern w:val="0"/>
          <w:sz w:val="20"/>
          <w:szCs w:val="24"/>
          <w:lang w:val="en-US"/>
        </w:rPr>
        <w:t xml:space="preserve">, </w:t>
      </w:r>
      <w:r w:rsidRPr="00B148EB">
        <w:rPr>
          <w:rFonts w:ascii="Arial" w:hAnsi="Arial" w:cs="Arial"/>
          <w:i/>
          <w:iCs/>
          <w:noProof/>
          <w:kern w:val="0"/>
          <w:sz w:val="20"/>
          <w:szCs w:val="24"/>
          <w:lang w:val="en-US"/>
        </w:rPr>
        <w:t>13</w:t>
      </w:r>
      <w:r w:rsidRPr="00B148EB">
        <w:rPr>
          <w:rFonts w:ascii="Arial" w:hAnsi="Arial" w:cs="Arial"/>
          <w:noProof/>
          <w:kern w:val="0"/>
          <w:sz w:val="20"/>
          <w:szCs w:val="24"/>
          <w:lang w:val="en-US"/>
        </w:rPr>
        <w:t>(4), 7671–7682. https://doi.org/10.15376/BIORES.13.4.7671-7682</w:t>
      </w:r>
    </w:p>
    <w:p w14:paraId="5FF96B01"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B148EB">
        <w:rPr>
          <w:rFonts w:ascii="Arial" w:hAnsi="Arial" w:cs="Arial"/>
          <w:noProof/>
          <w:kern w:val="0"/>
          <w:sz w:val="20"/>
          <w:szCs w:val="24"/>
          <w:lang w:val="en-US"/>
        </w:rPr>
        <w:t xml:space="preserve">Habte, T. Y., Suleiman, I., Ahmed, A. I., Latif, S., &amp; Krawinkel, M. B. (2021). Nutritional Value of Baobab Leaves (Adansonia digitata L.) from North- and West-Kordofan in Sudan: In-Vitro Minerals Bioavailability and Protein Quality. </w:t>
      </w:r>
      <w:r w:rsidRPr="00B148EB">
        <w:rPr>
          <w:rFonts w:ascii="Arial" w:hAnsi="Arial" w:cs="Arial"/>
          <w:i/>
          <w:iCs/>
          <w:noProof/>
          <w:kern w:val="0"/>
          <w:sz w:val="20"/>
          <w:szCs w:val="24"/>
          <w:lang w:val="en-US"/>
        </w:rPr>
        <w:t>International Journal of Food Science and Agriculture</w:t>
      </w:r>
      <w:r w:rsidRPr="00B148EB">
        <w:rPr>
          <w:rFonts w:ascii="Arial" w:hAnsi="Arial" w:cs="Arial"/>
          <w:noProof/>
          <w:kern w:val="0"/>
          <w:sz w:val="20"/>
          <w:szCs w:val="24"/>
          <w:lang w:val="en-US"/>
        </w:rPr>
        <w:t xml:space="preserve">, </w:t>
      </w:r>
      <w:r w:rsidRPr="00B148EB">
        <w:rPr>
          <w:rFonts w:ascii="Arial" w:hAnsi="Arial" w:cs="Arial"/>
          <w:i/>
          <w:iCs/>
          <w:noProof/>
          <w:kern w:val="0"/>
          <w:sz w:val="20"/>
          <w:szCs w:val="24"/>
          <w:lang w:val="en-US"/>
        </w:rPr>
        <w:t>5</w:t>
      </w:r>
      <w:r w:rsidRPr="00B148EB">
        <w:rPr>
          <w:rFonts w:ascii="Arial" w:hAnsi="Arial" w:cs="Arial"/>
          <w:noProof/>
          <w:kern w:val="0"/>
          <w:sz w:val="20"/>
          <w:szCs w:val="24"/>
          <w:lang w:val="en-US"/>
        </w:rPr>
        <w:t>(3), 482–491. https://doi.org/10.26855/ijfsa.2021.09.019</w:t>
      </w:r>
    </w:p>
    <w:p w14:paraId="7E8AE7E4"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FF01A1">
        <w:rPr>
          <w:rFonts w:ascii="Arial" w:hAnsi="Arial" w:cs="Arial"/>
          <w:noProof/>
          <w:kern w:val="0"/>
          <w:sz w:val="20"/>
          <w:szCs w:val="24"/>
        </w:rPr>
        <w:t xml:space="preserve">Jiang, H., Yamashita, Y., Nakamura, A., Croft, K., &amp; Ashida, H. (2019). </w:t>
      </w:r>
      <w:r w:rsidRPr="00B148EB">
        <w:rPr>
          <w:rFonts w:ascii="Arial" w:hAnsi="Arial" w:cs="Arial"/>
          <w:noProof/>
          <w:kern w:val="0"/>
          <w:sz w:val="20"/>
          <w:szCs w:val="24"/>
          <w:lang w:val="en-US"/>
        </w:rPr>
        <w:t xml:space="preserve">Quercetin and its metabolite isorhamnetin promote glucose uptake through different signalling pathways in myotubes. </w:t>
      </w:r>
      <w:r w:rsidRPr="00B148EB">
        <w:rPr>
          <w:rFonts w:ascii="Arial" w:hAnsi="Arial" w:cs="Arial"/>
          <w:i/>
          <w:iCs/>
          <w:noProof/>
          <w:kern w:val="0"/>
          <w:sz w:val="20"/>
          <w:szCs w:val="24"/>
          <w:lang w:val="en-US"/>
        </w:rPr>
        <w:t>Scientific Reports</w:t>
      </w:r>
      <w:r w:rsidRPr="00B148EB">
        <w:rPr>
          <w:rFonts w:ascii="Arial" w:hAnsi="Arial" w:cs="Arial"/>
          <w:noProof/>
          <w:kern w:val="0"/>
          <w:sz w:val="20"/>
          <w:szCs w:val="24"/>
          <w:lang w:val="en-US"/>
        </w:rPr>
        <w:t xml:space="preserve">, </w:t>
      </w:r>
      <w:r w:rsidRPr="00B148EB">
        <w:rPr>
          <w:rFonts w:ascii="Arial" w:hAnsi="Arial" w:cs="Arial"/>
          <w:i/>
          <w:iCs/>
          <w:noProof/>
          <w:kern w:val="0"/>
          <w:sz w:val="20"/>
          <w:szCs w:val="24"/>
          <w:lang w:val="en-US"/>
        </w:rPr>
        <w:t>9</w:t>
      </w:r>
      <w:r w:rsidRPr="00B148EB">
        <w:rPr>
          <w:rFonts w:ascii="Arial" w:hAnsi="Arial" w:cs="Arial"/>
          <w:noProof/>
          <w:kern w:val="0"/>
          <w:sz w:val="20"/>
          <w:szCs w:val="24"/>
          <w:lang w:val="en-US"/>
        </w:rPr>
        <w:t>(July 2018), 1–15. https://doi.org/10.1038/s41598-019-38711-7</w:t>
      </w:r>
    </w:p>
    <w:p w14:paraId="31EF1090"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B148EB">
        <w:rPr>
          <w:rFonts w:ascii="Arial" w:hAnsi="Arial" w:cs="Arial"/>
          <w:noProof/>
          <w:kern w:val="0"/>
          <w:sz w:val="20"/>
          <w:szCs w:val="24"/>
          <w:lang w:val="en-US"/>
        </w:rPr>
        <w:t xml:space="preserve">Jones, B. J., &amp; Venon, C. W. (1990). </w:t>
      </w:r>
      <w:r w:rsidRPr="00B148EB">
        <w:rPr>
          <w:rFonts w:ascii="Arial" w:hAnsi="Arial" w:cs="Arial"/>
          <w:i/>
          <w:iCs/>
          <w:noProof/>
          <w:kern w:val="0"/>
          <w:sz w:val="20"/>
          <w:szCs w:val="24"/>
          <w:lang w:val="en-US"/>
        </w:rPr>
        <w:t xml:space="preserve">Sampling, handling and analyzing plant tissue samples. In: </w:t>
      </w:r>
      <w:r w:rsidRPr="00B148EB">
        <w:rPr>
          <w:rFonts w:ascii="Arial" w:hAnsi="Arial" w:cs="Arial"/>
          <w:i/>
          <w:iCs/>
          <w:noProof/>
          <w:kern w:val="0"/>
          <w:sz w:val="20"/>
          <w:szCs w:val="24"/>
          <w:lang w:val="en-US"/>
        </w:rPr>
        <w:lastRenderedPageBreak/>
        <w:t>Westerman RL (Ed) Soil Testing and Plant Analysis,</w:t>
      </w:r>
      <w:r w:rsidRPr="00B148EB">
        <w:rPr>
          <w:rFonts w:ascii="Arial" w:hAnsi="Arial" w:cs="Arial"/>
          <w:noProof/>
          <w:kern w:val="0"/>
          <w:sz w:val="20"/>
          <w:szCs w:val="24"/>
          <w:lang w:val="en-US"/>
        </w:rPr>
        <w:t xml:space="preserve"> (3rd editio). Soil Science Society of America Book Series 3.</w:t>
      </w:r>
    </w:p>
    <w:p w14:paraId="3B5B2C2B"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B148EB">
        <w:rPr>
          <w:rFonts w:ascii="Arial" w:hAnsi="Arial" w:cs="Arial"/>
          <w:noProof/>
          <w:kern w:val="0"/>
          <w:sz w:val="20"/>
          <w:szCs w:val="24"/>
          <w:lang w:val="en-US"/>
        </w:rPr>
        <w:t xml:space="preserve">Julkunen-Tiitto, R. (1985). Phenolic Constituents in the Leaves of Northern Willows: Methods for the Analysis of Certain Phenolics. </w:t>
      </w:r>
      <w:r w:rsidRPr="00B148EB">
        <w:rPr>
          <w:rFonts w:ascii="Arial" w:hAnsi="Arial" w:cs="Arial"/>
          <w:i/>
          <w:iCs/>
          <w:noProof/>
          <w:kern w:val="0"/>
          <w:sz w:val="20"/>
          <w:szCs w:val="24"/>
          <w:lang w:val="en-US"/>
        </w:rPr>
        <w:t>Journal of Agricultural and Food Chemistry</w:t>
      </w:r>
      <w:r w:rsidRPr="00B148EB">
        <w:rPr>
          <w:rFonts w:ascii="Arial" w:hAnsi="Arial" w:cs="Arial"/>
          <w:noProof/>
          <w:kern w:val="0"/>
          <w:sz w:val="20"/>
          <w:szCs w:val="24"/>
          <w:lang w:val="en-US"/>
        </w:rPr>
        <w:t xml:space="preserve">, </w:t>
      </w:r>
      <w:r w:rsidRPr="00B148EB">
        <w:rPr>
          <w:rFonts w:ascii="Arial" w:hAnsi="Arial" w:cs="Arial"/>
          <w:i/>
          <w:iCs/>
          <w:noProof/>
          <w:kern w:val="0"/>
          <w:sz w:val="20"/>
          <w:szCs w:val="24"/>
          <w:lang w:val="en-US"/>
        </w:rPr>
        <w:t>33</w:t>
      </w:r>
      <w:r w:rsidRPr="00B148EB">
        <w:rPr>
          <w:rFonts w:ascii="Arial" w:hAnsi="Arial" w:cs="Arial"/>
          <w:noProof/>
          <w:kern w:val="0"/>
          <w:sz w:val="20"/>
          <w:szCs w:val="24"/>
          <w:lang w:val="en-US"/>
        </w:rPr>
        <w:t>(92), 448.</w:t>
      </w:r>
    </w:p>
    <w:p w14:paraId="33BA4EE1"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B148EB">
        <w:rPr>
          <w:rFonts w:ascii="Arial" w:hAnsi="Arial" w:cs="Arial"/>
          <w:noProof/>
          <w:kern w:val="0"/>
          <w:sz w:val="20"/>
          <w:szCs w:val="24"/>
          <w:lang w:val="en-US"/>
        </w:rPr>
        <w:t xml:space="preserve">Kadan, S., Melamed, S., Benvalid, S., Tietel, Z., Sasson, Y., &amp; Zaid, H. (2021). Gundelia tournefortii: Fractionation, chemical composition and glut4 translocation enhancement in muscle cell line. </w:t>
      </w:r>
      <w:r w:rsidRPr="00B148EB">
        <w:rPr>
          <w:rFonts w:ascii="Arial" w:hAnsi="Arial" w:cs="Arial"/>
          <w:i/>
          <w:iCs/>
          <w:noProof/>
          <w:kern w:val="0"/>
          <w:sz w:val="20"/>
          <w:szCs w:val="24"/>
          <w:lang w:val="en-US"/>
        </w:rPr>
        <w:t>Molecules</w:t>
      </w:r>
      <w:r w:rsidRPr="00B148EB">
        <w:rPr>
          <w:rFonts w:ascii="Arial" w:hAnsi="Arial" w:cs="Arial"/>
          <w:noProof/>
          <w:kern w:val="0"/>
          <w:sz w:val="20"/>
          <w:szCs w:val="24"/>
          <w:lang w:val="en-US"/>
        </w:rPr>
        <w:t xml:space="preserve">, </w:t>
      </w:r>
      <w:r w:rsidRPr="00B148EB">
        <w:rPr>
          <w:rFonts w:ascii="Arial" w:hAnsi="Arial" w:cs="Arial"/>
          <w:i/>
          <w:iCs/>
          <w:noProof/>
          <w:kern w:val="0"/>
          <w:sz w:val="20"/>
          <w:szCs w:val="24"/>
          <w:lang w:val="en-US"/>
        </w:rPr>
        <w:t>26</w:t>
      </w:r>
      <w:r w:rsidRPr="00B148EB">
        <w:rPr>
          <w:rFonts w:ascii="Arial" w:hAnsi="Arial" w:cs="Arial"/>
          <w:noProof/>
          <w:kern w:val="0"/>
          <w:sz w:val="20"/>
          <w:szCs w:val="24"/>
          <w:lang w:val="en-US"/>
        </w:rPr>
        <w:t>(13). https://doi.org/10.3390/molecules26133785</w:t>
      </w:r>
    </w:p>
    <w:p w14:paraId="0D70DEBD"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B148EB">
        <w:rPr>
          <w:rFonts w:ascii="Arial" w:hAnsi="Arial" w:cs="Arial"/>
          <w:noProof/>
          <w:kern w:val="0"/>
          <w:sz w:val="20"/>
          <w:szCs w:val="24"/>
          <w:lang w:val="en-US"/>
        </w:rPr>
        <w:t xml:space="preserve">Li, Q., Zhu, X., Ishikura, S., Zhang, D., Gao, J., Sun, Y., Contreras-Ferrat, A., Foley, K., Lavandero, S., Yao, Z., Bilan, P., Klip, A., &amp; Niu, W. (2014). Ca2+ signals promote GLUT4 exocytosis and reduce its endocytosis in muscle cells. </w:t>
      </w:r>
      <w:r w:rsidRPr="00B148EB">
        <w:rPr>
          <w:rFonts w:ascii="Arial" w:hAnsi="Arial" w:cs="Arial"/>
          <w:i/>
          <w:iCs/>
          <w:noProof/>
          <w:kern w:val="0"/>
          <w:sz w:val="20"/>
          <w:szCs w:val="24"/>
          <w:lang w:val="en-US"/>
        </w:rPr>
        <w:t>American Physiological Society</w:t>
      </w:r>
      <w:r w:rsidRPr="00B148EB">
        <w:rPr>
          <w:rFonts w:ascii="Arial" w:hAnsi="Arial" w:cs="Arial"/>
          <w:noProof/>
          <w:kern w:val="0"/>
          <w:sz w:val="20"/>
          <w:szCs w:val="24"/>
          <w:lang w:val="en-US"/>
        </w:rPr>
        <w:t xml:space="preserve">, </w:t>
      </w:r>
      <w:r w:rsidRPr="00B148EB">
        <w:rPr>
          <w:rFonts w:ascii="Arial" w:hAnsi="Arial" w:cs="Arial"/>
          <w:i/>
          <w:iCs/>
          <w:noProof/>
          <w:kern w:val="0"/>
          <w:sz w:val="20"/>
          <w:szCs w:val="24"/>
          <w:lang w:val="en-US"/>
        </w:rPr>
        <w:t>3</w:t>
      </w:r>
      <w:r w:rsidRPr="00B148EB">
        <w:rPr>
          <w:rFonts w:ascii="Arial" w:hAnsi="Arial" w:cs="Arial"/>
          <w:noProof/>
          <w:kern w:val="0"/>
          <w:sz w:val="20"/>
          <w:szCs w:val="24"/>
          <w:lang w:val="en-US"/>
        </w:rPr>
        <w:t>. https://doi.org/10.1152/ajpendo.00045.2014</w:t>
      </w:r>
    </w:p>
    <w:p w14:paraId="3E1DB9B3"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B148EB">
        <w:rPr>
          <w:rFonts w:ascii="Arial" w:hAnsi="Arial" w:cs="Arial"/>
          <w:noProof/>
          <w:kern w:val="0"/>
          <w:sz w:val="20"/>
          <w:szCs w:val="24"/>
          <w:lang w:val="en-US"/>
        </w:rPr>
        <w:t xml:space="preserve">Makkar, H. P. S., Siddhuraju, P., &amp; Becker, K. (2007). </w:t>
      </w:r>
      <w:r w:rsidRPr="00B148EB">
        <w:rPr>
          <w:rFonts w:ascii="Arial" w:hAnsi="Arial" w:cs="Arial"/>
          <w:i/>
          <w:iCs/>
          <w:noProof/>
          <w:kern w:val="0"/>
          <w:sz w:val="20"/>
          <w:szCs w:val="24"/>
          <w:lang w:val="en-US"/>
        </w:rPr>
        <w:t>Plant secondary metabolites</w:t>
      </w:r>
      <w:r w:rsidRPr="00B148EB">
        <w:rPr>
          <w:rFonts w:ascii="Arial" w:hAnsi="Arial" w:cs="Arial"/>
          <w:noProof/>
          <w:kern w:val="0"/>
          <w:sz w:val="20"/>
          <w:szCs w:val="24"/>
          <w:lang w:val="en-US"/>
        </w:rPr>
        <w:t>. Humana Press Inc., Totowa, New Jersey 07512.</w:t>
      </w:r>
    </w:p>
    <w:p w14:paraId="1569D4FB" w14:textId="77777777" w:rsidR="00FF01A1" w:rsidRPr="00FF01A1" w:rsidRDefault="00FF01A1" w:rsidP="00FF01A1">
      <w:pPr>
        <w:widowControl w:val="0"/>
        <w:autoSpaceDE w:val="0"/>
        <w:autoSpaceDN w:val="0"/>
        <w:adjustRightInd w:val="0"/>
        <w:spacing w:line="360" w:lineRule="auto"/>
        <w:ind w:left="480" w:hanging="480"/>
        <w:rPr>
          <w:rFonts w:ascii="Arial" w:hAnsi="Arial" w:cs="Arial"/>
          <w:noProof/>
          <w:kern w:val="0"/>
          <w:sz w:val="20"/>
          <w:szCs w:val="24"/>
        </w:rPr>
      </w:pPr>
      <w:r w:rsidRPr="00FF01A1">
        <w:rPr>
          <w:rFonts w:ascii="Arial" w:hAnsi="Arial" w:cs="Arial"/>
          <w:noProof/>
          <w:kern w:val="0"/>
          <w:sz w:val="20"/>
          <w:szCs w:val="24"/>
        </w:rPr>
        <w:t xml:space="preserve">Markovic, T. P., &amp; Natoli, S. J. (2009). </w:t>
      </w:r>
      <w:r w:rsidRPr="00B148EB">
        <w:rPr>
          <w:rFonts w:ascii="Arial" w:hAnsi="Arial" w:cs="Arial"/>
          <w:noProof/>
          <w:kern w:val="0"/>
          <w:sz w:val="20"/>
          <w:szCs w:val="24"/>
          <w:lang w:val="en-US"/>
        </w:rPr>
        <w:t xml:space="preserve">The importance of nutrient density. </w:t>
      </w:r>
      <w:r w:rsidRPr="00FF01A1">
        <w:rPr>
          <w:rFonts w:ascii="Arial" w:hAnsi="Arial" w:cs="Arial"/>
          <w:i/>
          <w:iCs/>
          <w:noProof/>
          <w:kern w:val="0"/>
          <w:sz w:val="20"/>
          <w:szCs w:val="24"/>
        </w:rPr>
        <w:t>Lifestyle Journal</w:t>
      </w:r>
      <w:r w:rsidRPr="00FF01A1">
        <w:rPr>
          <w:rFonts w:ascii="Arial" w:hAnsi="Arial" w:cs="Arial"/>
          <w:noProof/>
          <w:kern w:val="0"/>
          <w:sz w:val="20"/>
          <w:szCs w:val="24"/>
        </w:rPr>
        <w:t xml:space="preserve">, </w:t>
      </w:r>
      <w:r w:rsidRPr="00FF01A1">
        <w:rPr>
          <w:rFonts w:ascii="Arial" w:hAnsi="Arial" w:cs="Arial"/>
          <w:i/>
          <w:iCs/>
          <w:noProof/>
          <w:kern w:val="0"/>
          <w:sz w:val="20"/>
          <w:szCs w:val="24"/>
        </w:rPr>
        <w:t>190</w:t>
      </w:r>
      <w:r w:rsidRPr="00FF01A1">
        <w:rPr>
          <w:rFonts w:ascii="Arial" w:hAnsi="Arial" w:cs="Arial"/>
          <w:noProof/>
          <w:kern w:val="0"/>
          <w:sz w:val="20"/>
          <w:szCs w:val="24"/>
        </w:rPr>
        <w:t>(3), 149–151.</w:t>
      </w:r>
    </w:p>
    <w:p w14:paraId="181C6991" w14:textId="77777777" w:rsidR="00FF01A1" w:rsidRPr="00FF01A1" w:rsidRDefault="00FF01A1" w:rsidP="00FF01A1">
      <w:pPr>
        <w:widowControl w:val="0"/>
        <w:autoSpaceDE w:val="0"/>
        <w:autoSpaceDN w:val="0"/>
        <w:adjustRightInd w:val="0"/>
        <w:spacing w:line="360" w:lineRule="auto"/>
        <w:ind w:left="480" w:hanging="480"/>
        <w:rPr>
          <w:rFonts w:ascii="Arial" w:hAnsi="Arial" w:cs="Arial"/>
          <w:noProof/>
          <w:kern w:val="0"/>
          <w:sz w:val="20"/>
          <w:szCs w:val="24"/>
        </w:rPr>
      </w:pPr>
      <w:r w:rsidRPr="00FF01A1">
        <w:rPr>
          <w:rFonts w:ascii="Arial" w:hAnsi="Arial" w:cs="Arial"/>
          <w:noProof/>
          <w:kern w:val="0"/>
          <w:sz w:val="20"/>
          <w:szCs w:val="24"/>
        </w:rPr>
        <w:t xml:space="preserve">Moreau, F., Prat, R. F., Sentenac, H., Moreau, F., Prat, R. F., Maurel, C., &amp; Sentenac, H. (2017). </w:t>
      </w:r>
      <w:r w:rsidRPr="00FF01A1">
        <w:rPr>
          <w:rFonts w:ascii="Arial" w:hAnsi="Arial" w:cs="Arial"/>
          <w:i/>
          <w:iCs/>
          <w:noProof/>
          <w:kern w:val="0"/>
          <w:sz w:val="20"/>
          <w:szCs w:val="24"/>
        </w:rPr>
        <w:t>Biologie végétale Nutrition et métabolisme</w:t>
      </w:r>
      <w:r w:rsidRPr="00FF01A1">
        <w:rPr>
          <w:rFonts w:ascii="Arial" w:hAnsi="Arial" w:cs="Arial"/>
          <w:noProof/>
          <w:kern w:val="0"/>
          <w:sz w:val="20"/>
          <w:szCs w:val="24"/>
        </w:rPr>
        <w:t xml:space="preserve"> (Dunod (ed.); Dunod).</w:t>
      </w:r>
    </w:p>
    <w:p w14:paraId="150AA4FD"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FF01A1">
        <w:rPr>
          <w:rFonts w:ascii="Arial" w:hAnsi="Arial" w:cs="Arial"/>
          <w:noProof/>
          <w:kern w:val="0"/>
          <w:sz w:val="20"/>
          <w:szCs w:val="24"/>
        </w:rPr>
        <w:t xml:space="preserve">Murphy, J., &amp; Riley, J. P. (1962). </w:t>
      </w:r>
      <w:r w:rsidRPr="00B148EB">
        <w:rPr>
          <w:rFonts w:ascii="Arial" w:hAnsi="Arial" w:cs="Arial"/>
          <w:noProof/>
          <w:kern w:val="0"/>
          <w:sz w:val="20"/>
          <w:szCs w:val="24"/>
          <w:lang w:val="en-US"/>
        </w:rPr>
        <w:t xml:space="preserve">A modified single solution method for determination of phosphate in natural waters. </w:t>
      </w:r>
      <w:r w:rsidRPr="00B148EB">
        <w:rPr>
          <w:rFonts w:ascii="Arial" w:hAnsi="Arial" w:cs="Arial"/>
          <w:i/>
          <w:iCs/>
          <w:noProof/>
          <w:kern w:val="0"/>
          <w:sz w:val="20"/>
          <w:szCs w:val="24"/>
          <w:lang w:val="en-US"/>
        </w:rPr>
        <w:t>Analytica Chimica Acta</w:t>
      </w:r>
      <w:r w:rsidRPr="00B148EB">
        <w:rPr>
          <w:rFonts w:ascii="Arial" w:hAnsi="Arial" w:cs="Arial"/>
          <w:noProof/>
          <w:kern w:val="0"/>
          <w:sz w:val="20"/>
          <w:szCs w:val="24"/>
          <w:lang w:val="en-US"/>
        </w:rPr>
        <w:t xml:space="preserve">, </w:t>
      </w:r>
      <w:r w:rsidRPr="00B148EB">
        <w:rPr>
          <w:rFonts w:ascii="Arial" w:hAnsi="Arial" w:cs="Arial"/>
          <w:i/>
          <w:iCs/>
          <w:noProof/>
          <w:kern w:val="0"/>
          <w:sz w:val="20"/>
          <w:szCs w:val="24"/>
          <w:lang w:val="en-US"/>
        </w:rPr>
        <w:t>27</w:t>
      </w:r>
      <w:r w:rsidRPr="00B148EB">
        <w:rPr>
          <w:rFonts w:ascii="Arial" w:hAnsi="Arial" w:cs="Arial"/>
          <w:noProof/>
          <w:kern w:val="0"/>
          <w:sz w:val="20"/>
          <w:szCs w:val="24"/>
          <w:lang w:val="en-US"/>
        </w:rPr>
        <w:t>, 31–36. https://doi.org/10.1016/S0003-2670(00)88444-5.</w:t>
      </w:r>
    </w:p>
    <w:p w14:paraId="5468320F"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B148EB">
        <w:rPr>
          <w:rFonts w:ascii="Arial" w:hAnsi="Arial" w:cs="Arial"/>
          <w:noProof/>
          <w:kern w:val="0"/>
          <w:sz w:val="20"/>
          <w:szCs w:val="24"/>
          <w:lang w:val="en-US"/>
        </w:rPr>
        <w:t xml:space="preserve">Nielsen, S. S. (2009). Determination of Moisture Content. In </w:t>
      </w:r>
      <w:r w:rsidRPr="00B148EB">
        <w:rPr>
          <w:rFonts w:ascii="Arial" w:hAnsi="Arial" w:cs="Arial"/>
          <w:i/>
          <w:iCs/>
          <w:noProof/>
          <w:kern w:val="0"/>
          <w:sz w:val="20"/>
          <w:szCs w:val="24"/>
          <w:lang w:val="en-US"/>
        </w:rPr>
        <w:t>Food Analysis Laboratory Manuel</w:t>
      </w:r>
      <w:r w:rsidRPr="00B148EB">
        <w:rPr>
          <w:rFonts w:ascii="Arial" w:hAnsi="Arial" w:cs="Arial"/>
          <w:noProof/>
          <w:kern w:val="0"/>
          <w:sz w:val="20"/>
          <w:szCs w:val="24"/>
          <w:lang w:val="en-US"/>
        </w:rPr>
        <w:t xml:space="preserve"> (pp. 17–27).</w:t>
      </w:r>
    </w:p>
    <w:p w14:paraId="3C555379"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B148EB">
        <w:rPr>
          <w:rFonts w:ascii="Arial" w:hAnsi="Arial" w:cs="Arial"/>
          <w:noProof/>
          <w:kern w:val="0"/>
          <w:sz w:val="20"/>
          <w:szCs w:val="24"/>
          <w:lang w:val="en-US"/>
        </w:rPr>
        <w:t xml:space="preserve">Nobosse, P., Fombang, E. N., &amp; Mbofung, C. M. F. (2017). The Effect of Steam Blanching and Drying Method on Nutrients, Phytochemicals and Antioxidant Activity of Moringa (Moringa oleifera L.) Leaves. </w:t>
      </w:r>
      <w:r w:rsidRPr="00B148EB">
        <w:rPr>
          <w:rFonts w:ascii="Arial" w:hAnsi="Arial" w:cs="Arial"/>
          <w:i/>
          <w:iCs/>
          <w:noProof/>
          <w:kern w:val="0"/>
          <w:sz w:val="20"/>
          <w:szCs w:val="24"/>
          <w:lang w:val="en-US"/>
        </w:rPr>
        <w:t>American Journal of Food Science and Technology</w:t>
      </w:r>
      <w:r w:rsidRPr="00B148EB">
        <w:rPr>
          <w:rFonts w:ascii="Arial" w:hAnsi="Arial" w:cs="Arial"/>
          <w:noProof/>
          <w:kern w:val="0"/>
          <w:sz w:val="20"/>
          <w:szCs w:val="24"/>
          <w:lang w:val="en-US"/>
        </w:rPr>
        <w:t xml:space="preserve">, </w:t>
      </w:r>
      <w:r w:rsidRPr="00B148EB">
        <w:rPr>
          <w:rFonts w:ascii="Arial" w:hAnsi="Arial" w:cs="Arial"/>
          <w:i/>
          <w:iCs/>
          <w:noProof/>
          <w:kern w:val="0"/>
          <w:sz w:val="20"/>
          <w:szCs w:val="24"/>
          <w:lang w:val="en-US"/>
        </w:rPr>
        <w:t>5</w:t>
      </w:r>
      <w:r w:rsidRPr="00B148EB">
        <w:rPr>
          <w:rFonts w:ascii="Arial" w:hAnsi="Arial" w:cs="Arial"/>
          <w:noProof/>
          <w:kern w:val="0"/>
          <w:sz w:val="20"/>
          <w:szCs w:val="24"/>
          <w:lang w:val="en-US"/>
        </w:rPr>
        <w:t>(2), 53–60. https://doi.org/10.12691/ajfst-5-2-4</w:t>
      </w:r>
    </w:p>
    <w:p w14:paraId="3070239F"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B148EB">
        <w:rPr>
          <w:rFonts w:ascii="Arial" w:hAnsi="Arial" w:cs="Arial"/>
          <w:noProof/>
          <w:kern w:val="0"/>
          <w:sz w:val="20"/>
          <w:szCs w:val="24"/>
          <w:lang w:val="en-US"/>
        </w:rPr>
        <w:t xml:space="preserve">Ogbe, A. O., &amp; Affiku, J. P. (2011). Proximate study, mineral and anti-nutrient composition of Moringa oleifera leaves harvested from Lafia, Nigeria: potential benefits in poultry nutrition and health. In </w:t>
      </w:r>
      <w:r w:rsidRPr="00B148EB">
        <w:rPr>
          <w:rFonts w:ascii="Arial" w:hAnsi="Arial" w:cs="Arial"/>
          <w:i/>
          <w:iCs/>
          <w:noProof/>
          <w:kern w:val="0"/>
          <w:sz w:val="20"/>
          <w:szCs w:val="24"/>
          <w:lang w:val="en-US"/>
        </w:rPr>
        <w:t>Journal of Microbiology</w:t>
      </w:r>
      <w:r w:rsidRPr="00B148EB">
        <w:rPr>
          <w:rFonts w:ascii="Arial" w:hAnsi="Arial" w:cs="Arial"/>
          <w:noProof/>
          <w:kern w:val="0"/>
          <w:sz w:val="20"/>
          <w:szCs w:val="24"/>
          <w:lang w:val="en-US"/>
        </w:rPr>
        <w:t xml:space="preserve"> (Vol. 12, Issue 3).</w:t>
      </w:r>
    </w:p>
    <w:p w14:paraId="59135C5C"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B148EB">
        <w:rPr>
          <w:rFonts w:ascii="Arial" w:hAnsi="Arial" w:cs="Arial"/>
          <w:noProof/>
          <w:kern w:val="0"/>
          <w:sz w:val="20"/>
          <w:szCs w:val="24"/>
          <w:lang w:val="en-US"/>
        </w:rPr>
        <w:t xml:space="preserve">Osei-Owusu, J., Kokro, K. B., Ofori, A., Apau, J., Dofuor, A. K., Vigbedor, B. Y., Aniagyei, A., Kwakye, R., Edusei, G., Antwi, B. Y., &amp; Okyere, H. (2023). Evaluation of phytochemical, proximate, antioxidant, and anti-nutrient properties of Corchorus olitorius, Solanum macrocarpon and Amaranthus cruentus in Ghana. </w:t>
      </w:r>
      <w:r w:rsidRPr="00B148EB">
        <w:rPr>
          <w:rFonts w:ascii="Arial" w:hAnsi="Arial" w:cs="Arial"/>
          <w:i/>
          <w:iCs/>
          <w:noProof/>
          <w:kern w:val="0"/>
          <w:sz w:val="20"/>
          <w:szCs w:val="24"/>
          <w:lang w:val="en-US"/>
        </w:rPr>
        <w:t>International Journal of Biochemistry and Molecular Biology</w:t>
      </w:r>
      <w:r w:rsidRPr="00B148EB">
        <w:rPr>
          <w:rFonts w:ascii="Arial" w:hAnsi="Arial" w:cs="Arial"/>
          <w:noProof/>
          <w:kern w:val="0"/>
          <w:sz w:val="20"/>
          <w:szCs w:val="24"/>
          <w:lang w:val="en-US"/>
        </w:rPr>
        <w:t xml:space="preserve">, </w:t>
      </w:r>
      <w:r w:rsidRPr="00B148EB">
        <w:rPr>
          <w:rFonts w:ascii="Arial" w:hAnsi="Arial" w:cs="Arial"/>
          <w:i/>
          <w:iCs/>
          <w:noProof/>
          <w:kern w:val="0"/>
          <w:sz w:val="20"/>
          <w:szCs w:val="24"/>
          <w:lang w:val="en-US"/>
        </w:rPr>
        <w:t>14</w:t>
      </w:r>
      <w:r w:rsidRPr="00B148EB">
        <w:rPr>
          <w:rFonts w:ascii="Arial" w:hAnsi="Arial" w:cs="Arial"/>
          <w:noProof/>
          <w:kern w:val="0"/>
          <w:sz w:val="20"/>
          <w:szCs w:val="24"/>
          <w:lang w:val="en-US"/>
        </w:rPr>
        <w:t>(2), 17–24.</w:t>
      </w:r>
    </w:p>
    <w:p w14:paraId="56CB07D8"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B148EB">
        <w:rPr>
          <w:rFonts w:ascii="Arial" w:hAnsi="Arial" w:cs="Arial"/>
          <w:noProof/>
          <w:kern w:val="0"/>
          <w:sz w:val="20"/>
          <w:szCs w:val="24"/>
          <w:lang w:val="en-US"/>
        </w:rPr>
        <w:t xml:space="preserve">Patricia, O., Zoue, L., Megnanou, R.-M., Doue, R., &amp; Niamke, S. (2014). Proximate Composition and </w:t>
      </w:r>
      <w:r w:rsidRPr="00B148EB">
        <w:rPr>
          <w:rFonts w:ascii="Arial" w:hAnsi="Arial" w:cs="Arial"/>
          <w:noProof/>
          <w:kern w:val="0"/>
          <w:sz w:val="20"/>
          <w:szCs w:val="24"/>
          <w:lang w:val="en-US"/>
        </w:rPr>
        <w:lastRenderedPageBreak/>
        <w:t xml:space="preserve">Nutritive Value of Leafy Vegetables Consumed in Northern Côte D’Ivoire. </w:t>
      </w:r>
      <w:r w:rsidRPr="00B148EB">
        <w:rPr>
          <w:rFonts w:ascii="Arial" w:hAnsi="Arial" w:cs="Arial"/>
          <w:i/>
          <w:iCs/>
          <w:noProof/>
          <w:kern w:val="0"/>
          <w:sz w:val="20"/>
          <w:szCs w:val="24"/>
          <w:lang w:val="en-US"/>
        </w:rPr>
        <w:t>European Scientific Journal</w:t>
      </w:r>
      <w:r w:rsidRPr="00B148EB">
        <w:rPr>
          <w:rFonts w:ascii="Arial" w:hAnsi="Arial" w:cs="Arial"/>
          <w:noProof/>
          <w:kern w:val="0"/>
          <w:sz w:val="20"/>
          <w:szCs w:val="24"/>
          <w:lang w:val="en-US"/>
        </w:rPr>
        <w:t xml:space="preserve">, </w:t>
      </w:r>
      <w:r w:rsidRPr="00B148EB">
        <w:rPr>
          <w:rFonts w:ascii="Arial" w:hAnsi="Arial" w:cs="Arial"/>
          <w:i/>
          <w:iCs/>
          <w:noProof/>
          <w:kern w:val="0"/>
          <w:sz w:val="20"/>
          <w:szCs w:val="24"/>
          <w:lang w:val="en-US"/>
        </w:rPr>
        <w:t>10</w:t>
      </w:r>
      <w:r w:rsidRPr="00B148EB">
        <w:rPr>
          <w:rFonts w:ascii="Arial" w:hAnsi="Arial" w:cs="Arial"/>
          <w:noProof/>
          <w:kern w:val="0"/>
          <w:sz w:val="20"/>
          <w:szCs w:val="24"/>
          <w:lang w:val="en-US"/>
        </w:rPr>
        <w:t>(6), 1857–7881.</w:t>
      </w:r>
    </w:p>
    <w:p w14:paraId="45F8BBD1"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B148EB">
        <w:rPr>
          <w:rFonts w:ascii="Arial" w:hAnsi="Arial" w:cs="Arial"/>
          <w:noProof/>
          <w:kern w:val="0"/>
          <w:sz w:val="20"/>
          <w:szCs w:val="24"/>
          <w:lang w:val="en-US"/>
        </w:rPr>
        <w:t xml:space="preserve">Raimi, M. M., Oyekanmi, A. M., &amp; Farombi, A. G. (2014). Proximate and Phytochemical Composition of Leaves of Ceiba pentandra, Manihot esculentus and Abelmoschus esculentus in Southwestern Nigeria. </w:t>
      </w:r>
      <w:r w:rsidRPr="00B148EB">
        <w:rPr>
          <w:rFonts w:ascii="Arial" w:hAnsi="Arial" w:cs="Arial"/>
          <w:i/>
          <w:iCs/>
          <w:noProof/>
          <w:kern w:val="0"/>
          <w:sz w:val="20"/>
          <w:szCs w:val="24"/>
          <w:lang w:val="en-US"/>
        </w:rPr>
        <w:t>Scientific Research Journal (SCIRJ)</w:t>
      </w:r>
      <w:r w:rsidRPr="00B148EB">
        <w:rPr>
          <w:rFonts w:ascii="Arial" w:hAnsi="Arial" w:cs="Arial"/>
          <w:noProof/>
          <w:kern w:val="0"/>
          <w:sz w:val="20"/>
          <w:szCs w:val="24"/>
          <w:lang w:val="en-US"/>
        </w:rPr>
        <w:t xml:space="preserve">, </w:t>
      </w:r>
      <w:r w:rsidRPr="00B148EB">
        <w:rPr>
          <w:rFonts w:ascii="Arial" w:hAnsi="Arial" w:cs="Arial"/>
          <w:i/>
          <w:iCs/>
          <w:noProof/>
          <w:kern w:val="0"/>
          <w:sz w:val="20"/>
          <w:szCs w:val="24"/>
          <w:lang w:val="en-US"/>
        </w:rPr>
        <w:t>2</w:t>
      </w:r>
      <w:r w:rsidRPr="00B148EB">
        <w:rPr>
          <w:rFonts w:ascii="Arial" w:hAnsi="Arial" w:cs="Arial"/>
          <w:noProof/>
          <w:kern w:val="0"/>
          <w:sz w:val="20"/>
          <w:szCs w:val="24"/>
          <w:lang w:val="en-US"/>
        </w:rPr>
        <w:t>(4), 30–34. http://www.scirj.org/papers-0414/scirj-P0414132.pdf</w:t>
      </w:r>
    </w:p>
    <w:p w14:paraId="724A0C4D"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FF01A1">
        <w:rPr>
          <w:rFonts w:ascii="Arial" w:hAnsi="Arial" w:cs="Arial"/>
          <w:noProof/>
          <w:kern w:val="0"/>
          <w:sz w:val="20"/>
          <w:szCs w:val="24"/>
        </w:rPr>
        <w:t xml:space="preserve">Rodríguez-Miranda, J., Ruiz-López, I. I., Herman-Lara, E., Martínez-Sánchez, C. E., Delgado-Licon, E., &amp; Vivar-Vera, M. A. (2011). </w:t>
      </w:r>
      <w:r w:rsidRPr="00B148EB">
        <w:rPr>
          <w:rFonts w:ascii="Arial" w:hAnsi="Arial" w:cs="Arial"/>
          <w:noProof/>
          <w:kern w:val="0"/>
          <w:sz w:val="20"/>
          <w:szCs w:val="24"/>
          <w:lang w:val="en-US"/>
        </w:rPr>
        <w:t xml:space="preserve">Development of extruded snacks using taro (Colocasia esculenta) and nixtamalized maize (Zea mays) flour blends. </w:t>
      </w:r>
      <w:r w:rsidRPr="00B148EB">
        <w:rPr>
          <w:rFonts w:ascii="Arial" w:hAnsi="Arial" w:cs="Arial"/>
          <w:i/>
          <w:iCs/>
          <w:noProof/>
          <w:kern w:val="0"/>
          <w:sz w:val="20"/>
          <w:szCs w:val="24"/>
          <w:lang w:val="en-US"/>
        </w:rPr>
        <w:t>LWT</w:t>
      </w:r>
      <w:r w:rsidRPr="00B148EB">
        <w:rPr>
          <w:rFonts w:ascii="Arial" w:hAnsi="Arial" w:cs="Arial"/>
          <w:noProof/>
          <w:kern w:val="0"/>
          <w:sz w:val="20"/>
          <w:szCs w:val="24"/>
          <w:lang w:val="en-US"/>
        </w:rPr>
        <w:t xml:space="preserve">, </w:t>
      </w:r>
      <w:r w:rsidRPr="00B148EB">
        <w:rPr>
          <w:rFonts w:ascii="Arial" w:hAnsi="Arial" w:cs="Arial"/>
          <w:i/>
          <w:iCs/>
          <w:noProof/>
          <w:kern w:val="0"/>
          <w:sz w:val="20"/>
          <w:szCs w:val="24"/>
          <w:lang w:val="en-US"/>
        </w:rPr>
        <w:t>44</w:t>
      </w:r>
      <w:r w:rsidRPr="00B148EB">
        <w:rPr>
          <w:rFonts w:ascii="Arial" w:hAnsi="Arial" w:cs="Arial"/>
          <w:noProof/>
          <w:kern w:val="0"/>
          <w:sz w:val="20"/>
          <w:szCs w:val="24"/>
          <w:lang w:val="en-US"/>
        </w:rPr>
        <w:t>(3), 673–680. https://doi.org/10.1016/j.lwt.2010.06.036</w:t>
      </w:r>
    </w:p>
    <w:p w14:paraId="1DC6DBD6" w14:textId="77777777" w:rsidR="00FF01A1" w:rsidRPr="00FF01A1" w:rsidRDefault="00FF01A1" w:rsidP="00FF01A1">
      <w:pPr>
        <w:widowControl w:val="0"/>
        <w:autoSpaceDE w:val="0"/>
        <w:autoSpaceDN w:val="0"/>
        <w:adjustRightInd w:val="0"/>
        <w:spacing w:line="360" w:lineRule="auto"/>
        <w:ind w:left="480" w:hanging="480"/>
        <w:rPr>
          <w:rFonts w:ascii="Arial" w:hAnsi="Arial" w:cs="Arial"/>
          <w:noProof/>
          <w:kern w:val="0"/>
          <w:sz w:val="20"/>
          <w:szCs w:val="24"/>
        </w:rPr>
      </w:pPr>
      <w:r w:rsidRPr="00B148EB">
        <w:rPr>
          <w:rFonts w:ascii="Arial" w:hAnsi="Arial" w:cs="Arial"/>
          <w:noProof/>
          <w:kern w:val="0"/>
          <w:sz w:val="20"/>
          <w:szCs w:val="24"/>
          <w:lang w:val="en-US"/>
        </w:rPr>
        <w:t xml:space="preserve">Saddari, A., Yahyaoui, A., Sbibih, Y., Zrouri, H., Azizi, W., Hamdani, O., Abderrahmani, J., Harrandou, M., Sebbar, E. H., &amp; Choukri, M. (2022). </w:t>
      </w:r>
      <w:r w:rsidRPr="00FF01A1">
        <w:rPr>
          <w:rFonts w:ascii="Arial" w:hAnsi="Arial" w:cs="Arial"/>
          <w:noProof/>
          <w:kern w:val="0"/>
          <w:sz w:val="20"/>
          <w:szCs w:val="24"/>
        </w:rPr>
        <w:t xml:space="preserve">Micronutriments &amp; Covid-19. </w:t>
      </w:r>
      <w:r w:rsidRPr="00FF01A1">
        <w:rPr>
          <w:rFonts w:ascii="Arial" w:hAnsi="Arial" w:cs="Arial"/>
          <w:i/>
          <w:iCs/>
          <w:noProof/>
          <w:kern w:val="0"/>
          <w:sz w:val="20"/>
          <w:szCs w:val="24"/>
        </w:rPr>
        <w:t>New Journal for Science Vulgarization</w:t>
      </w:r>
      <w:r w:rsidRPr="00FF01A1">
        <w:rPr>
          <w:rFonts w:ascii="Arial" w:hAnsi="Arial" w:cs="Arial"/>
          <w:noProof/>
          <w:kern w:val="0"/>
          <w:sz w:val="20"/>
          <w:szCs w:val="24"/>
        </w:rPr>
        <w:t xml:space="preserve">, </w:t>
      </w:r>
      <w:r w:rsidRPr="00FF01A1">
        <w:rPr>
          <w:rFonts w:ascii="Arial" w:hAnsi="Arial" w:cs="Arial"/>
          <w:i/>
          <w:iCs/>
          <w:noProof/>
          <w:kern w:val="0"/>
          <w:sz w:val="20"/>
          <w:szCs w:val="24"/>
        </w:rPr>
        <w:t>2</w:t>
      </w:r>
      <w:r w:rsidRPr="00FF01A1">
        <w:rPr>
          <w:rFonts w:ascii="Arial" w:hAnsi="Arial" w:cs="Arial"/>
          <w:noProof/>
          <w:kern w:val="0"/>
          <w:sz w:val="20"/>
          <w:szCs w:val="24"/>
        </w:rPr>
        <w:t>(1), 47–51.</w:t>
      </w:r>
    </w:p>
    <w:p w14:paraId="70EC6FF0"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FF01A1">
        <w:rPr>
          <w:rFonts w:ascii="Arial" w:hAnsi="Arial" w:cs="Arial"/>
          <w:noProof/>
          <w:kern w:val="0"/>
          <w:sz w:val="20"/>
          <w:szCs w:val="24"/>
        </w:rPr>
        <w:t xml:space="preserve">Saidou, C. (2012). </w:t>
      </w:r>
      <w:r w:rsidRPr="00FF01A1">
        <w:rPr>
          <w:rFonts w:ascii="Arial" w:hAnsi="Arial" w:cs="Arial"/>
          <w:i/>
          <w:iCs/>
          <w:noProof/>
          <w:kern w:val="0"/>
          <w:sz w:val="20"/>
          <w:szCs w:val="24"/>
        </w:rPr>
        <w:t>Propriétés physico-chimiques et fonctionnelles des gommes hydrocolloïdes des écorces de Triumfetta cordifolia (tiliacée) et de Bridelia thermifolia (Euphorbiacée)</w:t>
      </w:r>
      <w:r w:rsidRPr="00FF01A1">
        <w:rPr>
          <w:rFonts w:ascii="Arial" w:hAnsi="Arial" w:cs="Arial"/>
          <w:noProof/>
          <w:kern w:val="0"/>
          <w:sz w:val="20"/>
          <w:szCs w:val="24"/>
        </w:rPr>
        <w:t xml:space="preserve">. </w:t>
      </w:r>
      <w:r w:rsidRPr="00B148EB">
        <w:rPr>
          <w:rFonts w:ascii="Arial" w:hAnsi="Arial" w:cs="Arial"/>
          <w:noProof/>
          <w:kern w:val="0"/>
          <w:sz w:val="20"/>
          <w:szCs w:val="24"/>
          <w:lang w:val="en-US"/>
        </w:rPr>
        <w:t>University of Ngaoundere/ University of Grenoble.</w:t>
      </w:r>
    </w:p>
    <w:p w14:paraId="398F4A2A"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B148EB">
        <w:rPr>
          <w:rFonts w:ascii="Arial" w:hAnsi="Arial" w:cs="Arial"/>
          <w:noProof/>
          <w:kern w:val="0"/>
          <w:sz w:val="20"/>
          <w:szCs w:val="24"/>
          <w:lang w:val="en-US"/>
        </w:rPr>
        <w:t xml:space="preserve">Schofield, P., Mbugua, D. M., &amp; Pell, A. N. (2001). Analysis of condensed tannins : a review. </w:t>
      </w:r>
      <w:r w:rsidRPr="00B148EB">
        <w:rPr>
          <w:rFonts w:ascii="Arial" w:hAnsi="Arial" w:cs="Arial"/>
          <w:i/>
          <w:iCs/>
          <w:noProof/>
          <w:kern w:val="0"/>
          <w:sz w:val="20"/>
          <w:szCs w:val="24"/>
          <w:lang w:val="en-US"/>
        </w:rPr>
        <w:t>Animal Feed Science and Technology</w:t>
      </w:r>
      <w:r w:rsidRPr="00B148EB">
        <w:rPr>
          <w:rFonts w:ascii="Arial" w:hAnsi="Arial" w:cs="Arial"/>
          <w:noProof/>
          <w:kern w:val="0"/>
          <w:sz w:val="20"/>
          <w:szCs w:val="24"/>
          <w:lang w:val="en-US"/>
        </w:rPr>
        <w:t xml:space="preserve">, </w:t>
      </w:r>
      <w:r w:rsidRPr="00B148EB">
        <w:rPr>
          <w:rFonts w:ascii="Arial" w:hAnsi="Arial" w:cs="Arial"/>
          <w:i/>
          <w:iCs/>
          <w:noProof/>
          <w:kern w:val="0"/>
          <w:sz w:val="20"/>
          <w:szCs w:val="24"/>
          <w:lang w:val="en-US"/>
        </w:rPr>
        <w:t>91</w:t>
      </w:r>
      <w:r w:rsidRPr="00B148EB">
        <w:rPr>
          <w:rFonts w:ascii="Arial" w:hAnsi="Arial" w:cs="Arial"/>
          <w:noProof/>
          <w:kern w:val="0"/>
          <w:sz w:val="20"/>
          <w:szCs w:val="24"/>
          <w:lang w:val="en-US"/>
        </w:rPr>
        <w:t>, 21–40.</w:t>
      </w:r>
    </w:p>
    <w:p w14:paraId="491D1063"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B148EB">
        <w:rPr>
          <w:rFonts w:ascii="Arial" w:hAnsi="Arial" w:cs="Arial"/>
          <w:noProof/>
          <w:kern w:val="0"/>
          <w:sz w:val="20"/>
          <w:szCs w:val="24"/>
          <w:lang w:val="en-US"/>
        </w:rPr>
        <w:t xml:space="preserve">Sha’a, K. K., Clarkson, G. P., &amp; Artimas, S. P. (2019). Phytochemical analysis, proximate composition and antinutritional factors of Corchorus olitorius plant. </w:t>
      </w:r>
      <w:r w:rsidRPr="00B148EB">
        <w:rPr>
          <w:rFonts w:ascii="Arial" w:hAnsi="Arial" w:cs="Arial"/>
          <w:i/>
          <w:iCs/>
          <w:noProof/>
          <w:kern w:val="0"/>
          <w:sz w:val="20"/>
          <w:szCs w:val="24"/>
          <w:lang w:val="en-US"/>
        </w:rPr>
        <w:t>International Journal of Biological and Chemical Sciences</w:t>
      </w:r>
      <w:r w:rsidRPr="00B148EB">
        <w:rPr>
          <w:rFonts w:ascii="Arial" w:hAnsi="Arial" w:cs="Arial"/>
          <w:noProof/>
          <w:kern w:val="0"/>
          <w:sz w:val="20"/>
          <w:szCs w:val="24"/>
          <w:lang w:val="en-US"/>
        </w:rPr>
        <w:t xml:space="preserve">, </w:t>
      </w:r>
      <w:r w:rsidRPr="00B148EB">
        <w:rPr>
          <w:rFonts w:ascii="Arial" w:hAnsi="Arial" w:cs="Arial"/>
          <w:i/>
          <w:iCs/>
          <w:noProof/>
          <w:kern w:val="0"/>
          <w:sz w:val="20"/>
          <w:szCs w:val="24"/>
          <w:lang w:val="en-US"/>
        </w:rPr>
        <w:t>13</w:t>
      </w:r>
      <w:r w:rsidRPr="00B148EB">
        <w:rPr>
          <w:rFonts w:ascii="Arial" w:hAnsi="Arial" w:cs="Arial"/>
          <w:noProof/>
          <w:kern w:val="0"/>
          <w:sz w:val="20"/>
          <w:szCs w:val="24"/>
          <w:lang w:val="en-US"/>
        </w:rPr>
        <w:t>(4), 2147–2157.</w:t>
      </w:r>
    </w:p>
    <w:p w14:paraId="7B0A8BB7"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B148EB">
        <w:rPr>
          <w:rFonts w:ascii="Arial" w:hAnsi="Arial" w:cs="Arial"/>
          <w:noProof/>
          <w:kern w:val="0"/>
          <w:sz w:val="20"/>
          <w:szCs w:val="24"/>
          <w:lang w:val="en-US"/>
        </w:rPr>
        <w:t xml:space="preserve">Singleton, V. L., Orthofer, R., &amp; Lamuela-Raventos, R. M. (1999). Analysis of Total Phenols and Other Oxidation Substrates and Antioxidants by Means of Folin-Ciocalteu Reagent. </w:t>
      </w:r>
      <w:r w:rsidRPr="00B148EB">
        <w:rPr>
          <w:rFonts w:ascii="Arial" w:hAnsi="Arial" w:cs="Arial"/>
          <w:i/>
          <w:iCs/>
          <w:noProof/>
          <w:kern w:val="0"/>
          <w:sz w:val="20"/>
          <w:szCs w:val="24"/>
          <w:lang w:val="en-US"/>
        </w:rPr>
        <w:t>Methods in Enzymology</w:t>
      </w:r>
      <w:r w:rsidRPr="00B148EB">
        <w:rPr>
          <w:rFonts w:ascii="Arial" w:hAnsi="Arial" w:cs="Arial"/>
          <w:noProof/>
          <w:kern w:val="0"/>
          <w:sz w:val="20"/>
          <w:szCs w:val="24"/>
          <w:lang w:val="en-US"/>
        </w:rPr>
        <w:t xml:space="preserve">, </w:t>
      </w:r>
      <w:r w:rsidRPr="00B148EB">
        <w:rPr>
          <w:rFonts w:ascii="Arial" w:hAnsi="Arial" w:cs="Arial"/>
          <w:i/>
          <w:iCs/>
          <w:noProof/>
          <w:kern w:val="0"/>
          <w:sz w:val="20"/>
          <w:szCs w:val="24"/>
          <w:lang w:val="en-US"/>
        </w:rPr>
        <w:t>299</w:t>
      </w:r>
      <w:r w:rsidRPr="00B148EB">
        <w:rPr>
          <w:rFonts w:ascii="Arial" w:hAnsi="Arial" w:cs="Arial"/>
          <w:noProof/>
          <w:kern w:val="0"/>
          <w:sz w:val="20"/>
          <w:szCs w:val="24"/>
          <w:lang w:val="en-US"/>
        </w:rPr>
        <w:t>(1974), 152–178.</w:t>
      </w:r>
    </w:p>
    <w:p w14:paraId="5E9EDEF2"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B148EB">
        <w:rPr>
          <w:rFonts w:ascii="Arial" w:hAnsi="Arial" w:cs="Arial"/>
          <w:noProof/>
          <w:kern w:val="0"/>
          <w:sz w:val="20"/>
          <w:szCs w:val="24"/>
          <w:lang w:val="en-US"/>
        </w:rPr>
        <w:t xml:space="preserve">Singleton, V. L., &amp; Rossi, J. A. (1965). Colorimetry of total phenolics with phosphomolybdicphosphotungstic acid reagents. </w:t>
      </w:r>
      <w:r w:rsidRPr="00B148EB">
        <w:rPr>
          <w:rFonts w:ascii="Arial" w:hAnsi="Arial" w:cs="Arial"/>
          <w:i/>
          <w:iCs/>
          <w:noProof/>
          <w:kern w:val="0"/>
          <w:sz w:val="20"/>
          <w:szCs w:val="24"/>
          <w:lang w:val="en-US"/>
        </w:rPr>
        <w:t>Am. J. Enol. Vitic</w:t>
      </w:r>
      <w:r w:rsidRPr="00B148EB">
        <w:rPr>
          <w:rFonts w:ascii="Arial" w:hAnsi="Arial" w:cs="Arial"/>
          <w:noProof/>
          <w:kern w:val="0"/>
          <w:sz w:val="20"/>
          <w:szCs w:val="24"/>
          <w:lang w:val="en-US"/>
        </w:rPr>
        <w:t xml:space="preserve">, </w:t>
      </w:r>
      <w:r w:rsidRPr="00B148EB">
        <w:rPr>
          <w:rFonts w:ascii="Arial" w:hAnsi="Arial" w:cs="Arial"/>
          <w:i/>
          <w:iCs/>
          <w:noProof/>
          <w:kern w:val="0"/>
          <w:sz w:val="20"/>
          <w:szCs w:val="24"/>
          <w:lang w:val="en-US"/>
        </w:rPr>
        <w:t>16</w:t>
      </w:r>
      <w:r w:rsidRPr="00B148EB">
        <w:rPr>
          <w:rFonts w:ascii="Arial" w:hAnsi="Arial" w:cs="Arial"/>
          <w:noProof/>
          <w:kern w:val="0"/>
          <w:sz w:val="20"/>
          <w:szCs w:val="24"/>
          <w:lang w:val="en-US"/>
        </w:rPr>
        <w:t>, 144–158.</w:t>
      </w:r>
    </w:p>
    <w:p w14:paraId="0FDBC04F"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B148EB">
        <w:rPr>
          <w:rFonts w:ascii="Arial" w:hAnsi="Arial" w:cs="Arial"/>
          <w:noProof/>
          <w:kern w:val="0"/>
          <w:sz w:val="20"/>
          <w:szCs w:val="24"/>
          <w:lang w:val="en-US"/>
        </w:rPr>
        <w:t xml:space="preserve">Sun, B., Ricardo-da-Silva, J. M., &amp; Spranger, I. (1998). Critical Factors of Vanillin Assay for Catechins and Proanthocyanidins. </w:t>
      </w:r>
      <w:r w:rsidRPr="00B148EB">
        <w:rPr>
          <w:rFonts w:ascii="Arial" w:hAnsi="Arial" w:cs="Arial"/>
          <w:i/>
          <w:iCs/>
          <w:noProof/>
          <w:kern w:val="0"/>
          <w:sz w:val="20"/>
          <w:szCs w:val="24"/>
          <w:lang w:val="en-US"/>
        </w:rPr>
        <w:t>Journal of Agricultural and Food Chemistry</w:t>
      </w:r>
      <w:r w:rsidRPr="00B148EB">
        <w:rPr>
          <w:rFonts w:ascii="Arial" w:hAnsi="Arial" w:cs="Arial"/>
          <w:noProof/>
          <w:kern w:val="0"/>
          <w:sz w:val="20"/>
          <w:szCs w:val="24"/>
          <w:lang w:val="en-US"/>
        </w:rPr>
        <w:t xml:space="preserve">, </w:t>
      </w:r>
      <w:r w:rsidRPr="00B148EB">
        <w:rPr>
          <w:rFonts w:ascii="Arial" w:hAnsi="Arial" w:cs="Arial"/>
          <w:i/>
          <w:iCs/>
          <w:noProof/>
          <w:kern w:val="0"/>
          <w:sz w:val="20"/>
          <w:szCs w:val="24"/>
          <w:lang w:val="en-US"/>
        </w:rPr>
        <w:t>46</w:t>
      </w:r>
      <w:r w:rsidRPr="00B148EB">
        <w:rPr>
          <w:rFonts w:ascii="Arial" w:hAnsi="Arial" w:cs="Arial"/>
          <w:noProof/>
          <w:kern w:val="0"/>
          <w:sz w:val="20"/>
          <w:szCs w:val="24"/>
          <w:lang w:val="en-US"/>
        </w:rPr>
        <w:t>(10), 4267–4274. https://doi.org/10.1021/jf980366j</w:t>
      </w:r>
    </w:p>
    <w:p w14:paraId="7C6D5ABB"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B148EB">
        <w:rPr>
          <w:rFonts w:ascii="Arial" w:hAnsi="Arial" w:cs="Arial"/>
          <w:noProof/>
          <w:kern w:val="0"/>
          <w:sz w:val="20"/>
          <w:szCs w:val="24"/>
          <w:lang w:val="en-US"/>
        </w:rPr>
        <w:t xml:space="preserve">Sutandar, V. H., Saleh, M. I., &amp; Maritska, Z. (2023). GLUT4 as A Protein Target for T2DM Therapy with Natural Compounds. </w:t>
      </w:r>
      <w:r w:rsidRPr="00B148EB">
        <w:rPr>
          <w:rFonts w:ascii="Arial" w:hAnsi="Arial" w:cs="Arial"/>
          <w:i/>
          <w:iCs/>
          <w:noProof/>
          <w:kern w:val="0"/>
          <w:sz w:val="20"/>
          <w:szCs w:val="24"/>
          <w:lang w:val="en-US"/>
        </w:rPr>
        <w:t>Biology, Medicine, &amp; Natural Product Chemistry</w:t>
      </w:r>
      <w:r w:rsidRPr="00B148EB">
        <w:rPr>
          <w:rFonts w:ascii="Arial" w:hAnsi="Arial" w:cs="Arial"/>
          <w:noProof/>
          <w:kern w:val="0"/>
          <w:sz w:val="20"/>
          <w:szCs w:val="24"/>
          <w:lang w:val="en-US"/>
        </w:rPr>
        <w:t xml:space="preserve">, </w:t>
      </w:r>
      <w:r w:rsidRPr="00B148EB">
        <w:rPr>
          <w:rFonts w:ascii="Arial" w:hAnsi="Arial" w:cs="Arial"/>
          <w:i/>
          <w:iCs/>
          <w:noProof/>
          <w:kern w:val="0"/>
          <w:sz w:val="20"/>
          <w:szCs w:val="24"/>
          <w:lang w:val="en-US"/>
        </w:rPr>
        <w:t>12</w:t>
      </w:r>
      <w:r w:rsidRPr="00B148EB">
        <w:rPr>
          <w:rFonts w:ascii="Arial" w:hAnsi="Arial" w:cs="Arial"/>
          <w:noProof/>
          <w:kern w:val="0"/>
          <w:sz w:val="20"/>
          <w:szCs w:val="24"/>
          <w:lang w:val="en-US"/>
        </w:rPr>
        <w:t>(1), 289–293. https://doi.org/10.14421/biomedich.2023.121.289-293</w:t>
      </w:r>
    </w:p>
    <w:p w14:paraId="0A3EB571"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B148EB">
        <w:rPr>
          <w:rFonts w:ascii="Arial" w:hAnsi="Arial" w:cs="Arial"/>
          <w:noProof/>
          <w:kern w:val="0"/>
          <w:sz w:val="20"/>
          <w:szCs w:val="24"/>
          <w:lang w:val="en-US"/>
        </w:rPr>
        <w:t xml:space="preserve">Wang, T., Wang, J., Hu, X., Huang, X., &amp; Chen, G.-X. (2020). Current understanding of glucose transporter 4 expression and functional mechanisms. </w:t>
      </w:r>
      <w:r w:rsidRPr="00B148EB">
        <w:rPr>
          <w:rFonts w:ascii="Arial" w:hAnsi="Arial" w:cs="Arial"/>
          <w:i/>
          <w:iCs/>
          <w:noProof/>
          <w:kern w:val="0"/>
          <w:sz w:val="20"/>
          <w:szCs w:val="24"/>
          <w:lang w:val="en-US"/>
        </w:rPr>
        <w:t>World Journal of Biological Chemistry</w:t>
      </w:r>
      <w:r w:rsidRPr="00B148EB">
        <w:rPr>
          <w:rFonts w:ascii="Arial" w:hAnsi="Arial" w:cs="Arial"/>
          <w:noProof/>
          <w:kern w:val="0"/>
          <w:sz w:val="20"/>
          <w:szCs w:val="24"/>
          <w:lang w:val="en-US"/>
        </w:rPr>
        <w:t xml:space="preserve">, </w:t>
      </w:r>
      <w:r w:rsidRPr="00B148EB">
        <w:rPr>
          <w:rFonts w:ascii="Arial" w:hAnsi="Arial" w:cs="Arial"/>
          <w:i/>
          <w:iCs/>
          <w:noProof/>
          <w:kern w:val="0"/>
          <w:sz w:val="20"/>
          <w:szCs w:val="24"/>
          <w:lang w:val="en-US"/>
        </w:rPr>
        <w:t>11</w:t>
      </w:r>
      <w:r w:rsidRPr="00B148EB">
        <w:rPr>
          <w:rFonts w:ascii="Arial" w:hAnsi="Arial" w:cs="Arial"/>
          <w:noProof/>
          <w:kern w:val="0"/>
          <w:sz w:val="20"/>
          <w:szCs w:val="24"/>
          <w:lang w:val="en-US"/>
        </w:rPr>
        <w:t>(3), 76–98. https://doi.org/10.4331/wjbc.v11.i3.76</w:t>
      </w:r>
    </w:p>
    <w:p w14:paraId="22C36D1F" w14:textId="77777777" w:rsidR="00FF01A1" w:rsidRPr="00FF01A1" w:rsidRDefault="00FF01A1" w:rsidP="00FF01A1">
      <w:pPr>
        <w:widowControl w:val="0"/>
        <w:autoSpaceDE w:val="0"/>
        <w:autoSpaceDN w:val="0"/>
        <w:adjustRightInd w:val="0"/>
        <w:spacing w:line="360" w:lineRule="auto"/>
        <w:ind w:left="480" w:hanging="480"/>
        <w:rPr>
          <w:rFonts w:ascii="Arial" w:hAnsi="Arial" w:cs="Arial"/>
          <w:noProof/>
          <w:kern w:val="0"/>
          <w:sz w:val="20"/>
          <w:szCs w:val="24"/>
        </w:rPr>
      </w:pPr>
      <w:r w:rsidRPr="00FF01A1">
        <w:rPr>
          <w:rFonts w:ascii="Arial" w:hAnsi="Arial" w:cs="Arial"/>
          <w:noProof/>
          <w:kern w:val="0"/>
          <w:sz w:val="20"/>
          <w:szCs w:val="24"/>
        </w:rPr>
        <w:lastRenderedPageBreak/>
        <w:t xml:space="preserve">Wolff, J. (1968). </w:t>
      </w:r>
      <w:r w:rsidRPr="00FF01A1">
        <w:rPr>
          <w:rFonts w:ascii="Arial" w:hAnsi="Arial" w:cs="Arial"/>
          <w:i/>
          <w:iCs/>
          <w:noProof/>
          <w:kern w:val="0"/>
          <w:sz w:val="20"/>
          <w:szCs w:val="24"/>
        </w:rPr>
        <w:t>Manuel d’analyse des corps gras</w:t>
      </w:r>
      <w:r w:rsidRPr="00FF01A1">
        <w:rPr>
          <w:rFonts w:ascii="Arial" w:hAnsi="Arial" w:cs="Arial"/>
          <w:noProof/>
          <w:kern w:val="0"/>
          <w:sz w:val="20"/>
          <w:szCs w:val="24"/>
        </w:rPr>
        <w:t xml:space="preserve"> (Azoulayéd).</w:t>
      </w:r>
    </w:p>
    <w:p w14:paraId="3E3DF329"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B148EB">
        <w:rPr>
          <w:rFonts w:ascii="Arial" w:hAnsi="Arial" w:cs="Arial"/>
          <w:noProof/>
          <w:kern w:val="0"/>
          <w:sz w:val="20"/>
          <w:szCs w:val="24"/>
          <w:lang w:val="en-US"/>
        </w:rPr>
        <w:t xml:space="preserve">Yamashita, Y., Jiang, H., Okada, F., Kitakaze, T., Yoshioka, Y., &amp; Ashida, H. (2024). Single oral administration of quercetin glycosides prevented acute hyperglycemia by promoting GLUT4 translocation in skeletal muscles through the activation of AMPK in mice. </w:t>
      </w:r>
      <w:r w:rsidRPr="00B148EB">
        <w:rPr>
          <w:rFonts w:ascii="Arial" w:hAnsi="Arial" w:cs="Arial"/>
          <w:i/>
          <w:iCs/>
          <w:noProof/>
          <w:kern w:val="0"/>
          <w:sz w:val="20"/>
          <w:szCs w:val="24"/>
          <w:lang w:val="en-US"/>
        </w:rPr>
        <w:t>J. Clin. Biochem. Nutr. |</w:t>
      </w:r>
      <w:r w:rsidRPr="00B148EB">
        <w:rPr>
          <w:rFonts w:ascii="Arial" w:hAnsi="Arial" w:cs="Arial"/>
          <w:noProof/>
          <w:kern w:val="0"/>
          <w:sz w:val="20"/>
          <w:szCs w:val="24"/>
          <w:lang w:val="en-US"/>
        </w:rPr>
        <w:t xml:space="preserve">, </w:t>
      </w:r>
      <w:r w:rsidRPr="00B148EB">
        <w:rPr>
          <w:rFonts w:ascii="Arial" w:hAnsi="Arial" w:cs="Arial"/>
          <w:i/>
          <w:iCs/>
          <w:noProof/>
          <w:kern w:val="0"/>
          <w:sz w:val="20"/>
          <w:szCs w:val="24"/>
          <w:lang w:val="en-US"/>
        </w:rPr>
        <w:t>74</w:t>
      </w:r>
      <w:r w:rsidRPr="00B148EB">
        <w:rPr>
          <w:rFonts w:ascii="Arial" w:hAnsi="Arial" w:cs="Arial"/>
          <w:noProof/>
          <w:kern w:val="0"/>
          <w:sz w:val="20"/>
          <w:szCs w:val="24"/>
          <w:lang w:val="en-US"/>
        </w:rPr>
        <w:t>(1), 37–46. https://doi.org/10.3164/jcbn.23-30</w:t>
      </w:r>
    </w:p>
    <w:p w14:paraId="69A64EDF" w14:textId="77777777" w:rsidR="00FF01A1" w:rsidRPr="00B148EB" w:rsidRDefault="00FF01A1" w:rsidP="00FF01A1">
      <w:pPr>
        <w:widowControl w:val="0"/>
        <w:autoSpaceDE w:val="0"/>
        <w:autoSpaceDN w:val="0"/>
        <w:adjustRightInd w:val="0"/>
        <w:spacing w:line="360" w:lineRule="auto"/>
        <w:ind w:left="480" w:hanging="480"/>
        <w:rPr>
          <w:rFonts w:ascii="Arial" w:hAnsi="Arial" w:cs="Arial"/>
          <w:noProof/>
          <w:kern w:val="0"/>
          <w:sz w:val="20"/>
          <w:szCs w:val="24"/>
          <w:lang w:val="en-US"/>
        </w:rPr>
      </w:pPr>
      <w:r w:rsidRPr="00B148EB">
        <w:rPr>
          <w:rFonts w:ascii="Arial" w:hAnsi="Arial" w:cs="Arial"/>
          <w:noProof/>
          <w:kern w:val="0"/>
          <w:sz w:val="20"/>
          <w:szCs w:val="24"/>
          <w:lang w:val="en-US"/>
        </w:rPr>
        <w:t xml:space="preserve">Yamashita, Y., Wang, L., Nanba, F., Ito, C., &amp; Toda, T. (2016). Procyanidin Promotes Translocation of Glucose Transporter 4 in Muscle of Mice through Activation of Insulin and AMPK Signaling Pathways. </w:t>
      </w:r>
      <w:r w:rsidRPr="00B148EB">
        <w:rPr>
          <w:rFonts w:ascii="Arial" w:hAnsi="Arial" w:cs="Arial"/>
          <w:i/>
          <w:iCs/>
          <w:noProof/>
          <w:kern w:val="0"/>
          <w:sz w:val="20"/>
          <w:szCs w:val="24"/>
          <w:lang w:val="en-US"/>
        </w:rPr>
        <w:t>PLoS ONE</w:t>
      </w:r>
      <w:r w:rsidRPr="00B148EB">
        <w:rPr>
          <w:rFonts w:ascii="Arial" w:hAnsi="Arial" w:cs="Arial"/>
          <w:noProof/>
          <w:kern w:val="0"/>
          <w:sz w:val="20"/>
          <w:szCs w:val="24"/>
          <w:lang w:val="en-US"/>
        </w:rPr>
        <w:t xml:space="preserve">, </w:t>
      </w:r>
      <w:r w:rsidRPr="00B148EB">
        <w:rPr>
          <w:rFonts w:ascii="Arial" w:hAnsi="Arial" w:cs="Arial"/>
          <w:i/>
          <w:iCs/>
          <w:noProof/>
          <w:kern w:val="0"/>
          <w:sz w:val="20"/>
          <w:szCs w:val="24"/>
          <w:lang w:val="en-US"/>
        </w:rPr>
        <w:t>11</w:t>
      </w:r>
      <w:r w:rsidRPr="00B148EB">
        <w:rPr>
          <w:rFonts w:ascii="Arial" w:hAnsi="Arial" w:cs="Arial"/>
          <w:noProof/>
          <w:kern w:val="0"/>
          <w:sz w:val="20"/>
          <w:szCs w:val="24"/>
          <w:lang w:val="en-US"/>
        </w:rPr>
        <w:t>(9), 1–19. https://doi.org/10.1371/journal.pone.0161704</w:t>
      </w:r>
    </w:p>
    <w:p w14:paraId="2C2CBF31" w14:textId="77777777" w:rsidR="00FF01A1" w:rsidRPr="00FF01A1" w:rsidRDefault="00FF01A1" w:rsidP="00FF01A1">
      <w:pPr>
        <w:widowControl w:val="0"/>
        <w:autoSpaceDE w:val="0"/>
        <w:autoSpaceDN w:val="0"/>
        <w:adjustRightInd w:val="0"/>
        <w:spacing w:line="360" w:lineRule="auto"/>
        <w:ind w:left="480" w:hanging="480"/>
        <w:rPr>
          <w:rFonts w:ascii="Arial" w:hAnsi="Arial" w:cs="Arial"/>
          <w:noProof/>
          <w:sz w:val="20"/>
        </w:rPr>
      </w:pPr>
      <w:r w:rsidRPr="00B148EB">
        <w:rPr>
          <w:rFonts w:ascii="Arial" w:hAnsi="Arial" w:cs="Arial"/>
          <w:noProof/>
          <w:kern w:val="0"/>
          <w:sz w:val="20"/>
          <w:szCs w:val="24"/>
          <w:lang w:val="en-US"/>
        </w:rPr>
        <w:t xml:space="preserve">Zhishen, J., Mengcheng, T., &amp; Jianming, W. (1999). Food Chemistry The determination of flavonoid contents in mulberry and their scavenging effects on superoxide radicals. </w:t>
      </w:r>
      <w:r w:rsidRPr="00FF01A1">
        <w:rPr>
          <w:rFonts w:ascii="Arial" w:hAnsi="Arial" w:cs="Arial"/>
          <w:i/>
          <w:iCs/>
          <w:noProof/>
          <w:kern w:val="0"/>
          <w:sz w:val="20"/>
          <w:szCs w:val="24"/>
        </w:rPr>
        <w:t>Food Chemistry</w:t>
      </w:r>
      <w:r w:rsidRPr="00FF01A1">
        <w:rPr>
          <w:rFonts w:ascii="Arial" w:hAnsi="Arial" w:cs="Arial"/>
          <w:noProof/>
          <w:kern w:val="0"/>
          <w:sz w:val="20"/>
          <w:szCs w:val="24"/>
        </w:rPr>
        <w:t xml:space="preserve">, </w:t>
      </w:r>
      <w:r w:rsidRPr="00FF01A1">
        <w:rPr>
          <w:rFonts w:ascii="Arial" w:hAnsi="Arial" w:cs="Arial"/>
          <w:i/>
          <w:iCs/>
          <w:noProof/>
          <w:kern w:val="0"/>
          <w:sz w:val="20"/>
          <w:szCs w:val="24"/>
        </w:rPr>
        <w:t>64</w:t>
      </w:r>
      <w:r w:rsidRPr="00FF01A1">
        <w:rPr>
          <w:rFonts w:ascii="Arial" w:hAnsi="Arial" w:cs="Arial"/>
          <w:noProof/>
          <w:kern w:val="0"/>
          <w:sz w:val="20"/>
          <w:szCs w:val="24"/>
        </w:rPr>
        <w:t>, 555–559.</w:t>
      </w:r>
    </w:p>
    <w:p w14:paraId="1AAFC158" w14:textId="0FC8EFE2" w:rsidR="00B64D85" w:rsidRPr="00025C75" w:rsidRDefault="005F0359" w:rsidP="00025C75">
      <w:pPr>
        <w:spacing w:line="360" w:lineRule="auto"/>
        <w:rPr>
          <w:rFonts w:ascii="Arial" w:hAnsi="Arial" w:cs="Arial"/>
          <w:b/>
          <w:bCs/>
          <w:sz w:val="20"/>
          <w:szCs w:val="20"/>
          <w:lang w:val="en-US"/>
        </w:rPr>
      </w:pPr>
      <w:r w:rsidRPr="00BC5F1D">
        <w:rPr>
          <w:rFonts w:ascii="Arial" w:hAnsi="Arial" w:cs="Arial"/>
          <w:b/>
          <w:bCs/>
          <w:sz w:val="20"/>
          <w:szCs w:val="20"/>
          <w:lang w:val="en-US"/>
        </w:rPr>
        <w:fldChar w:fldCharType="end"/>
      </w:r>
    </w:p>
    <w:sectPr w:rsidR="00B64D85" w:rsidRPr="00025C75" w:rsidSect="000B582C">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73BCCE" w14:textId="77777777" w:rsidR="00C30EAC" w:rsidRDefault="00C30EAC" w:rsidP="002F6926">
      <w:pPr>
        <w:spacing w:after="0" w:line="240" w:lineRule="auto"/>
      </w:pPr>
      <w:r>
        <w:separator/>
      </w:r>
    </w:p>
  </w:endnote>
  <w:endnote w:type="continuationSeparator" w:id="0">
    <w:p w14:paraId="24CA6326" w14:textId="77777777" w:rsidR="00C30EAC" w:rsidRDefault="00C30EAC" w:rsidP="002F6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harisSIL">
    <w:altName w:val="Cambria"/>
    <w:panose1 w:val="00000000000000000000"/>
    <w:charset w:val="00"/>
    <w:family w:val="roman"/>
    <w:notTrueType/>
    <w:pitch w:val="default"/>
  </w:font>
  <w:font w:name="TeX_CM_Maths_Symbols">
    <w:altName w:val="Cambria"/>
    <w:panose1 w:val="00000000000000000000"/>
    <w:charset w:val="00"/>
    <w:family w:val="roman"/>
    <w:notTrueType/>
    <w:pitch w:val="default"/>
  </w:font>
  <w:font w:name="CharisSIL-Bold">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2FA22" w14:textId="77777777" w:rsidR="000B582C" w:rsidRDefault="000B58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7896058"/>
      <w:docPartObj>
        <w:docPartGallery w:val="Page Numbers (Bottom of Page)"/>
        <w:docPartUnique/>
      </w:docPartObj>
    </w:sdtPr>
    <w:sdtEndPr>
      <w:rPr>
        <w:rFonts w:ascii="Times New Roman" w:hAnsi="Times New Roman" w:cs="Times New Roman"/>
      </w:rPr>
    </w:sdtEndPr>
    <w:sdtContent>
      <w:p w14:paraId="2E022AF0" w14:textId="06756D89" w:rsidR="0001071D" w:rsidRPr="0001071D" w:rsidRDefault="0001071D">
        <w:pPr>
          <w:pStyle w:val="Footer"/>
          <w:jc w:val="right"/>
          <w:rPr>
            <w:rFonts w:ascii="Times New Roman" w:hAnsi="Times New Roman" w:cs="Times New Roman"/>
          </w:rPr>
        </w:pPr>
        <w:r w:rsidRPr="0001071D">
          <w:rPr>
            <w:rFonts w:ascii="Times New Roman" w:hAnsi="Times New Roman" w:cs="Times New Roman"/>
          </w:rPr>
          <w:fldChar w:fldCharType="begin"/>
        </w:r>
        <w:r w:rsidRPr="0001071D">
          <w:rPr>
            <w:rFonts w:ascii="Times New Roman" w:hAnsi="Times New Roman" w:cs="Times New Roman"/>
          </w:rPr>
          <w:instrText>PAGE   \* MERGEFORMAT</w:instrText>
        </w:r>
        <w:r w:rsidRPr="0001071D">
          <w:rPr>
            <w:rFonts w:ascii="Times New Roman" w:hAnsi="Times New Roman" w:cs="Times New Roman"/>
          </w:rPr>
          <w:fldChar w:fldCharType="separate"/>
        </w:r>
        <w:r w:rsidRPr="0001071D">
          <w:rPr>
            <w:rFonts w:ascii="Times New Roman" w:hAnsi="Times New Roman" w:cs="Times New Roman"/>
          </w:rPr>
          <w:t>2</w:t>
        </w:r>
        <w:r w:rsidRPr="0001071D">
          <w:rPr>
            <w:rFonts w:ascii="Times New Roman" w:hAnsi="Times New Roman" w:cs="Times New Roman"/>
          </w:rPr>
          <w:fldChar w:fldCharType="end"/>
        </w:r>
      </w:p>
    </w:sdtContent>
  </w:sdt>
  <w:p w14:paraId="38B5291E" w14:textId="77777777" w:rsidR="0001071D" w:rsidRDefault="000107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FE2F6" w14:textId="77777777" w:rsidR="000B582C" w:rsidRDefault="000B58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4AE162" w14:textId="77777777" w:rsidR="00C30EAC" w:rsidRDefault="00C30EAC" w:rsidP="002F6926">
      <w:pPr>
        <w:spacing w:after="0" w:line="240" w:lineRule="auto"/>
      </w:pPr>
      <w:r>
        <w:separator/>
      </w:r>
    </w:p>
  </w:footnote>
  <w:footnote w:type="continuationSeparator" w:id="0">
    <w:p w14:paraId="08A7F06D" w14:textId="77777777" w:rsidR="00C30EAC" w:rsidRDefault="00C30EAC" w:rsidP="002F69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8B790" w14:textId="2F201947" w:rsidR="000B582C" w:rsidRDefault="000B582C">
    <w:pPr>
      <w:pStyle w:val="Header"/>
    </w:pPr>
    <w:r>
      <w:rPr>
        <w:noProof/>
      </w:rPr>
      <w:pict w14:anchorId="70EC2A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178407"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02AA1" w14:textId="52295881" w:rsidR="000B582C" w:rsidRDefault="000B582C">
    <w:pPr>
      <w:pStyle w:val="Header"/>
    </w:pPr>
    <w:r>
      <w:rPr>
        <w:noProof/>
      </w:rPr>
      <w:pict w14:anchorId="165190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178408"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59FFD" w14:textId="1701F084" w:rsidR="000B582C" w:rsidRDefault="000B582C">
    <w:pPr>
      <w:pStyle w:val="Header"/>
    </w:pPr>
    <w:r>
      <w:rPr>
        <w:noProof/>
      </w:rPr>
      <w:pict w14:anchorId="726B3C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178406"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605A5"/>
    <w:multiLevelType w:val="multilevel"/>
    <w:tmpl w:val="67BE7D08"/>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0E85E57"/>
    <w:multiLevelType w:val="hybridMultilevel"/>
    <w:tmpl w:val="29948F12"/>
    <w:lvl w:ilvl="0" w:tplc="1FD2399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0D570CB"/>
    <w:multiLevelType w:val="multilevel"/>
    <w:tmpl w:val="E1421E10"/>
    <w:lvl w:ilvl="0">
      <w:start w:val="1"/>
      <w:numFmt w:val="decimal"/>
      <w:lvlText w:val="%1."/>
      <w:lvlJc w:val="left"/>
      <w:pPr>
        <w:ind w:left="360" w:hanging="360"/>
      </w:pPr>
      <w:rPr>
        <w:rFonts w:hint="default"/>
        <w:sz w:val="22"/>
        <w:szCs w:val="22"/>
      </w:rPr>
    </w:lvl>
    <w:lvl w:ilvl="1">
      <w:start w:val="1"/>
      <w:numFmt w:val="decimal"/>
      <w:isLgl/>
      <w:lvlText w:val="%1.%2."/>
      <w:lvlJc w:val="left"/>
      <w:pPr>
        <w:ind w:left="360" w:hanging="360"/>
      </w:pPr>
      <w:rPr>
        <w:rFonts w:ascii="Arial" w:hAnsi="Arial" w:cs="Arial"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50406B71"/>
    <w:multiLevelType w:val="multilevel"/>
    <w:tmpl w:val="BADE5F3E"/>
    <w:lvl w:ilvl="0">
      <w:start w:val="2"/>
      <w:numFmt w:val="decimal"/>
      <w:lvlText w:val="%1."/>
      <w:lvlJc w:val="left"/>
      <w:pPr>
        <w:ind w:left="720" w:hanging="360"/>
      </w:pPr>
      <w:rPr>
        <w:rFonts w:hint="default"/>
      </w:rPr>
    </w:lvl>
    <w:lvl w:ilvl="1">
      <w:start w:val="1"/>
      <w:numFmt w:val="decimal"/>
      <w:isLgl/>
      <w:lvlText w:val="%1.%2."/>
      <w:lvlJc w:val="left"/>
      <w:pPr>
        <w:ind w:left="420" w:hanging="420"/>
      </w:pPr>
      <w:rPr>
        <w:rFonts w:hint="default"/>
        <w:i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4" w15:restartNumberingAfterBreak="0">
    <w:nsid w:val="51840E62"/>
    <w:multiLevelType w:val="hybridMultilevel"/>
    <w:tmpl w:val="AD54DDA0"/>
    <w:lvl w:ilvl="0" w:tplc="D7B4BC76">
      <w:start w:val="1"/>
      <w:numFmt w:val="lowerLetter"/>
      <w:lvlText w:val="(%1)"/>
      <w:lvlJc w:val="left"/>
      <w:pPr>
        <w:ind w:left="720" w:hanging="360"/>
      </w:pPr>
      <w:rPr>
        <w:rFonts w:ascii="Times New Roman" w:hAnsi="Times New Roman" w:cs="Times New Roman" w:hint="default"/>
        <w:b/>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75E"/>
    <w:rsid w:val="00000A53"/>
    <w:rsid w:val="00001265"/>
    <w:rsid w:val="000014B6"/>
    <w:rsid w:val="000068E4"/>
    <w:rsid w:val="00006F88"/>
    <w:rsid w:val="00007542"/>
    <w:rsid w:val="0001071D"/>
    <w:rsid w:val="00014FD3"/>
    <w:rsid w:val="00017A19"/>
    <w:rsid w:val="00022A7B"/>
    <w:rsid w:val="0002450A"/>
    <w:rsid w:val="00025C75"/>
    <w:rsid w:val="00030CDC"/>
    <w:rsid w:val="00036B2B"/>
    <w:rsid w:val="00036E7F"/>
    <w:rsid w:val="00040D0A"/>
    <w:rsid w:val="00044632"/>
    <w:rsid w:val="00044D0C"/>
    <w:rsid w:val="00044E0A"/>
    <w:rsid w:val="000452B1"/>
    <w:rsid w:val="0005746A"/>
    <w:rsid w:val="00063BE7"/>
    <w:rsid w:val="00067C2A"/>
    <w:rsid w:val="0007097F"/>
    <w:rsid w:val="00070CFA"/>
    <w:rsid w:val="000715FE"/>
    <w:rsid w:val="00073A9D"/>
    <w:rsid w:val="00081A72"/>
    <w:rsid w:val="00082024"/>
    <w:rsid w:val="0008256F"/>
    <w:rsid w:val="00085CF4"/>
    <w:rsid w:val="00092106"/>
    <w:rsid w:val="000A23DC"/>
    <w:rsid w:val="000A3E36"/>
    <w:rsid w:val="000A657C"/>
    <w:rsid w:val="000B0BC0"/>
    <w:rsid w:val="000B1A5C"/>
    <w:rsid w:val="000B582C"/>
    <w:rsid w:val="000B5972"/>
    <w:rsid w:val="000C2A46"/>
    <w:rsid w:val="000C652E"/>
    <w:rsid w:val="000C6D82"/>
    <w:rsid w:val="000D52E3"/>
    <w:rsid w:val="000D5690"/>
    <w:rsid w:val="000D5819"/>
    <w:rsid w:val="000D6978"/>
    <w:rsid w:val="000E201B"/>
    <w:rsid w:val="000E6016"/>
    <w:rsid w:val="000F0D41"/>
    <w:rsid w:val="000F57C0"/>
    <w:rsid w:val="0010471E"/>
    <w:rsid w:val="00104C63"/>
    <w:rsid w:val="00107CDC"/>
    <w:rsid w:val="00113BB8"/>
    <w:rsid w:val="001228A1"/>
    <w:rsid w:val="001356B3"/>
    <w:rsid w:val="00142A52"/>
    <w:rsid w:val="00144A15"/>
    <w:rsid w:val="00153DB4"/>
    <w:rsid w:val="00157126"/>
    <w:rsid w:val="00166D39"/>
    <w:rsid w:val="0017175A"/>
    <w:rsid w:val="00173EFA"/>
    <w:rsid w:val="00175A5E"/>
    <w:rsid w:val="0018006E"/>
    <w:rsid w:val="00184151"/>
    <w:rsid w:val="0018551C"/>
    <w:rsid w:val="00194CFE"/>
    <w:rsid w:val="001963B5"/>
    <w:rsid w:val="001A07D5"/>
    <w:rsid w:val="001B4AA3"/>
    <w:rsid w:val="001C2A04"/>
    <w:rsid w:val="001C691F"/>
    <w:rsid w:val="001E33F3"/>
    <w:rsid w:val="001E5D73"/>
    <w:rsid w:val="001E70E7"/>
    <w:rsid w:val="001F374C"/>
    <w:rsid w:val="001F6256"/>
    <w:rsid w:val="001F7377"/>
    <w:rsid w:val="0020255D"/>
    <w:rsid w:val="0020269D"/>
    <w:rsid w:val="00203A59"/>
    <w:rsid w:val="00213405"/>
    <w:rsid w:val="00213F2E"/>
    <w:rsid w:val="00214116"/>
    <w:rsid w:val="002144A7"/>
    <w:rsid w:val="002166EF"/>
    <w:rsid w:val="00217202"/>
    <w:rsid w:val="002176BC"/>
    <w:rsid w:val="0022115A"/>
    <w:rsid w:val="002266AE"/>
    <w:rsid w:val="002276E8"/>
    <w:rsid w:val="0023419E"/>
    <w:rsid w:val="00234CC1"/>
    <w:rsid w:val="00236DBD"/>
    <w:rsid w:val="00245B33"/>
    <w:rsid w:val="002477EE"/>
    <w:rsid w:val="00247D00"/>
    <w:rsid w:val="00251C08"/>
    <w:rsid w:val="002635B6"/>
    <w:rsid w:val="00263C8C"/>
    <w:rsid w:val="00267AFF"/>
    <w:rsid w:val="00273BB9"/>
    <w:rsid w:val="002809BB"/>
    <w:rsid w:val="00280C35"/>
    <w:rsid w:val="00280EE6"/>
    <w:rsid w:val="0028118A"/>
    <w:rsid w:val="00281C86"/>
    <w:rsid w:val="00283DA1"/>
    <w:rsid w:val="00291CB3"/>
    <w:rsid w:val="00292080"/>
    <w:rsid w:val="002A27FE"/>
    <w:rsid w:val="002A29FA"/>
    <w:rsid w:val="002A305A"/>
    <w:rsid w:val="002A3DDD"/>
    <w:rsid w:val="002A4575"/>
    <w:rsid w:val="002A7DA8"/>
    <w:rsid w:val="002B065A"/>
    <w:rsid w:val="002B184A"/>
    <w:rsid w:val="002B188B"/>
    <w:rsid w:val="002B54E4"/>
    <w:rsid w:val="002B75BB"/>
    <w:rsid w:val="002C5A12"/>
    <w:rsid w:val="002D211C"/>
    <w:rsid w:val="002E0DF6"/>
    <w:rsid w:val="002E1CD0"/>
    <w:rsid w:val="002F6926"/>
    <w:rsid w:val="003050C6"/>
    <w:rsid w:val="00314969"/>
    <w:rsid w:val="003168D0"/>
    <w:rsid w:val="003253AB"/>
    <w:rsid w:val="00326FD0"/>
    <w:rsid w:val="003276F2"/>
    <w:rsid w:val="003312B6"/>
    <w:rsid w:val="00333115"/>
    <w:rsid w:val="0033419D"/>
    <w:rsid w:val="00337711"/>
    <w:rsid w:val="003400A2"/>
    <w:rsid w:val="003435E6"/>
    <w:rsid w:val="003517E6"/>
    <w:rsid w:val="00352609"/>
    <w:rsid w:val="00357A1D"/>
    <w:rsid w:val="0036243C"/>
    <w:rsid w:val="003730C8"/>
    <w:rsid w:val="00376679"/>
    <w:rsid w:val="00380934"/>
    <w:rsid w:val="00380BA4"/>
    <w:rsid w:val="003816B7"/>
    <w:rsid w:val="00381D3C"/>
    <w:rsid w:val="00382AB6"/>
    <w:rsid w:val="00385C92"/>
    <w:rsid w:val="00387D8F"/>
    <w:rsid w:val="0039100C"/>
    <w:rsid w:val="00392322"/>
    <w:rsid w:val="003970D8"/>
    <w:rsid w:val="003A6EB1"/>
    <w:rsid w:val="003B09B6"/>
    <w:rsid w:val="003B13AC"/>
    <w:rsid w:val="003B5F3D"/>
    <w:rsid w:val="003B6203"/>
    <w:rsid w:val="003B6966"/>
    <w:rsid w:val="003B7479"/>
    <w:rsid w:val="003C13FB"/>
    <w:rsid w:val="003D16BE"/>
    <w:rsid w:val="003D398C"/>
    <w:rsid w:val="003D4F02"/>
    <w:rsid w:val="003E5576"/>
    <w:rsid w:val="003F77BD"/>
    <w:rsid w:val="00404DE9"/>
    <w:rsid w:val="0041370B"/>
    <w:rsid w:val="004156DF"/>
    <w:rsid w:val="00417947"/>
    <w:rsid w:val="0041794C"/>
    <w:rsid w:val="00422D46"/>
    <w:rsid w:val="00424CF2"/>
    <w:rsid w:val="00427F04"/>
    <w:rsid w:val="00427FCC"/>
    <w:rsid w:val="00432551"/>
    <w:rsid w:val="00433280"/>
    <w:rsid w:val="00434346"/>
    <w:rsid w:val="00437025"/>
    <w:rsid w:val="00441D88"/>
    <w:rsid w:val="00444C6A"/>
    <w:rsid w:val="0044590D"/>
    <w:rsid w:val="0045295C"/>
    <w:rsid w:val="00460B07"/>
    <w:rsid w:val="00464585"/>
    <w:rsid w:val="00472927"/>
    <w:rsid w:val="004768DF"/>
    <w:rsid w:val="00481778"/>
    <w:rsid w:val="00487A12"/>
    <w:rsid w:val="00487DA1"/>
    <w:rsid w:val="0049348E"/>
    <w:rsid w:val="00493640"/>
    <w:rsid w:val="00494942"/>
    <w:rsid w:val="004B198B"/>
    <w:rsid w:val="004C1F52"/>
    <w:rsid w:val="004C2775"/>
    <w:rsid w:val="004C515D"/>
    <w:rsid w:val="004C5D96"/>
    <w:rsid w:val="004C74A0"/>
    <w:rsid w:val="004C7EB8"/>
    <w:rsid w:val="004D1E4D"/>
    <w:rsid w:val="004D39C9"/>
    <w:rsid w:val="004E0443"/>
    <w:rsid w:val="004E2C49"/>
    <w:rsid w:val="004E348B"/>
    <w:rsid w:val="004E34DC"/>
    <w:rsid w:val="004E7197"/>
    <w:rsid w:val="004F2892"/>
    <w:rsid w:val="004F703C"/>
    <w:rsid w:val="005003E7"/>
    <w:rsid w:val="00504BF3"/>
    <w:rsid w:val="005072F9"/>
    <w:rsid w:val="00513380"/>
    <w:rsid w:val="00513E37"/>
    <w:rsid w:val="00524870"/>
    <w:rsid w:val="00524B34"/>
    <w:rsid w:val="00525731"/>
    <w:rsid w:val="00532579"/>
    <w:rsid w:val="0054325C"/>
    <w:rsid w:val="00544EEF"/>
    <w:rsid w:val="00545373"/>
    <w:rsid w:val="00545EC0"/>
    <w:rsid w:val="00545EDE"/>
    <w:rsid w:val="005639C2"/>
    <w:rsid w:val="00574844"/>
    <w:rsid w:val="00575265"/>
    <w:rsid w:val="005817DD"/>
    <w:rsid w:val="00583389"/>
    <w:rsid w:val="00584BEE"/>
    <w:rsid w:val="005854DB"/>
    <w:rsid w:val="00590C8F"/>
    <w:rsid w:val="00595C48"/>
    <w:rsid w:val="005A08EC"/>
    <w:rsid w:val="005A17B4"/>
    <w:rsid w:val="005A2809"/>
    <w:rsid w:val="005A76A6"/>
    <w:rsid w:val="005C1612"/>
    <w:rsid w:val="005C5C10"/>
    <w:rsid w:val="005C7E63"/>
    <w:rsid w:val="005D2433"/>
    <w:rsid w:val="005D5524"/>
    <w:rsid w:val="005D71A7"/>
    <w:rsid w:val="005E0F41"/>
    <w:rsid w:val="005E35B0"/>
    <w:rsid w:val="005F0359"/>
    <w:rsid w:val="005F0425"/>
    <w:rsid w:val="005F0AFA"/>
    <w:rsid w:val="005F3CB3"/>
    <w:rsid w:val="006012A2"/>
    <w:rsid w:val="00603515"/>
    <w:rsid w:val="00606588"/>
    <w:rsid w:val="0061043A"/>
    <w:rsid w:val="00612BF4"/>
    <w:rsid w:val="00612CFC"/>
    <w:rsid w:val="0061311D"/>
    <w:rsid w:val="006159A6"/>
    <w:rsid w:val="006163FB"/>
    <w:rsid w:val="00617A5C"/>
    <w:rsid w:val="006241F5"/>
    <w:rsid w:val="00626488"/>
    <w:rsid w:val="00626B3C"/>
    <w:rsid w:val="00626D28"/>
    <w:rsid w:val="006329FE"/>
    <w:rsid w:val="00633E3B"/>
    <w:rsid w:val="006355AB"/>
    <w:rsid w:val="006363A6"/>
    <w:rsid w:val="0063694C"/>
    <w:rsid w:val="0064351C"/>
    <w:rsid w:val="0064364C"/>
    <w:rsid w:val="0065373C"/>
    <w:rsid w:val="006575C7"/>
    <w:rsid w:val="006614BF"/>
    <w:rsid w:val="00667192"/>
    <w:rsid w:val="00667197"/>
    <w:rsid w:val="00667764"/>
    <w:rsid w:val="006762F8"/>
    <w:rsid w:val="00682CB6"/>
    <w:rsid w:val="00685F9D"/>
    <w:rsid w:val="00691D2F"/>
    <w:rsid w:val="00692C5A"/>
    <w:rsid w:val="00695B93"/>
    <w:rsid w:val="0069773B"/>
    <w:rsid w:val="006A00EE"/>
    <w:rsid w:val="006A22EA"/>
    <w:rsid w:val="006A5EA6"/>
    <w:rsid w:val="006A76B2"/>
    <w:rsid w:val="006B2225"/>
    <w:rsid w:val="006B486C"/>
    <w:rsid w:val="006B6485"/>
    <w:rsid w:val="006B6842"/>
    <w:rsid w:val="006B6F66"/>
    <w:rsid w:val="006C1F9B"/>
    <w:rsid w:val="006C647B"/>
    <w:rsid w:val="006D53B3"/>
    <w:rsid w:val="006D6449"/>
    <w:rsid w:val="006D74F9"/>
    <w:rsid w:val="006E02F2"/>
    <w:rsid w:val="006E7106"/>
    <w:rsid w:val="006F175C"/>
    <w:rsid w:val="00701B0E"/>
    <w:rsid w:val="007026D4"/>
    <w:rsid w:val="00710992"/>
    <w:rsid w:val="00711145"/>
    <w:rsid w:val="00713EC2"/>
    <w:rsid w:val="00723418"/>
    <w:rsid w:val="00723E5A"/>
    <w:rsid w:val="00736906"/>
    <w:rsid w:val="0073701E"/>
    <w:rsid w:val="00737110"/>
    <w:rsid w:val="0074275E"/>
    <w:rsid w:val="00743DD4"/>
    <w:rsid w:val="00752DD6"/>
    <w:rsid w:val="007545F3"/>
    <w:rsid w:val="0075774B"/>
    <w:rsid w:val="007607A7"/>
    <w:rsid w:val="00763ABE"/>
    <w:rsid w:val="0076431E"/>
    <w:rsid w:val="00772E0A"/>
    <w:rsid w:val="00773CB8"/>
    <w:rsid w:val="00775F97"/>
    <w:rsid w:val="0077760C"/>
    <w:rsid w:val="00781A7E"/>
    <w:rsid w:val="007861AE"/>
    <w:rsid w:val="007902E0"/>
    <w:rsid w:val="00792610"/>
    <w:rsid w:val="00792CCF"/>
    <w:rsid w:val="00794DFB"/>
    <w:rsid w:val="00797D8A"/>
    <w:rsid w:val="007A18BD"/>
    <w:rsid w:val="007A32A6"/>
    <w:rsid w:val="007A6B55"/>
    <w:rsid w:val="007B170A"/>
    <w:rsid w:val="007B3547"/>
    <w:rsid w:val="007B41D3"/>
    <w:rsid w:val="007B45EB"/>
    <w:rsid w:val="007B5BCB"/>
    <w:rsid w:val="007B5E2E"/>
    <w:rsid w:val="007B6E7B"/>
    <w:rsid w:val="007C1E48"/>
    <w:rsid w:val="007C3017"/>
    <w:rsid w:val="007C38AE"/>
    <w:rsid w:val="007C4C35"/>
    <w:rsid w:val="007C7BF0"/>
    <w:rsid w:val="007D1BE6"/>
    <w:rsid w:val="007D653E"/>
    <w:rsid w:val="007D6B53"/>
    <w:rsid w:val="007D6C25"/>
    <w:rsid w:val="007D6ECD"/>
    <w:rsid w:val="007E434C"/>
    <w:rsid w:val="007E5505"/>
    <w:rsid w:val="007F275F"/>
    <w:rsid w:val="007F793A"/>
    <w:rsid w:val="00801C34"/>
    <w:rsid w:val="00802046"/>
    <w:rsid w:val="00810AE9"/>
    <w:rsid w:val="008118B4"/>
    <w:rsid w:val="00812DBF"/>
    <w:rsid w:val="00813F4C"/>
    <w:rsid w:val="0081466B"/>
    <w:rsid w:val="00815430"/>
    <w:rsid w:val="0081707D"/>
    <w:rsid w:val="00820C80"/>
    <w:rsid w:val="00822EFC"/>
    <w:rsid w:val="008248C7"/>
    <w:rsid w:val="0084531E"/>
    <w:rsid w:val="0085371A"/>
    <w:rsid w:val="00856635"/>
    <w:rsid w:val="008608C4"/>
    <w:rsid w:val="008660C6"/>
    <w:rsid w:val="00883578"/>
    <w:rsid w:val="00885B75"/>
    <w:rsid w:val="00886B6B"/>
    <w:rsid w:val="0089012D"/>
    <w:rsid w:val="00890672"/>
    <w:rsid w:val="00891798"/>
    <w:rsid w:val="00894114"/>
    <w:rsid w:val="0089450A"/>
    <w:rsid w:val="008A146B"/>
    <w:rsid w:val="008A41A6"/>
    <w:rsid w:val="008A65E8"/>
    <w:rsid w:val="008A77C4"/>
    <w:rsid w:val="008A77E5"/>
    <w:rsid w:val="008A7ED8"/>
    <w:rsid w:val="008B049D"/>
    <w:rsid w:val="008B41B3"/>
    <w:rsid w:val="008C5136"/>
    <w:rsid w:val="008C7A29"/>
    <w:rsid w:val="008D4B5F"/>
    <w:rsid w:val="008D4C16"/>
    <w:rsid w:val="008D58F1"/>
    <w:rsid w:val="008D67FC"/>
    <w:rsid w:val="008E43B4"/>
    <w:rsid w:val="008E46ED"/>
    <w:rsid w:val="008F258E"/>
    <w:rsid w:val="008F3734"/>
    <w:rsid w:val="008F7D50"/>
    <w:rsid w:val="00901973"/>
    <w:rsid w:val="00902771"/>
    <w:rsid w:val="009031A8"/>
    <w:rsid w:val="0090364B"/>
    <w:rsid w:val="00904E7E"/>
    <w:rsid w:val="0091292C"/>
    <w:rsid w:val="00921B08"/>
    <w:rsid w:val="009249E6"/>
    <w:rsid w:val="009340D0"/>
    <w:rsid w:val="0094143F"/>
    <w:rsid w:val="009422D6"/>
    <w:rsid w:val="0094600F"/>
    <w:rsid w:val="00950DB5"/>
    <w:rsid w:val="00951091"/>
    <w:rsid w:val="00960993"/>
    <w:rsid w:val="009666C3"/>
    <w:rsid w:val="00982737"/>
    <w:rsid w:val="00983EB5"/>
    <w:rsid w:val="009847D3"/>
    <w:rsid w:val="00984E3A"/>
    <w:rsid w:val="009851E8"/>
    <w:rsid w:val="00987502"/>
    <w:rsid w:val="00992FE3"/>
    <w:rsid w:val="009949BD"/>
    <w:rsid w:val="0099583C"/>
    <w:rsid w:val="00997EC3"/>
    <w:rsid w:val="009A02E1"/>
    <w:rsid w:val="009A14D8"/>
    <w:rsid w:val="009A35D9"/>
    <w:rsid w:val="009A40C7"/>
    <w:rsid w:val="009A4D35"/>
    <w:rsid w:val="009A731B"/>
    <w:rsid w:val="009B325E"/>
    <w:rsid w:val="009B6911"/>
    <w:rsid w:val="009D208A"/>
    <w:rsid w:val="009D41DD"/>
    <w:rsid w:val="009D4259"/>
    <w:rsid w:val="009D6F6B"/>
    <w:rsid w:val="009D7F88"/>
    <w:rsid w:val="009E0EF9"/>
    <w:rsid w:val="009E5572"/>
    <w:rsid w:val="009F3608"/>
    <w:rsid w:val="009F3856"/>
    <w:rsid w:val="009F5C67"/>
    <w:rsid w:val="00A0242E"/>
    <w:rsid w:val="00A0256B"/>
    <w:rsid w:val="00A03B31"/>
    <w:rsid w:val="00A04772"/>
    <w:rsid w:val="00A075F3"/>
    <w:rsid w:val="00A10723"/>
    <w:rsid w:val="00A1137A"/>
    <w:rsid w:val="00A1495A"/>
    <w:rsid w:val="00A20F4E"/>
    <w:rsid w:val="00A35F8A"/>
    <w:rsid w:val="00A41550"/>
    <w:rsid w:val="00A41BE8"/>
    <w:rsid w:val="00A45DC5"/>
    <w:rsid w:val="00A5319D"/>
    <w:rsid w:val="00A62595"/>
    <w:rsid w:val="00A670D8"/>
    <w:rsid w:val="00A73931"/>
    <w:rsid w:val="00A761EA"/>
    <w:rsid w:val="00A769E7"/>
    <w:rsid w:val="00A775AB"/>
    <w:rsid w:val="00A86DCA"/>
    <w:rsid w:val="00A90096"/>
    <w:rsid w:val="00A90702"/>
    <w:rsid w:val="00A92300"/>
    <w:rsid w:val="00A939F3"/>
    <w:rsid w:val="00A974E9"/>
    <w:rsid w:val="00A9778F"/>
    <w:rsid w:val="00AA0583"/>
    <w:rsid w:val="00AA5296"/>
    <w:rsid w:val="00AB275A"/>
    <w:rsid w:val="00AB4C92"/>
    <w:rsid w:val="00AB774D"/>
    <w:rsid w:val="00AD1DAF"/>
    <w:rsid w:val="00AD28B1"/>
    <w:rsid w:val="00AD2ECA"/>
    <w:rsid w:val="00AD4FEE"/>
    <w:rsid w:val="00AD5440"/>
    <w:rsid w:val="00AE3E44"/>
    <w:rsid w:val="00AE7E57"/>
    <w:rsid w:val="00AF77F8"/>
    <w:rsid w:val="00B007FF"/>
    <w:rsid w:val="00B02616"/>
    <w:rsid w:val="00B107C4"/>
    <w:rsid w:val="00B148EB"/>
    <w:rsid w:val="00B16C24"/>
    <w:rsid w:val="00B2079D"/>
    <w:rsid w:val="00B223C2"/>
    <w:rsid w:val="00B345F4"/>
    <w:rsid w:val="00B34F2D"/>
    <w:rsid w:val="00B402B4"/>
    <w:rsid w:val="00B4158C"/>
    <w:rsid w:val="00B50A52"/>
    <w:rsid w:val="00B577A1"/>
    <w:rsid w:val="00B64D85"/>
    <w:rsid w:val="00B652DC"/>
    <w:rsid w:val="00B6650A"/>
    <w:rsid w:val="00B676E6"/>
    <w:rsid w:val="00B710A4"/>
    <w:rsid w:val="00B735A2"/>
    <w:rsid w:val="00B770FD"/>
    <w:rsid w:val="00B82EC4"/>
    <w:rsid w:val="00B85A36"/>
    <w:rsid w:val="00B87E45"/>
    <w:rsid w:val="00B90437"/>
    <w:rsid w:val="00B93F5E"/>
    <w:rsid w:val="00B953D7"/>
    <w:rsid w:val="00B95407"/>
    <w:rsid w:val="00BA079E"/>
    <w:rsid w:val="00BA201E"/>
    <w:rsid w:val="00BA7803"/>
    <w:rsid w:val="00BB378F"/>
    <w:rsid w:val="00BC17CD"/>
    <w:rsid w:val="00BC424A"/>
    <w:rsid w:val="00BC5CED"/>
    <w:rsid w:val="00BC5F1D"/>
    <w:rsid w:val="00BD0657"/>
    <w:rsid w:val="00BD32E8"/>
    <w:rsid w:val="00BE1473"/>
    <w:rsid w:val="00BE4242"/>
    <w:rsid w:val="00BF571E"/>
    <w:rsid w:val="00C06456"/>
    <w:rsid w:val="00C07EC9"/>
    <w:rsid w:val="00C265B0"/>
    <w:rsid w:val="00C26EDE"/>
    <w:rsid w:val="00C30EAC"/>
    <w:rsid w:val="00C31686"/>
    <w:rsid w:val="00C36373"/>
    <w:rsid w:val="00C40A67"/>
    <w:rsid w:val="00C41777"/>
    <w:rsid w:val="00C46131"/>
    <w:rsid w:val="00C47801"/>
    <w:rsid w:val="00C50D1E"/>
    <w:rsid w:val="00C510C9"/>
    <w:rsid w:val="00C5179B"/>
    <w:rsid w:val="00C526B0"/>
    <w:rsid w:val="00C623D1"/>
    <w:rsid w:val="00C75334"/>
    <w:rsid w:val="00C777B5"/>
    <w:rsid w:val="00C815B0"/>
    <w:rsid w:val="00C82E9C"/>
    <w:rsid w:val="00CA5B8D"/>
    <w:rsid w:val="00CB239C"/>
    <w:rsid w:val="00CC3FBF"/>
    <w:rsid w:val="00CC42DC"/>
    <w:rsid w:val="00CD462A"/>
    <w:rsid w:val="00CE63AD"/>
    <w:rsid w:val="00CE744E"/>
    <w:rsid w:val="00CF11BF"/>
    <w:rsid w:val="00CF1B3E"/>
    <w:rsid w:val="00CF42EC"/>
    <w:rsid w:val="00D00E2D"/>
    <w:rsid w:val="00D01EC4"/>
    <w:rsid w:val="00D01F40"/>
    <w:rsid w:val="00D064D4"/>
    <w:rsid w:val="00D135A0"/>
    <w:rsid w:val="00D14C00"/>
    <w:rsid w:val="00D21AA4"/>
    <w:rsid w:val="00D2634B"/>
    <w:rsid w:val="00D26977"/>
    <w:rsid w:val="00D32927"/>
    <w:rsid w:val="00D3542B"/>
    <w:rsid w:val="00D35C83"/>
    <w:rsid w:val="00D431A5"/>
    <w:rsid w:val="00D4381C"/>
    <w:rsid w:val="00D54390"/>
    <w:rsid w:val="00D54EDA"/>
    <w:rsid w:val="00D62A4D"/>
    <w:rsid w:val="00D630D1"/>
    <w:rsid w:val="00D67185"/>
    <w:rsid w:val="00D678F6"/>
    <w:rsid w:val="00D746DB"/>
    <w:rsid w:val="00D84680"/>
    <w:rsid w:val="00D93F43"/>
    <w:rsid w:val="00D97C32"/>
    <w:rsid w:val="00DA1F03"/>
    <w:rsid w:val="00DA3508"/>
    <w:rsid w:val="00DA4635"/>
    <w:rsid w:val="00DA532E"/>
    <w:rsid w:val="00DB0CD7"/>
    <w:rsid w:val="00DB71BC"/>
    <w:rsid w:val="00DC1E4D"/>
    <w:rsid w:val="00DC22F0"/>
    <w:rsid w:val="00DC3BF8"/>
    <w:rsid w:val="00DC583A"/>
    <w:rsid w:val="00DD4677"/>
    <w:rsid w:val="00DD4CCF"/>
    <w:rsid w:val="00DD70B3"/>
    <w:rsid w:val="00DE271F"/>
    <w:rsid w:val="00DE63F6"/>
    <w:rsid w:val="00DF5070"/>
    <w:rsid w:val="00E00D6E"/>
    <w:rsid w:val="00E05A46"/>
    <w:rsid w:val="00E0640F"/>
    <w:rsid w:val="00E10D0E"/>
    <w:rsid w:val="00E110D0"/>
    <w:rsid w:val="00E144C3"/>
    <w:rsid w:val="00E239A9"/>
    <w:rsid w:val="00E303DC"/>
    <w:rsid w:val="00E3165B"/>
    <w:rsid w:val="00E31DF6"/>
    <w:rsid w:val="00E32424"/>
    <w:rsid w:val="00E32F13"/>
    <w:rsid w:val="00E34F77"/>
    <w:rsid w:val="00E3553F"/>
    <w:rsid w:val="00E41CB2"/>
    <w:rsid w:val="00E43983"/>
    <w:rsid w:val="00E46097"/>
    <w:rsid w:val="00E46CED"/>
    <w:rsid w:val="00E506C6"/>
    <w:rsid w:val="00E575E4"/>
    <w:rsid w:val="00E61D3A"/>
    <w:rsid w:val="00E66301"/>
    <w:rsid w:val="00E84A05"/>
    <w:rsid w:val="00E851FE"/>
    <w:rsid w:val="00E85869"/>
    <w:rsid w:val="00E90A8C"/>
    <w:rsid w:val="00E92243"/>
    <w:rsid w:val="00EA410F"/>
    <w:rsid w:val="00EA7211"/>
    <w:rsid w:val="00EB279E"/>
    <w:rsid w:val="00EB658E"/>
    <w:rsid w:val="00EB731C"/>
    <w:rsid w:val="00EB7863"/>
    <w:rsid w:val="00EC45CE"/>
    <w:rsid w:val="00EC4667"/>
    <w:rsid w:val="00ED0421"/>
    <w:rsid w:val="00ED3722"/>
    <w:rsid w:val="00ED4437"/>
    <w:rsid w:val="00ED7F81"/>
    <w:rsid w:val="00EE51CB"/>
    <w:rsid w:val="00EE5681"/>
    <w:rsid w:val="00EF3E4A"/>
    <w:rsid w:val="00EF45EE"/>
    <w:rsid w:val="00EF7308"/>
    <w:rsid w:val="00F11221"/>
    <w:rsid w:val="00F16BA3"/>
    <w:rsid w:val="00F2251D"/>
    <w:rsid w:val="00F26F57"/>
    <w:rsid w:val="00F443A8"/>
    <w:rsid w:val="00F55EC5"/>
    <w:rsid w:val="00F56D07"/>
    <w:rsid w:val="00F56FC8"/>
    <w:rsid w:val="00F61ACC"/>
    <w:rsid w:val="00F61B66"/>
    <w:rsid w:val="00F6397A"/>
    <w:rsid w:val="00F63D22"/>
    <w:rsid w:val="00F66DB6"/>
    <w:rsid w:val="00F70EF9"/>
    <w:rsid w:val="00F77D22"/>
    <w:rsid w:val="00F8148B"/>
    <w:rsid w:val="00F83189"/>
    <w:rsid w:val="00F85D82"/>
    <w:rsid w:val="00F91066"/>
    <w:rsid w:val="00F921B0"/>
    <w:rsid w:val="00F96E0F"/>
    <w:rsid w:val="00FA2ADD"/>
    <w:rsid w:val="00FA2E41"/>
    <w:rsid w:val="00FB11B2"/>
    <w:rsid w:val="00FB3872"/>
    <w:rsid w:val="00FB74ED"/>
    <w:rsid w:val="00FB7ED6"/>
    <w:rsid w:val="00FC1695"/>
    <w:rsid w:val="00FC6FB6"/>
    <w:rsid w:val="00FC7989"/>
    <w:rsid w:val="00FC7B23"/>
    <w:rsid w:val="00FD17F0"/>
    <w:rsid w:val="00FD3BB5"/>
    <w:rsid w:val="00FD680F"/>
    <w:rsid w:val="00FD7084"/>
    <w:rsid w:val="00FE270E"/>
    <w:rsid w:val="00FE3D40"/>
    <w:rsid w:val="00FE4832"/>
    <w:rsid w:val="00FF01A1"/>
    <w:rsid w:val="00FF41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CD4F45"/>
  <w15:chartTrackingRefBased/>
  <w15:docId w15:val="{533B83E5-FFA9-4112-978D-03FC44313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45B33"/>
    <w:pPr>
      <w:ind w:left="720"/>
      <w:contextualSpacing/>
    </w:pPr>
  </w:style>
  <w:style w:type="character" w:customStyle="1" w:styleId="ListParagraphChar">
    <w:name w:val="List Paragraph Char"/>
    <w:basedOn w:val="DefaultParagraphFont"/>
    <w:link w:val="ListParagraph"/>
    <w:uiPriority w:val="34"/>
    <w:locked/>
    <w:rsid w:val="00245B33"/>
  </w:style>
  <w:style w:type="character" w:styleId="Hyperlink">
    <w:name w:val="Hyperlink"/>
    <w:basedOn w:val="DefaultParagraphFont"/>
    <w:uiPriority w:val="99"/>
    <w:unhideWhenUsed/>
    <w:rsid w:val="00245B33"/>
    <w:rPr>
      <w:color w:val="0000FF"/>
      <w:u w:val="single"/>
    </w:rPr>
  </w:style>
  <w:style w:type="table" w:styleId="TableGrid">
    <w:name w:val="Table Grid"/>
    <w:basedOn w:val="TableNormal"/>
    <w:uiPriority w:val="39"/>
    <w:rsid w:val="008A7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6926"/>
    <w:pPr>
      <w:tabs>
        <w:tab w:val="center" w:pos="4536"/>
        <w:tab w:val="right" w:pos="9072"/>
      </w:tabs>
      <w:spacing w:after="0" w:line="240" w:lineRule="auto"/>
    </w:pPr>
  </w:style>
  <w:style w:type="character" w:customStyle="1" w:styleId="HeaderChar">
    <w:name w:val="Header Char"/>
    <w:basedOn w:val="DefaultParagraphFont"/>
    <w:link w:val="Header"/>
    <w:uiPriority w:val="99"/>
    <w:rsid w:val="002F6926"/>
  </w:style>
  <w:style w:type="paragraph" w:styleId="Footer">
    <w:name w:val="footer"/>
    <w:basedOn w:val="Normal"/>
    <w:link w:val="FooterChar"/>
    <w:uiPriority w:val="99"/>
    <w:unhideWhenUsed/>
    <w:rsid w:val="002F6926"/>
    <w:pPr>
      <w:tabs>
        <w:tab w:val="center" w:pos="4536"/>
        <w:tab w:val="right" w:pos="9072"/>
      </w:tabs>
      <w:spacing w:after="0" w:line="240" w:lineRule="auto"/>
    </w:pPr>
  </w:style>
  <w:style w:type="character" w:customStyle="1" w:styleId="FooterChar">
    <w:name w:val="Footer Char"/>
    <w:basedOn w:val="DefaultParagraphFont"/>
    <w:link w:val="Footer"/>
    <w:uiPriority w:val="99"/>
    <w:rsid w:val="002F6926"/>
  </w:style>
  <w:style w:type="paragraph" w:styleId="NormalWeb">
    <w:name w:val="Normal (Web)"/>
    <w:basedOn w:val="Normal"/>
    <w:link w:val="NormalWebChar"/>
    <w:uiPriority w:val="99"/>
    <w:unhideWhenUsed/>
    <w:rsid w:val="009A731B"/>
    <w:pPr>
      <w:spacing w:before="100" w:beforeAutospacing="1" w:after="100" w:afterAutospacing="1" w:line="240" w:lineRule="auto"/>
      <w:jc w:val="both"/>
    </w:pPr>
    <w:rPr>
      <w:rFonts w:ascii="Times New Roman" w:eastAsia="Times New Roman" w:hAnsi="Times New Roman" w:cs="Times New Roman"/>
      <w:kern w:val="0"/>
      <w:sz w:val="24"/>
      <w:szCs w:val="24"/>
      <w:lang w:eastAsia="fr-FR"/>
      <w14:ligatures w14:val="none"/>
    </w:rPr>
  </w:style>
  <w:style w:type="character" w:customStyle="1" w:styleId="NormalWebChar">
    <w:name w:val="Normal (Web) Char"/>
    <w:link w:val="NormalWeb"/>
    <w:uiPriority w:val="99"/>
    <w:locked/>
    <w:rsid w:val="009A731B"/>
    <w:rPr>
      <w:rFonts w:ascii="Times New Roman" w:eastAsia="Times New Roman" w:hAnsi="Times New Roman" w:cs="Times New Roman"/>
      <w:kern w:val="0"/>
      <w:sz w:val="24"/>
      <w:szCs w:val="24"/>
      <w:lang w:eastAsia="fr-FR"/>
      <w14:ligatures w14:val="none"/>
    </w:rPr>
  </w:style>
  <w:style w:type="character" w:styleId="PlaceholderText">
    <w:name w:val="Placeholder Text"/>
    <w:basedOn w:val="DefaultParagraphFont"/>
    <w:uiPriority w:val="99"/>
    <w:semiHidden/>
    <w:rsid w:val="00583389"/>
    <w:rPr>
      <w:color w:val="666666"/>
    </w:rPr>
  </w:style>
  <w:style w:type="character" w:customStyle="1" w:styleId="fontstyle01">
    <w:name w:val="fontstyle01"/>
    <w:basedOn w:val="DefaultParagraphFont"/>
    <w:rsid w:val="006D53B3"/>
    <w:rPr>
      <w:rFonts w:ascii="CharisSIL" w:hAnsi="CharisSIL" w:hint="default"/>
      <w:b w:val="0"/>
      <w:bCs w:val="0"/>
      <w:i w:val="0"/>
      <w:iCs w:val="0"/>
      <w:color w:val="000000"/>
      <w:sz w:val="16"/>
      <w:szCs w:val="16"/>
    </w:rPr>
  </w:style>
  <w:style w:type="character" w:customStyle="1" w:styleId="fontstyle21">
    <w:name w:val="fontstyle21"/>
    <w:basedOn w:val="DefaultParagraphFont"/>
    <w:rsid w:val="006D53B3"/>
    <w:rPr>
      <w:rFonts w:ascii="TeX_CM_Maths_Symbols" w:hAnsi="TeX_CM_Maths_Symbols" w:hint="default"/>
      <w:b w:val="0"/>
      <w:bCs w:val="0"/>
      <w:i w:val="0"/>
      <w:iCs w:val="0"/>
      <w:color w:val="000000"/>
      <w:sz w:val="12"/>
      <w:szCs w:val="12"/>
    </w:rPr>
  </w:style>
  <w:style w:type="character" w:customStyle="1" w:styleId="fontstyle31">
    <w:name w:val="fontstyle31"/>
    <w:basedOn w:val="DefaultParagraphFont"/>
    <w:rsid w:val="006D53B3"/>
    <w:rPr>
      <w:rFonts w:ascii="CharisSIL-Bold" w:hAnsi="CharisSIL-Bold" w:hint="default"/>
      <w:b/>
      <w:bCs/>
      <w:i w:val="0"/>
      <w:iCs w:val="0"/>
      <w:color w:val="000000"/>
      <w:sz w:val="16"/>
      <w:szCs w:val="16"/>
    </w:rPr>
  </w:style>
  <w:style w:type="character" w:customStyle="1" w:styleId="fontstyle41">
    <w:name w:val="fontstyle41"/>
    <w:basedOn w:val="DefaultParagraphFont"/>
    <w:rsid w:val="006D53B3"/>
    <w:rPr>
      <w:rFonts w:ascii="TimesNewRomanPSMT" w:hAnsi="TimesNewRomanPSMT" w:hint="default"/>
      <w:b w:val="0"/>
      <w:bCs w:val="0"/>
      <w:i w:val="0"/>
      <w:iCs w:val="0"/>
      <w:color w:val="2196D1"/>
      <w:sz w:val="16"/>
      <w:szCs w:val="16"/>
    </w:rPr>
  </w:style>
  <w:style w:type="character" w:styleId="LineNumber">
    <w:name w:val="line number"/>
    <w:basedOn w:val="DefaultParagraphFont"/>
    <w:uiPriority w:val="99"/>
    <w:semiHidden/>
    <w:unhideWhenUsed/>
    <w:rsid w:val="0001071D"/>
  </w:style>
  <w:style w:type="character" w:styleId="UnresolvedMention">
    <w:name w:val="Unresolved Mention"/>
    <w:basedOn w:val="DefaultParagraphFont"/>
    <w:uiPriority w:val="99"/>
    <w:semiHidden/>
    <w:unhideWhenUsed/>
    <w:rsid w:val="00AD4F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112129">
      <w:bodyDiv w:val="1"/>
      <w:marLeft w:val="0"/>
      <w:marRight w:val="0"/>
      <w:marTop w:val="0"/>
      <w:marBottom w:val="0"/>
      <w:divBdr>
        <w:top w:val="none" w:sz="0" w:space="0" w:color="auto"/>
        <w:left w:val="none" w:sz="0" w:space="0" w:color="auto"/>
        <w:bottom w:val="none" w:sz="0" w:space="0" w:color="auto"/>
        <w:right w:val="none" w:sz="0" w:space="0" w:color="auto"/>
      </w:divBdr>
    </w:div>
    <w:div w:id="90630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5.tif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6.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C38CF-9299-4BBB-9473-9D3856D3B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2468</TotalTime>
  <Pages>23</Pages>
  <Words>25524</Words>
  <Characters>145488</Characters>
  <Application>Microsoft Office Word</Application>
  <DocSecurity>0</DocSecurity>
  <Lines>1212</Lines>
  <Paragraphs>341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170671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Arymel</dc:creator>
  <cp:keywords/>
  <dc:description/>
  <cp:lastModifiedBy>SDI 1084</cp:lastModifiedBy>
  <cp:revision>104</cp:revision>
  <dcterms:created xsi:type="dcterms:W3CDTF">2025-02-01T16:17:00Z</dcterms:created>
  <dcterms:modified xsi:type="dcterms:W3CDTF">2025-02-07T12:50:00Z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12th edition - Harvard</vt:lpwstr>
  </property>
  <property fmtid="{D5CDD505-2E9C-101B-9397-08002B2CF9AE}" pid="10" name="Mendeley Recent Style Id 4_1">
    <vt:lpwstr>http://www.zotero.org/styles/elsevier-vancouver</vt:lpwstr>
  </property>
  <property fmtid="{D5CDD505-2E9C-101B-9397-08002B2CF9AE}" pid="11" name="Mendeley Recent Style Name 4_1">
    <vt:lpwstr>Elsevier - Vancouver</vt:lpwstr>
  </property>
  <property fmtid="{D5CDD505-2E9C-101B-9397-08002B2CF9AE}" pid="12" name="Mendeley Recent Style Id 5_1">
    <vt:lpwstr>http://www.zotero.org/styles/elsevier-vancouver-author-date</vt:lpwstr>
  </property>
  <property fmtid="{D5CDD505-2E9C-101B-9397-08002B2CF9AE}" pid="13" name="Mendeley Recent Style Name 5_1">
    <vt:lpwstr>Elsevier - Vancouver (author-date)</vt:lpwstr>
  </property>
  <property fmtid="{D5CDD505-2E9C-101B-9397-08002B2CF9AE}" pid="14" name="Mendeley Recent Style Id 6_1">
    <vt:lpwstr>http://www.zotero.org/styles/food-bioscience</vt:lpwstr>
  </property>
  <property fmtid="{D5CDD505-2E9C-101B-9397-08002B2CF9AE}" pid="15" name="Mendeley Recent Style Name 6_1">
    <vt:lpwstr>Food Bioscience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http://www.zotero.org/styles/south-african-journal-of-botany</vt:lpwstr>
  </property>
  <property fmtid="{D5CDD505-2E9C-101B-9397-08002B2CF9AE}" pid="19" name="Mendeley Recent Style Name 8_1">
    <vt:lpwstr>South African Journal of Botany</vt:lpwstr>
  </property>
  <property fmtid="{D5CDD505-2E9C-101B-9397-08002B2CF9AE}" pid="20" name="Mendeley Recent Style Id 9_1">
    <vt:lpwstr>http://www.zotero.org/styles/springer-vancouver</vt:lpwstr>
  </property>
  <property fmtid="{D5CDD505-2E9C-101B-9397-08002B2CF9AE}" pid="21" name="Mendeley Recent Style Name 9_1">
    <vt:lpwstr>Springer - Vancouver</vt:lpwstr>
  </property>
  <property fmtid="{D5CDD505-2E9C-101B-9397-08002B2CF9AE}" pid="22" name="Mendeley Document_1">
    <vt:lpwstr>True</vt:lpwstr>
  </property>
  <property fmtid="{D5CDD505-2E9C-101B-9397-08002B2CF9AE}" pid="23" name="Mendeley Unique User Id_1">
    <vt:lpwstr>f4a8946f-5915-3795-8045-c086df93df8b</vt:lpwstr>
  </property>
  <property fmtid="{D5CDD505-2E9C-101B-9397-08002B2CF9AE}" pid="24" name="Mendeley Citation Style_1">
    <vt:lpwstr>http://www.zotero.org/styles/apa</vt:lpwstr>
  </property>
</Properties>
</file>