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73EC1A" w14:textId="77777777" w:rsidR="008E345C" w:rsidRDefault="002E488D">
      <w:pPr>
        <w:jc w:val="center"/>
        <w:rPr>
          <w:b/>
          <w:sz w:val="36"/>
          <w:szCs w:val="24"/>
        </w:rPr>
      </w:pPr>
      <w:r w:rsidRPr="00014558">
        <w:rPr>
          <w:b/>
          <w:sz w:val="36"/>
          <w:szCs w:val="24"/>
        </w:rPr>
        <w:t>Tokenization of Agricultural Assets: Strengthening Blockchain Security in Agri-Finance and Investment Models Against Fraud and Cyber Risks</w:t>
      </w:r>
    </w:p>
    <w:p w14:paraId="3E9B32D4" w14:textId="77777777" w:rsidR="00E827BB" w:rsidRDefault="00E827BB">
      <w:pPr>
        <w:jc w:val="center"/>
        <w:rPr>
          <w:b/>
          <w:sz w:val="36"/>
          <w:szCs w:val="24"/>
        </w:rPr>
      </w:pPr>
    </w:p>
    <w:p w14:paraId="248FA03D" w14:textId="77777777" w:rsidR="00E827BB" w:rsidRDefault="00E827BB">
      <w:pPr>
        <w:jc w:val="center"/>
        <w:rPr>
          <w:b/>
          <w:sz w:val="36"/>
          <w:szCs w:val="24"/>
        </w:rPr>
      </w:pPr>
    </w:p>
    <w:p w14:paraId="6B356F12" w14:textId="77777777" w:rsidR="00DC7479" w:rsidRPr="00014558" w:rsidRDefault="00DC7479" w:rsidP="009837B7">
      <w:pPr>
        <w:pStyle w:val="NormalWeb"/>
        <w:rPr>
          <w:rFonts w:ascii="Arial" w:hAnsi="Arial" w:cs="Arial"/>
          <w:b/>
        </w:rPr>
      </w:pPr>
      <w:bookmarkStart w:id="0" w:name="_GoBack"/>
      <w:bookmarkEnd w:id="0"/>
      <w:r w:rsidRPr="00014558">
        <w:rPr>
          <w:rFonts w:ascii="Arial" w:hAnsi="Arial" w:cs="Arial"/>
          <w:b/>
        </w:rPr>
        <w:t>Abstract</w:t>
      </w:r>
    </w:p>
    <w:p w14:paraId="7BF2E645" w14:textId="77777777" w:rsidR="00DC7479" w:rsidRPr="00014558" w:rsidRDefault="00DC7479" w:rsidP="00DC7479">
      <w:pPr>
        <w:pStyle w:val="NormalWeb"/>
        <w:jc w:val="both"/>
        <w:rPr>
          <w:rFonts w:ascii="Arial" w:hAnsi="Arial" w:cs="Arial"/>
          <w:i/>
          <w:iCs/>
          <w:color w:val="000000"/>
        </w:rPr>
      </w:pPr>
      <w:r w:rsidRPr="00014558">
        <w:rPr>
          <w:rFonts w:ascii="Arial" w:hAnsi="Arial" w:cs="Arial"/>
          <w:i/>
          <w:iCs/>
          <w:color w:val="000000"/>
        </w:rPr>
        <w:t>Blockchain-based tokenization is revolutionizing agricultural finance by enhancing efficiency, transparency, and security. This study evaluates its impact on fraud mitigation and cyber risk management using World Bank Findex data, Ethereum blockchain transaction records, and FAO Agristats. Methodologies include logistic regression for fraud prediction, anomaly detection using Z-scores, and Difference-in-Differences (DiD) regression to assess financial efficiency gains. Results show that tokenization reduces loan disbursement times by 31.3%, transaction costs by 37.3%, and increases financial transparency by 40%. Fraud occurrences were 15% lower in blockchain-enabled transactions, with a non-significant correlation (r = -0.064) between digital finance adoption and fraud rates, indicating that structural governance weaknesses are more influential. The study recommends advanced smart contract security, decentralized identity verification, enhanced regulatory oversight, and oracle network integration to secure blockchain-based agricultural finance. These findings underscore the need for multi-layered cybersecurity strategies to maximize the benefits of tokenization in agricultural investment.</w:t>
      </w:r>
    </w:p>
    <w:p w14:paraId="3078D217" w14:textId="77777777" w:rsidR="009837B7" w:rsidRPr="00014558" w:rsidRDefault="009837B7" w:rsidP="00DC7479">
      <w:pPr>
        <w:pStyle w:val="NormalWeb"/>
        <w:jc w:val="both"/>
        <w:rPr>
          <w:rFonts w:ascii="Arial" w:hAnsi="Arial" w:cs="Arial"/>
          <w:b/>
        </w:rPr>
      </w:pPr>
      <w:r w:rsidRPr="00014558">
        <w:rPr>
          <w:rStyle w:val="Strong"/>
          <w:rFonts w:ascii="Arial" w:hAnsi="Arial" w:cs="Arial"/>
        </w:rPr>
        <w:t>Keywords:</w:t>
      </w:r>
      <w:r w:rsidRPr="00014558">
        <w:rPr>
          <w:rFonts w:ascii="Arial" w:hAnsi="Arial" w:cs="Arial"/>
        </w:rPr>
        <w:t xml:space="preserve"> </w:t>
      </w:r>
      <w:r w:rsidRPr="00014558">
        <w:rPr>
          <w:rFonts w:ascii="Arial" w:hAnsi="Arial" w:cs="Arial"/>
          <w:b/>
        </w:rPr>
        <w:t>Blockchain tokenization, Agri-finance security, Smart contract vulnerabilities, Decentralized finance (DeFi), Cyber risk mitigation.</w:t>
      </w:r>
    </w:p>
    <w:p w14:paraId="26207AEC" w14:textId="77777777" w:rsidR="008E345C" w:rsidRPr="00014558" w:rsidRDefault="00014558">
      <w:pPr>
        <w:pStyle w:val="Heading2"/>
        <w:keepNext w:val="0"/>
        <w:keepLines w:val="0"/>
        <w:spacing w:after="80"/>
        <w:rPr>
          <w:b/>
          <w:sz w:val="24"/>
          <w:szCs w:val="24"/>
        </w:rPr>
      </w:pPr>
      <w:bookmarkStart w:id="1" w:name="_mxo5vv662de" w:colFirst="0" w:colLast="0"/>
      <w:bookmarkEnd w:id="1"/>
      <w:r>
        <w:rPr>
          <w:b/>
          <w:sz w:val="24"/>
          <w:szCs w:val="24"/>
        </w:rPr>
        <w:t>1.</w:t>
      </w:r>
      <w:r>
        <w:rPr>
          <w:b/>
          <w:sz w:val="24"/>
          <w:szCs w:val="24"/>
        </w:rPr>
        <w:tab/>
      </w:r>
      <w:r w:rsidR="002E488D" w:rsidRPr="00014558">
        <w:rPr>
          <w:b/>
          <w:sz w:val="24"/>
          <w:szCs w:val="24"/>
        </w:rPr>
        <w:t>INTRODUCTION</w:t>
      </w:r>
    </w:p>
    <w:p w14:paraId="47187CE9" w14:textId="77777777" w:rsidR="008E345C" w:rsidRPr="00014558" w:rsidRDefault="002E488D">
      <w:pPr>
        <w:spacing w:before="240" w:after="240"/>
        <w:rPr>
          <w:sz w:val="24"/>
          <w:szCs w:val="24"/>
        </w:rPr>
      </w:pPr>
      <w:r w:rsidRPr="00014558">
        <w:rPr>
          <w:sz w:val="24"/>
          <w:szCs w:val="24"/>
        </w:rPr>
        <w:t>The agricultural sector plays a fundamental role in global food security and economic development. However, traditional financing models remain plagued by inefficiencies, limited accessibility, and vulnerability to fraud and cyber threats (Zheng et al., 2025). Farmers, particularly smallholders, often struggle to secure capital due to stringent lending requirements imposed by banks, cooperatives, and financial institutions. Additionally, agricultural investment mechanisms frequently depend on intermediaries, increasing transaction costs and reducing transparency (Bhatia et al., 2023). While digitization has introduced efficiencies in agricultural finance, it has also heightened exposure to cyber threats, exacerbating financial vulnerabilities (Zscheischler et al., 2022). These challenges necessitate the development of innovative financial mechanisms that enhance security, accessibility, and transparency in agricultural finance (Mapanje et al., 2023).</w:t>
      </w:r>
    </w:p>
    <w:p w14:paraId="117CD3EF" w14:textId="77777777" w:rsidR="008E345C" w:rsidRPr="00014558" w:rsidRDefault="002E488D">
      <w:pPr>
        <w:spacing w:before="240" w:after="240"/>
        <w:rPr>
          <w:sz w:val="24"/>
          <w:szCs w:val="24"/>
        </w:rPr>
      </w:pPr>
      <w:r w:rsidRPr="00014558">
        <w:rPr>
          <w:sz w:val="24"/>
          <w:szCs w:val="24"/>
        </w:rPr>
        <w:lastRenderedPageBreak/>
        <w:t>According to Kourtis et al. (2023), blockchain-based tokenization has emerged as a promising solution to the limitations of traditional agricultural finance. Tokenization involves converting ownership rights of tangible agricultural assets—such as farmland, crops, and commodities—into digital tokens that can be traded, fractionally owned, or used as collateral. Crandall (2023) argues that by facilitating fractional ownership, tokenization democratizes investment opportunities, enabling individuals with limited capital to participate in agricultural ventures. Furthermore, blockchain technology ensures immutability and transparency, reducing fraud risks and enhancing efficiency in financial transactions. However, Rane et al. (2023) contends that while tokenization enhances financial inclusivity, it also introduces cybersecurity risks, fraud, and vulnerabilities associated with decentralized financial transactions.</w:t>
      </w:r>
    </w:p>
    <w:p w14:paraId="7CDB30C4" w14:textId="77777777" w:rsidR="008E345C" w:rsidRPr="00014558" w:rsidRDefault="002E488D">
      <w:pPr>
        <w:spacing w:before="240" w:after="240"/>
        <w:rPr>
          <w:sz w:val="24"/>
          <w:szCs w:val="24"/>
        </w:rPr>
      </w:pPr>
      <w:r w:rsidRPr="00014558">
        <w:rPr>
          <w:sz w:val="24"/>
          <w:szCs w:val="24"/>
        </w:rPr>
        <w:t>Several real-world initiatives illustrate the potential of tokenization in agriculture. There is Agrotoken, an Argentina-based project that converts soybean crops into commodity-backed stablecoins, allowing farmers to access liquidity by using these tokens as collateral for loans or as a medium of exchange (Agrotoken, 2022). Blockchain ensures transaction immutability and traceability, while smart contracts automate processes to minimize fraud risks. Similarly, Santander’s tokenized agricultural loan program, which securitizes soy and corn through a proof-of-grain reserve system (Santander, 2022). This initiative integrates tokenized agricultural assets with decentralized finance platforms, facilitating collateralized lending, enhancing market liquidity, and ensuring investment transparency.</w:t>
      </w:r>
    </w:p>
    <w:p w14:paraId="7FEAD133" w14:textId="77777777" w:rsidR="008E345C" w:rsidRPr="00014558" w:rsidRDefault="002E488D">
      <w:pPr>
        <w:spacing w:before="240" w:after="240"/>
        <w:rPr>
          <w:sz w:val="24"/>
          <w:szCs w:val="24"/>
        </w:rPr>
      </w:pPr>
      <w:r w:rsidRPr="00014558">
        <w:rPr>
          <w:sz w:val="24"/>
          <w:szCs w:val="24"/>
        </w:rPr>
        <w:t>Sustainability-focused tokenization initiatives have also gained traction, particularly in agroforestry and carbon sequestration. The TREE Token project, for instance, enables fractional investment in sustainable agriculture while ensuring verifiable claims regarding carbon offset contributions (Lecomte, 2018). Additionally, blockchain-enabled Internet-of-Things (IoT) platforms have been incorporated into agricultural supply chains, employing a two-layer blockchain with proof-of-authority smart contracts to enhance process tracking, scalability, and regulatory compliance. These initiatives demonstrate the transformative potential of tokenization in agricultural finance. However, (Malik et al., 2024) posits that the adoption of blockchain-based agricultural finance systems also introduces substantial cybersecurity risks, which must be addressed to ensure the integrity of these financial models.</w:t>
      </w:r>
    </w:p>
    <w:p w14:paraId="6E68976C" w14:textId="77777777" w:rsidR="008E345C" w:rsidRPr="00014558" w:rsidRDefault="002E488D">
      <w:pPr>
        <w:spacing w:before="240" w:after="240"/>
        <w:rPr>
          <w:sz w:val="24"/>
          <w:szCs w:val="24"/>
        </w:rPr>
      </w:pPr>
      <w:r w:rsidRPr="00014558">
        <w:rPr>
          <w:sz w:val="24"/>
          <w:szCs w:val="24"/>
        </w:rPr>
        <w:t xml:space="preserve">One of the most significant security concerns associated with blockchain-based agricultural finance is the possibility of a 51% attack, wherein an entity gains control over the majority of the blockchain’s validation power, allowing for manipulation of transaction records (Bodkhe et al., 2020). In an ecosystem where tokenized assets represent real-world commodities, such an attack could facilitate fraudulent ownership claims or the double-spending of assets. Alrowaily et al. (2023) argues that mitigating </w:t>
      </w:r>
      <w:r w:rsidRPr="00014558">
        <w:rPr>
          <w:sz w:val="24"/>
          <w:szCs w:val="24"/>
        </w:rPr>
        <w:lastRenderedPageBreak/>
        <w:t>this risk requires the adoption of more secure consensus mechanisms, such as proof-of-stake, alongside a decentralized distribution of network validators.</w:t>
      </w:r>
    </w:p>
    <w:p w14:paraId="3D85FADA" w14:textId="77777777" w:rsidR="008E345C" w:rsidRPr="00014558" w:rsidRDefault="002E488D">
      <w:pPr>
        <w:spacing w:before="240" w:after="240"/>
        <w:rPr>
          <w:sz w:val="24"/>
          <w:szCs w:val="24"/>
        </w:rPr>
      </w:pPr>
      <w:r w:rsidRPr="00014558">
        <w:rPr>
          <w:sz w:val="24"/>
          <w:szCs w:val="24"/>
        </w:rPr>
        <w:t>Smart contract vulnerabilities present another critical security challenge. Poorly coded contracts may be exploited through reentrancy attacks, where malicious actors repeatedly call a function before the contract updates its state, enabling unauthorized withdrawals of funds (Pöhn et al., 2023). In a tokenized agricultural investment system, such exploits could lead to fraudulent asset transfers and significant financial losses. According to Bourveau et al. (2024), smart contracts must undergo rigorous security audits by reputable firms, such as CertiK and ConsenSys Diligence, to identify and rectify potential weaknesses. Additionally, implementing reentrancy guards and formal verification processes can further strengthen the integrity of blockchain-based agricultural finance systems.</w:t>
      </w:r>
    </w:p>
    <w:p w14:paraId="57F55755" w14:textId="77777777" w:rsidR="008E345C" w:rsidRPr="00014558" w:rsidRDefault="002E488D">
      <w:pPr>
        <w:spacing w:before="240" w:after="240"/>
        <w:rPr>
          <w:sz w:val="24"/>
          <w:szCs w:val="24"/>
        </w:rPr>
      </w:pPr>
      <w:r w:rsidRPr="00014558">
        <w:rPr>
          <w:sz w:val="24"/>
          <w:szCs w:val="24"/>
        </w:rPr>
        <w:t>Another major concern is oracle manipulation, where external data sources providing real-world information to blockchain networks are compromised (Hassan et al., 2023). Since agricultural tokenization depends on accurate pricing data for commodities, farmland valuations, and weather conditions, compromised oracles could introduce fraudulent data, leading to market distortions. Shak and Islam (2022) contends that attackers could artificially inflate the value of tokenized crops or devalue farmland tokens, causing financial instability. To mitigate this risk, decentralized oracle networks such as Chainlink and Band Protocol should be integrated to ensure tamper-resistant data inputs. Additionally, cross-verification mechanisms should be employed, comparing multiple oracle sources before executing transactions that rely on external data (Rehman et al., 2025).</w:t>
      </w:r>
    </w:p>
    <w:p w14:paraId="7A24456C" w14:textId="77777777" w:rsidR="008E345C" w:rsidRPr="00014558" w:rsidRDefault="002E488D">
      <w:pPr>
        <w:spacing w:before="240" w:after="240"/>
        <w:rPr>
          <w:sz w:val="24"/>
          <w:szCs w:val="24"/>
        </w:rPr>
      </w:pPr>
      <w:r w:rsidRPr="00014558">
        <w:rPr>
          <w:sz w:val="24"/>
          <w:szCs w:val="24"/>
        </w:rPr>
        <w:t xml:space="preserve">Decentralized agricultural finance systems are also susceptible to Sybil attacks, where fraudulent entities create multiple fake identities to manipulate governance processes, secure multiple loans, or exploit financial incentives (Dong et al., 2023). In tokenized agriculture, such an attack could lead to illegitimate token distributions, fraudulent claims for farm subsidies, or misallocation of investments. Ahmed et al. (2022) suggests that implementing self-sovereign identity frameworks can mitigate this risk by ensuring that all participants in blockchain-based agricultural finance are verified using decentralized identity mechanisms. </w:t>
      </w:r>
    </w:p>
    <w:p w14:paraId="5C882F80" w14:textId="77777777" w:rsidR="008E345C" w:rsidRPr="00014558" w:rsidRDefault="002E488D">
      <w:pPr>
        <w:spacing w:before="240" w:after="240"/>
        <w:rPr>
          <w:sz w:val="24"/>
          <w:szCs w:val="24"/>
        </w:rPr>
      </w:pPr>
      <w:r w:rsidRPr="00014558">
        <w:rPr>
          <w:sz w:val="24"/>
          <w:szCs w:val="24"/>
        </w:rPr>
        <w:t xml:space="preserve">The market for blockchain-based agricultural and food supply chain solutions has expanded rapidly, reflecting increasing adoption across the sector. According to Joshi (2024), in 2017, the market was valued at approximately $32.2 million, and projections indicate that it will reach $1.4 billion by 2028. Additionally, the compound annual growth rate of blockchain in agriculture is forecasted to exceed 36.2% between 2024 and 2032, with the total market value expected to surpass $11.6 billion by 2033 (Wadhwani &amp; </w:t>
      </w:r>
      <w:r w:rsidRPr="00014558">
        <w:rPr>
          <w:sz w:val="24"/>
          <w:szCs w:val="24"/>
        </w:rPr>
        <w:lastRenderedPageBreak/>
        <w:t>Ambekar, 2024). Similarly, Business Today (2022) estimates that the broader asset tokenization industry could generate up to $16 trillion in value by 2030. These trends underscore the growing reliance on blockchain in agriculture and highlight the urgency of implementing robust security frameworks to safeguard tokenized finance systems from cyber threats and fraudulent activities.</w:t>
      </w:r>
    </w:p>
    <w:p w14:paraId="6F9337A9" w14:textId="77777777" w:rsidR="008E345C" w:rsidRPr="00014558" w:rsidRDefault="002E488D">
      <w:pPr>
        <w:spacing w:before="240" w:after="240"/>
        <w:rPr>
          <w:b/>
          <w:sz w:val="24"/>
          <w:szCs w:val="24"/>
        </w:rPr>
      </w:pPr>
      <w:r w:rsidRPr="00014558">
        <w:rPr>
          <w:sz w:val="24"/>
          <w:szCs w:val="24"/>
        </w:rPr>
        <w:t>Kourtis et al. (2023</w:t>
      </w:r>
      <w:proofErr w:type="gramStart"/>
      <w:r w:rsidRPr="00014558">
        <w:rPr>
          <w:sz w:val="24"/>
          <w:szCs w:val="24"/>
        </w:rPr>
        <w:t>),  asserts</w:t>
      </w:r>
      <w:proofErr w:type="gramEnd"/>
      <w:r w:rsidRPr="00014558">
        <w:rPr>
          <w:sz w:val="24"/>
          <w:szCs w:val="24"/>
        </w:rPr>
        <w:t xml:space="preserve"> that while blockchain-based tokenization holds the potential to address inefficiencies in agricultural finance, enhance investment accessibility, and improve transparency, its adoption must be accompanied by rigorous cybersecurity measures. As blockchain technology becomes increasingly embedded in financial ecosystems, Zscheischler et al. (2022) emphasizes the need for a comprehensive framework that identifies security threats, evaluates vulnerabilities, and proposes risk mitigation strategies. By analyzing real-world case studies, assessing cybersecurity challenges, and developing security-enhanced financial models, this study aims </w:t>
      </w:r>
      <w:proofErr w:type="gramStart"/>
      <w:r w:rsidRPr="00014558">
        <w:rPr>
          <w:sz w:val="24"/>
          <w:szCs w:val="24"/>
        </w:rPr>
        <w:t>to  investigate</w:t>
      </w:r>
      <w:proofErr w:type="gramEnd"/>
      <w:r w:rsidRPr="00014558">
        <w:rPr>
          <w:sz w:val="24"/>
          <w:szCs w:val="24"/>
        </w:rPr>
        <w:t xml:space="preserve"> the potential of tokenization to enhance security and mitigate fraud and cyber risks in agri-finance and investment models, while also exploring the opportunities and challenges associated with its implementation in the agricultural sector, by achieving the following objectives:</w:t>
      </w:r>
    </w:p>
    <w:p w14:paraId="7DCB3964" w14:textId="77777777" w:rsidR="008E345C" w:rsidRPr="00014558" w:rsidRDefault="002E488D" w:rsidP="00014558">
      <w:pPr>
        <w:numPr>
          <w:ilvl w:val="0"/>
          <w:numId w:val="6"/>
        </w:numPr>
        <w:spacing w:before="240" w:after="240"/>
        <w:rPr>
          <w:sz w:val="24"/>
          <w:szCs w:val="24"/>
        </w:rPr>
      </w:pPr>
      <w:r w:rsidRPr="00014558">
        <w:rPr>
          <w:sz w:val="24"/>
          <w:szCs w:val="24"/>
        </w:rPr>
        <w:t xml:space="preserve">Analyzes the current landscape of agri-finance and investment models, identifying key vulnerabilities to fraud and cyber risks. </w:t>
      </w:r>
    </w:p>
    <w:p w14:paraId="786599DA" w14:textId="77777777" w:rsidR="008E345C" w:rsidRPr="00014558" w:rsidRDefault="002E488D">
      <w:pPr>
        <w:numPr>
          <w:ilvl w:val="0"/>
          <w:numId w:val="6"/>
        </w:numPr>
        <w:spacing w:before="240"/>
        <w:rPr>
          <w:sz w:val="24"/>
          <w:szCs w:val="24"/>
        </w:rPr>
      </w:pPr>
      <w:r w:rsidRPr="00014558">
        <w:rPr>
          <w:sz w:val="24"/>
          <w:szCs w:val="24"/>
        </w:rPr>
        <w:t>Evaluates the technical feasibility and security implications of tokenizing various types of agricultural assets using blockchain technology.</w:t>
      </w:r>
      <w:r w:rsidRPr="00014558">
        <w:rPr>
          <w:sz w:val="24"/>
          <w:szCs w:val="24"/>
        </w:rPr>
        <w:br/>
      </w:r>
    </w:p>
    <w:p w14:paraId="6CCC2905" w14:textId="77777777" w:rsidR="008E345C" w:rsidRPr="00014558" w:rsidRDefault="002E488D">
      <w:pPr>
        <w:numPr>
          <w:ilvl w:val="0"/>
          <w:numId w:val="6"/>
        </w:numPr>
        <w:rPr>
          <w:sz w:val="24"/>
          <w:szCs w:val="24"/>
        </w:rPr>
      </w:pPr>
      <w:r w:rsidRPr="00014558">
        <w:rPr>
          <w:sz w:val="24"/>
          <w:szCs w:val="24"/>
        </w:rPr>
        <w:t>Assesses the potential benefits and challenges of tokenization for improving access to finance, transparency, and efficiency in agri-finance and investment.</w:t>
      </w:r>
      <w:r w:rsidRPr="00014558">
        <w:rPr>
          <w:sz w:val="24"/>
          <w:szCs w:val="24"/>
        </w:rPr>
        <w:br/>
      </w:r>
    </w:p>
    <w:p w14:paraId="6F4E8326" w14:textId="77777777" w:rsidR="008E345C" w:rsidRPr="00014558" w:rsidRDefault="002E488D">
      <w:pPr>
        <w:numPr>
          <w:ilvl w:val="0"/>
          <w:numId w:val="6"/>
        </w:numPr>
        <w:spacing w:after="240"/>
        <w:rPr>
          <w:sz w:val="24"/>
          <w:szCs w:val="24"/>
        </w:rPr>
      </w:pPr>
      <w:r w:rsidRPr="00014558">
        <w:rPr>
          <w:sz w:val="24"/>
          <w:szCs w:val="24"/>
        </w:rPr>
        <w:t xml:space="preserve">Develops a framework or set of recommendations for implementing secure and effective tokenization strategies in the agricultural sector. </w:t>
      </w:r>
    </w:p>
    <w:p w14:paraId="320A3D05" w14:textId="77777777" w:rsidR="008E345C" w:rsidRPr="00014558" w:rsidRDefault="008E345C">
      <w:pPr>
        <w:rPr>
          <w:sz w:val="24"/>
          <w:szCs w:val="24"/>
        </w:rPr>
      </w:pPr>
    </w:p>
    <w:p w14:paraId="4DD3B82A" w14:textId="77777777" w:rsidR="008E345C" w:rsidRPr="00014558" w:rsidRDefault="00014558">
      <w:pPr>
        <w:rPr>
          <w:rFonts w:eastAsia="Times New Roman"/>
          <w:color w:val="0D0D0D"/>
          <w:sz w:val="24"/>
          <w:szCs w:val="24"/>
          <w:highlight w:val="white"/>
        </w:rPr>
      </w:pPr>
      <w:r>
        <w:rPr>
          <w:b/>
          <w:sz w:val="24"/>
          <w:szCs w:val="24"/>
        </w:rPr>
        <w:t>2.</w:t>
      </w:r>
      <w:r>
        <w:rPr>
          <w:b/>
          <w:sz w:val="24"/>
          <w:szCs w:val="24"/>
        </w:rPr>
        <w:tab/>
      </w:r>
      <w:r w:rsidR="002E488D" w:rsidRPr="00014558">
        <w:rPr>
          <w:b/>
          <w:sz w:val="24"/>
          <w:szCs w:val="24"/>
        </w:rPr>
        <w:t>LITERATURE REVIEW</w:t>
      </w:r>
    </w:p>
    <w:p w14:paraId="4E4D0ACF" w14:textId="77777777" w:rsidR="008E345C" w:rsidRPr="00014558" w:rsidRDefault="002E488D">
      <w:pPr>
        <w:spacing w:before="240" w:after="240"/>
        <w:jc w:val="both"/>
        <w:rPr>
          <w:rFonts w:eastAsia="Roboto"/>
          <w:color w:val="0D0D0D"/>
          <w:sz w:val="24"/>
          <w:szCs w:val="24"/>
          <w:highlight w:val="white"/>
        </w:rPr>
      </w:pPr>
      <w:bookmarkStart w:id="2" w:name="_duqtlpff6rx" w:colFirst="0" w:colLast="0"/>
      <w:bookmarkEnd w:id="2"/>
      <w:r w:rsidRPr="00014558">
        <w:rPr>
          <w:rFonts w:eastAsia="Roboto"/>
          <w:color w:val="0D0D0D"/>
          <w:sz w:val="24"/>
          <w:szCs w:val="24"/>
          <w:highlight w:val="white"/>
        </w:rPr>
        <w:t xml:space="preserve">Tokenization, the process of converting ownership rights of an asset into a digital representation on a blockchain, has emerged as a transformative force in financial systems (Garcia-Teruel &amp; Simón-Moreno, 2021). Initially developed as a data security measure, it has expanded to financial instruments, real estate, and commodities. Blockchain, as a decentralized and immutable ledger, underpins this process by ensuring secure, transparent, and efficient transactions. Javaid et al. (2022) argues that by eliminating intermediaries, blockchain reduces transaction costs and enhances financial security. In agriculture, the integration of tokenization with decentralized finance (DeFi) </w:t>
      </w:r>
      <w:r w:rsidRPr="00014558">
        <w:rPr>
          <w:rFonts w:eastAsia="Roboto"/>
          <w:color w:val="0D0D0D"/>
          <w:sz w:val="24"/>
          <w:szCs w:val="24"/>
          <w:highlight w:val="white"/>
        </w:rPr>
        <w:lastRenderedPageBreak/>
        <w:t>creates opportunities to improve financial inclusion, attract investment, and increase market efficiency (Alamsyah et al., 2024; Balogun et al., 2025).</w:t>
      </w:r>
    </w:p>
    <w:p w14:paraId="7CA48215"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According to Harvey and Rabetti (2024), DeFi leverages blockchain to provide financial services without traditional intermediaries, offering an alternative to conventional agricultural financing models. Traditional lenders impose strict requirements, limiting smallholder farmers' access to capital. By contrast, DeFi platforms facilitate direct access to loans, payments, and insurance through peer-to-peer networks, promoting broader financial participation (Alamsyah et al., 2024; Fabuyi et al., 2024). However, Eswaran et al. (2024) posits that challenges such as technological literacy, regulatory uncertainties, and infrastructure limitations hinder widespread adoption.</w:t>
      </w:r>
    </w:p>
    <w:p w14:paraId="4E1F6C7E"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Economic and financial theories provide critical insights into tokenization’s impact on agriculture. Market efficiency theory suggests that asset prices reflect all available information, yet agricultural markets suffer from information asymmetry (Seifert et al., 2020; Kolade et al., 2025). Ciriello (2021) contends that blockchain’s transparency could improve price accuracy and reduce disparities, though volatility in tokenized asset markets raises concerns. Additionally, financial inclusion theories highlight the potential for tokenization to provide underserved populations with access to credit and insurance, fostering rural economic development (Jejeniwa et al., 2024; Balogun et al., 2025), however, digital literacy and infrastructure gaps still remain key obstacles.</w:t>
      </w:r>
    </w:p>
    <w:p w14:paraId="26920A32"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security of tokenized financial transactions is a primary concern, necessitating robust cybersecurity measures. Khanna (2024) posits that the CIA Triad—Confidentiality, Integrity, and Availability—forms the foundation of blockchain security. While blockchain ensures integrity and availability, confidentiality remains a challenge. Cryptographic techniques, such as zero-knowledge proofs, help enhance privacy (Diro et al., 2024; Obioha-Val et al., 2025).</w:t>
      </w:r>
    </w:p>
    <w:p w14:paraId="4B9DF3A2"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Blockchain-based systems remain vulnerable to smart contract flaws, oracle manipulation, and 51% attacks (Hassan et al., 2023; Val et al., 2024). Poorly coded smart contracts may be exploited, leading to fraudulent transactions. Udeh et al. (2024) asserts that rigorous audits and regulatory oversight are essential for ensuring security and stability in tokenized agricultural finance models.</w:t>
      </w:r>
    </w:p>
    <w:p w14:paraId="05987508"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interplay between tokenization, blockchain, DeFi, economic theories, and cybersecurity considerations provides a comprehensive foundation for understanding the potential and challenges of tokenized agricultural finance. While these technologies offer innovative solutions to improving financial inclusion, security, and efficiency, they also introduce new risks that require careful evaluation. Van Wassenaer et al. (2023) argues that a thorough analysis of these theoretical frameworks is crucial for developing secure, efficient, and scalable tokenized finance models in agriculture.</w:t>
      </w:r>
    </w:p>
    <w:p w14:paraId="44CE6BF4" w14:textId="77777777" w:rsidR="008E345C" w:rsidRPr="00014558" w:rsidRDefault="002E488D">
      <w:pPr>
        <w:pStyle w:val="Heading2"/>
        <w:keepNext w:val="0"/>
        <w:keepLines w:val="0"/>
        <w:spacing w:after="80"/>
        <w:jc w:val="both"/>
        <w:rPr>
          <w:rFonts w:eastAsia="Roboto"/>
          <w:b/>
          <w:color w:val="0D0D0D"/>
          <w:sz w:val="24"/>
          <w:szCs w:val="24"/>
          <w:highlight w:val="white"/>
        </w:rPr>
      </w:pPr>
      <w:bookmarkStart w:id="3" w:name="_mtlrsyetghfs" w:colFirst="0" w:colLast="0"/>
      <w:bookmarkEnd w:id="3"/>
      <w:r w:rsidRPr="00014558">
        <w:rPr>
          <w:rFonts w:eastAsia="Roboto"/>
          <w:b/>
          <w:color w:val="0D0D0D"/>
          <w:sz w:val="24"/>
          <w:szCs w:val="24"/>
          <w:highlight w:val="white"/>
        </w:rPr>
        <w:lastRenderedPageBreak/>
        <w:t xml:space="preserve">Current </w:t>
      </w:r>
      <w:r w:rsidR="00014558">
        <w:rPr>
          <w:rFonts w:eastAsia="Roboto"/>
          <w:b/>
          <w:color w:val="0D0D0D"/>
          <w:sz w:val="24"/>
          <w:szCs w:val="24"/>
          <w:highlight w:val="white"/>
        </w:rPr>
        <w:t xml:space="preserve">State </w:t>
      </w:r>
      <w:r w:rsidRPr="00014558">
        <w:rPr>
          <w:rFonts w:eastAsia="Roboto"/>
          <w:b/>
          <w:color w:val="0D0D0D"/>
          <w:sz w:val="24"/>
          <w:szCs w:val="24"/>
          <w:highlight w:val="white"/>
        </w:rPr>
        <w:t>of Agricultural Finance and Investment</w:t>
      </w:r>
    </w:p>
    <w:p w14:paraId="3E104463"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Traditional agricultural finance has long depended on mechanisms such as bank loans, microfinance, cooperatives, and government subsidies to support farmers. While these methods provide capital, they often fail to address the specific needs of smallholder farmers and agribusinesses. Strict collateral requirements, complex loan application processes, and limited financial literacy prevent many farmers from securing traditional bank loans. Panwar et al. (2023) argues that although microfinance institutions serve underserved populations, they typically offer limited-scale funding and charge high interest rates, reducing their long-term sustainability. Cooperatives, despite fostering collective financing, frequently struggle with governance inefficiencies and resource constraints, while government subsidies, though beneficial, are often delayed by bureaucratic processes and subject to political influences (Blom</w:t>
      </w:r>
      <w:r w:rsidRPr="00014558">
        <w:rPr>
          <w:rFonts w:ascii="Cambria Math" w:eastAsia="Roboto" w:hAnsi="Cambria Math" w:cs="Cambria Math"/>
          <w:color w:val="0D0D0D"/>
          <w:sz w:val="24"/>
          <w:szCs w:val="24"/>
          <w:highlight w:val="white"/>
        </w:rPr>
        <w:t>‐</w:t>
      </w:r>
      <w:r w:rsidRPr="00014558">
        <w:rPr>
          <w:rFonts w:eastAsia="Roboto"/>
          <w:color w:val="0D0D0D"/>
          <w:sz w:val="24"/>
          <w:szCs w:val="24"/>
          <w:highlight w:val="white"/>
        </w:rPr>
        <w:t>Hansen et al., 2020; Olutimehin et al., 2025). These barriers contribute to a persistent financing gap, particularly for small-scale operations, ultimately hindering agricultural productivity and economic growth.</w:t>
      </w:r>
    </w:p>
    <w:p w14:paraId="111C4E2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reliance on intermediaries in agricultural investment further complicates financial accessibility. Financial institutions, brokers, and agents, while facilitating transactions, introduce inefficiencies that increase costs and reduce transparency (Javaid et al., 2022; Obioha-Val et al., 2025). Alberto et al. (2024) posits that administrative expenses, bureaucratic procedures, and multiple layers of financial intermediation often erode the actual funds received by farmers. Additionally, opaque financial networks create opportunities for fraud and corruption, undermining trust in the system (Remeikienė &amp; Gasparėnienė, 2023; Kolade et al., 2024). According to Bhatia et al. (2023), inefficiencies in supply chains and restricted access to finance remain critical impediments to agricultural development, reinforcing the necessity for more streamlined and transparent investment mechanisms.</w:t>
      </w:r>
    </w:p>
    <w:p w14:paraId="05EEECE3"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Recent advancements in financial technology (fintech) present promising alternatives to conventional agricultural finance models. Digital lending platforms now leverage data analytics and alternative credit assessment methods to extend loans to farmers without conventional credit histories (Benami &amp; Carter, 2021; Obioha-Val et al., 2025). Villalba et al. (2023) notes that these platforms assess financial viability based on agricultural output, transaction records, and mobile payment histories, broadening access to capital. Additionally, crowdfunding initiatives allow farmers to raise funds directly from individual investors, bypassing traditional financial institutions and reducing transaction costs (Troise et al., 2021; Alao et al., 2024). By utilizing online networks, these models connect farmers with a broader pool of funders, offering a more direct and flexible financing approach.</w:t>
      </w:r>
    </w:p>
    <w:p w14:paraId="3A02753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lastRenderedPageBreak/>
        <w:t xml:space="preserve">Blockchain technology further enhances agricultural finance by improving transparency, security, and efficiency. Dashkevich et al. (2024) states that distributed ledger systems create immutable records of financial transactions, reducing fraud and improving accountability. Smart contracts—self-executing agreements embedded in blockchain—automate loan disbursement and repayment, minimizing reliance on intermediaries and lowering operational costs (Guelida et al., 2024; Gbadebo et al., 2024). Furthermore, blockchain facilitates supply chain traceability, providing verifiable information on product origins and quality, which benefits both investors and consumers (Biswas et al., 2022; Salako et al., 2024). </w:t>
      </w:r>
      <w:proofErr w:type="gramStart"/>
      <w:r w:rsidRPr="00014558">
        <w:rPr>
          <w:rFonts w:eastAsia="Roboto"/>
          <w:color w:val="0D0D0D"/>
          <w:sz w:val="24"/>
          <w:szCs w:val="24"/>
          <w:highlight w:val="white"/>
        </w:rPr>
        <w:t>However,  Shafik</w:t>
      </w:r>
      <w:proofErr w:type="gramEnd"/>
      <w:r w:rsidRPr="00014558">
        <w:rPr>
          <w:rFonts w:eastAsia="Roboto"/>
          <w:color w:val="0D0D0D"/>
          <w:sz w:val="24"/>
          <w:szCs w:val="24"/>
          <w:highlight w:val="white"/>
        </w:rPr>
        <w:t xml:space="preserve"> (2024) highlights that integrating blockchain into agricultural finance requires overcoming challenges such as cybersecurity risks, regulatory uncertainties, and digital literacy disparities among farmers.</w:t>
      </w:r>
    </w:p>
    <w:p w14:paraId="0B57940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Despite fintech and blockchain’s potential to transform agricultural finance, their widespread adoption faces obstacles. Martínez-Bravo et al. (2022) contends that limited internet access, digital literacy gaps, and regulatory complexities pose significant challenges. While these technologies can enhance financial inclusion, their success depends on well-designed policies and infrastructure development that address the diverse needs of agricultural stakeholders. As agricultural finance continues to evolve, Mhlanga (2024) argues that digital innovations must offer inclusive, cost-effective, and scalable financial solutions tailored to the unique demands of farmers and agribusinesses.</w:t>
      </w:r>
    </w:p>
    <w:p w14:paraId="39D68A3D" w14:textId="77777777" w:rsidR="008E345C" w:rsidRPr="00014558" w:rsidRDefault="002E488D">
      <w:pPr>
        <w:pStyle w:val="Heading2"/>
        <w:keepNext w:val="0"/>
        <w:keepLines w:val="0"/>
        <w:spacing w:after="80"/>
        <w:jc w:val="both"/>
        <w:rPr>
          <w:rFonts w:eastAsia="Roboto"/>
          <w:b/>
          <w:color w:val="0D0D0D"/>
          <w:sz w:val="24"/>
          <w:szCs w:val="24"/>
          <w:highlight w:val="white"/>
        </w:rPr>
      </w:pPr>
      <w:bookmarkStart w:id="4" w:name="_3ya0fs5b07ny" w:colFirst="0" w:colLast="0"/>
      <w:bookmarkEnd w:id="4"/>
      <w:r w:rsidRPr="00014558">
        <w:rPr>
          <w:rFonts w:eastAsia="Roboto"/>
          <w:b/>
          <w:color w:val="0D0D0D"/>
          <w:sz w:val="24"/>
          <w:szCs w:val="24"/>
          <w:highlight w:val="white"/>
        </w:rPr>
        <w:t>Tokenization of Agricultural Assets: Principles and Implementation</w:t>
      </w:r>
    </w:p>
    <w:p w14:paraId="76821AC0"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Tokenization in agriculture involves the digital representation of ownership rights to physical and intangible agricultural assets on a blockchain (Carapella et al., 2023; Adigwe et al., 2024). This process enables farmland, crops, commodities, and carbon credits to be securely traded, fractionally owned, and utilized as collateral within decentralized finance (DeFi) ecosystems. Sowmya et al. (2023) argues that by leveraging smart contracts—self-executing agreements embedded in blockchain code—tokenization automates transactions, enforces contractual terms, and reduces reliance on intermediaries. This automation enhances efficiency, mitigates disputes, and improves transparency in agricultural finance.</w:t>
      </w:r>
    </w:p>
    <w:p w14:paraId="78493AB9"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A notable example of agricultural tokenization is Agrotoken, an Argentina-based platform that has developed commodity-backed stablecoins representing specific quantities of grains, such as soybeans, corn, and wheat </w:t>
      </w:r>
      <w:r w:rsidRPr="00014558">
        <w:rPr>
          <w:sz w:val="24"/>
          <w:szCs w:val="24"/>
        </w:rPr>
        <w:t>(Agrotoken, 2022; Joeaneke et al., 2024)</w:t>
      </w:r>
      <w:r w:rsidRPr="00014558">
        <w:rPr>
          <w:rFonts w:eastAsia="Roboto"/>
          <w:color w:val="0D0D0D"/>
          <w:sz w:val="24"/>
          <w:szCs w:val="24"/>
          <w:highlight w:val="white"/>
        </w:rPr>
        <w:t xml:space="preserve">. Each token corresponds to one ton of grain stored in registered warehouses, verified through a Proof of Grain Reserve (PoGR) system. Xu and Feng, 2022) highlights that farmers can use these tokens as collateral for loans or as a medium of exchange, increasing their access to liquidity. Banco Santander’s collaboration with Agrotoken to </w:t>
      </w:r>
      <w:r w:rsidRPr="00014558">
        <w:rPr>
          <w:rFonts w:eastAsia="Roboto"/>
          <w:color w:val="0D0D0D"/>
          <w:sz w:val="24"/>
          <w:szCs w:val="24"/>
          <w:highlight w:val="white"/>
        </w:rPr>
        <w:lastRenderedPageBreak/>
        <w:t xml:space="preserve">facilitate tokenized agricultural loans further demonstrates the viability of blockchain-based financing in the </w:t>
      </w:r>
      <w:proofErr w:type="gramStart"/>
      <w:r w:rsidRPr="00014558">
        <w:rPr>
          <w:rFonts w:eastAsia="Roboto"/>
          <w:color w:val="0D0D0D"/>
          <w:sz w:val="24"/>
          <w:szCs w:val="24"/>
          <w:highlight w:val="white"/>
        </w:rPr>
        <w:t xml:space="preserve">sector </w:t>
      </w:r>
      <w:r w:rsidRPr="00014558">
        <w:rPr>
          <w:sz w:val="24"/>
          <w:szCs w:val="24"/>
        </w:rPr>
        <w:t xml:space="preserve"> (</w:t>
      </w:r>
      <w:proofErr w:type="gramEnd"/>
      <w:r w:rsidRPr="00014558">
        <w:rPr>
          <w:sz w:val="24"/>
          <w:szCs w:val="24"/>
        </w:rPr>
        <w:t>Santander, 2022; Samuel-Okon et al., 2024)</w:t>
      </w:r>
      <w:r w:rsidRPr="00014558">
        <w:rPr>
          <w:rFonts w:eastAsia="Roboto"/>
          <w:color w:val="0D0D0D"/>
          <w:sz w:val="24"/>
          <w:szCs w:val="24"/>
          <w:highlight w:val="white"/>
        </w:rPr>
        <w:t xml:space="preserve">. Similarly, </w:t>
      </w:r>
      <w:r w:rsidRPr="00014558">
        <w:rPr>
          <w:sz w:val="24"/>
          <w:szCs w:val="24"/>
        </w:rPr>
        <w:t>Lecomte (2018)</w:t>
      </w:r>
      <w:r w:rsidRPr="00014558">
        <w:rPr>
          <w:rFonts w:eastAsia="Roboto"/>
          <w:color w:val="0D0D0D"/>
          <w:sz w:val="24"/>
          <w:szCs w:val="24"/>
          <w:highlight w:val="white"/>
        </w:rPr>
        <w:t xml:space="preserve"> discusses the TREE Token project, which applies tokenization to sustainable agriculture by representing investments in agroforestry and carbon sequestration efforts as digital tokens. This model enables fractional ownership of environmental projects, incentivizing sustainable practices while providing investors with verifiable claims regarding carbon offset contributions.</w:t>
      </w:r>
    </w:p>
    <w:p w14:paraId="2C5EB88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integration of Internet of Things (IoT) devices with blockchain further enhances the utility of tokenized agricultural assets. Liang and Shah (2023) states that IoT sensors allow real-time monitoring of crop conditions, livestock health, and supply chain logistics, improving traceability and operational efficiency. By linking blockchain with IoT, tokenization strengthens the reliability of data used in financial transactions, improving asset valuations and risk assessments for investors and financial institutions (Akiladevi et al., 2024; Arigbabu et al., 2024).</w:t>
      </w:r>
    </w:p>
    <w:p w14:paraId="48D9ED7B"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Technical implementation requires selecting appropriate token standards based on asset characteristics. Dos Santos et al. (2021) explains that ERC-20 tokens, which are fungible, suit commodities like grain, where each unit is interchangeable. In contrast, ERC-721 and ERC-1155 standards, designed for non-fungible tokens (NFTs), enable representation of unique assets such as farmland parcels or individual livestock (Semnani &amp; Yang, 2024; John-Otumu et al., 2024). The choice of token standard influences asset management, liquidity, and market dynamics (Ante, 2022; Okon et al., 2024). Compliance with anti-money laundering (AML) and know-your-customer (KYC) regulations is critical to ensuring legitimacy. </w:t>
      </w:r>
    </w:p>
    <w:p w14:paraId="6B786ABD" w14:textId="77777777" w:rsidR="008E345C" w:rsidRPr="00014558" w:rsidRDefault="002E488D">
      <w:pPr>
        <w:pStyle w:val="Heading2"/>
        <w:keepNext w:val="0"/>
        <w:keepLines w:val="0"/>
        <w:spacing w:after="80"/>
        <w:jc w:val="both"/>
        <w:rPr>
          <w:rFonts w:eastAsia="Roboto"/>
          <w:b/>
          <w:color w:val="0D0D0D"/>
          <w:sz w:val="24"/>
          <w:szCs w:val="24"/>
          <w:highlight w:val="white"/>
        </w:rPr>
      </w:pPr>
      <w:bookmarkStart w:id="5" w:name="_7nei0e56z0vz" w:colFirst="0" w:colLast="0"/>
      <w:bookmarkEnd w:id="5"/>
      <w:r w:rsidRPr="00014558">
        <w:rPr>
          <w:rFonts w:eastAsia="Roboto"/>
          <w:b/>
          <w:color w:val="0D0D0D"/>
          <w:sz w:val="24"/>
          <w:szCs w:val="24"/>
          <w:highlight w:val="white"/>
        </w:rPr>
        <w:t>Security Challenges in Tokenized Agricultural Finance</w:t>
      </w:r>
    </w:p>
    <w:p w14:paraId="05A3B373"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The integration of blockchain technology into agricultural finance introduces several cybersecurity challenges that must be addressed to ensure the integrity and reliability of decentralized financial systems. While blockchain-based platforms enhance transparency, automation, and efficiency, they are not immune to vulnerabilities that could compromise trust, disrupt operations, and result in financial losses (Daah et al., 2024; Olateju et al., 2024). Tanveer et al. (2025) argues that a comprehensive understanding of these risks is essential for implementing effective security measures and safeguarding tokenized agricultural assets.</w:t>
      </w:r>
    </w:p>
    <w:p w14:paraId="7427EDB5"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One of the most critical threats to blockchain networks is the 51% attack, where a malicious actor gains control over the majority of a network’s computational power </w:t>
      </w:r>
      <w:r w:rsidRPr="00014558">
        <w:rPr>
          <w:sz w:val="24"/>
          <w:szCs w:val="24"/>
        </w:rPr>
        <w:t>(Bodkhe et al., 2020; Joseph, 2024)</w:t>
      </w:r>
      <w:r w:rsidRPr="00014558">
        <w:rPr>
          <w:rFonts w:eastAsia="Roboto"/>
          <w:color w:val="0D0D0D"/>
          <w:sz w:val="24"/>
          <w:szCs w:val="24"/>
          <w:highlight w:val="white"/>
        </w:rPr>
        <w:t xml:space="preserve">. This dominance allows attackers to manipulate transaction records, engage in double-spending, and alter ownership claims, posing </w:t>
      </w:r>
      <w:r w:rsidRPr="00014558">
        <w:rPr>
          <w:rFonts w:eastAsia="Roboto"/>
          <w:color w:val="0D0D0D"/>
          <w:sz w:val="24"/>
          <w:szCs w:val="24"/>
          <w:highlight w:val="white"/>
        </w:rPr>
        <w:lastRenderedPageBreak/>
        <w:t>severe risks to tokenized agricultural assets (Teng et al., 2023; Olabanji et al., 2024), also, such attacks could lead to unauthorized changes in farmland ownership or fraudulent transactions involving commodity-backed tokens. To mitigate this risk, Venkatesan and Rahayu (2024) emphasizes the need to adopt more secure consensus mechanisms, such as Proof of Stake (PoS) or hybrid models, to prevent centralization of computational power.</w:t>
      </w:r>
    </w:p>
    <w:p w14:paraId="3AD73C07"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Smart contract vulnerabilities also </w:t>
      </w:r>
      <w:proofErr w:type="gramStart"/>
      <w:r w:rsidRPr="00014558">
        <w:rPr>
          <w:rFonts w:eastAsia="Roboto"/>
          <w:color w:val="0D0D0D"/>
          <w:sz w:val="24"/>
          <w:szCs w:val="24"/>
          <w:highlight w:val="white"/>
        </w:rPr>
        <w:t>present</w:t>
      </w:r>
      <w:proofErr w:type="gramEnd"/>
      <w:r w:rsidRPr="00014558">
        <w:rPr>
          <w:rFonts w:eastAsia="Roboto"/>
          <w:color w:val="0D0D0D"/>
          <w:sz w:val="24"/>
          <w:szCs w:val="24"/>
          <w:highlight w:val="white"/>
        </w:rPr>
        <w:t xml:space="preserve"> a significant concern. While smart contracts automate transactions and enforce agreements without intermediaries, poorly coded contracts can be exploited through reentrancy attacks, allowing attackers to withdraw funds multiple times before the contract updates its state (Kaur et al., 2023; Olaniyi et al., 2024). Xu and Feng (2022) highlights that such exploits can result in major financial losses for both farmers and investors. To address these risks, Khan et al. (2022) recommends rigorous code audits, formal verification techniques, and secure programming practices to identify and eliminate vulnerabilities before deployment.</w:t>
      </w:r>
    </w:p>
    <w:p w14:paraId="6E26BB5F"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Another critical risk is oracle manipulation, which occurs when external data sources providing crucial information—such as commodity prices and weather conditions—are compromised </w:t>
      </w:r>
      <w:r w:rsidRPr="00014558">
        <w:rPr>
          <w:sz w:val="24"/>
          <w:szCs w:val="24"/>
        </w:rPr>
        <w:t>(Hassan et al., 2023; Oladoyinbo et al., 2024).</w:t>
      </w:r>
      <w:r w:rsidRPr="00014558">
        <w:rPr>
          <w:rFonts w:eastAsia="Roboto"/>
          <w:color w:val="0D0D0D"/>
          <w:sz w:val="24"/>
          <w:szCs w:val="24"/>
          <w:highlight w:val="white"/>
        </w:rPr>
        <w:t xml:space="preserve"> Iqbal et al. (2024) argues that attackers can feed fraudulent data into smart contracts, leading to incorrect valuations and market distortions. To counter this, </w:t>
      </w:r>
      <w:r w:rsidRPr="00014558">
        <w:rPr>
          <w:sz w:val="24"/>
          <w:szCs w:val="24"/>
        </w:rPr>
        <w:t>Hassan et al. (2023)</w:t>
      </w:r>
      <w:r w:rsidRPr="00014558">
        <w:rPr>
          <w:rFonts w:eastAsia="Roboto"/>
          <w:color w:val="0D0D0D"/>
          <w:sz w:val="24"/>
          <w:szCs w:val="24"/>
          <w:highlight w:val="white"/>
        </w:rPr>
        <w:t xml:space="preserve"> suggests integrating decentralized oracle networks, which aggregate data from multiple sources to minimize single points of failure and enhance data accuracy.</w:t>
      </w:r>
    </w:p>
    <w:p w14:paraId="5EEF1BC1"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 xml:space="preserve">Sybil attacks pose additional challenges by allowing malicious actors to create multiple fake identities to manipulate decentralized </w:t>
      </w:r>
      <w:proofErr w:type="gramStart"/>
      <w:r w:rsidRPr="00014558">
        <w:rPr>
          <w:rFonts w:eastAsia="Roboto"/>
          <w:color w:val="0D0D0D"/>
          <w:sz w:val="24"/>
          <w:szCs w:val="24"/>
          <w:highlight w:val="white"/>
        </w:rPr>
        <w:t xml:space="preserve">platforms </w:t>
      </w:r>
      <w:r w:rsidRPr="00014558">
        <w:rPr>
          <w:sz w:val="24"/>
          <w:szCs w:val="24"/>
        </w:rPr>
        <w:t xml:space="preserve"> (</w:t>
      </w:r>
      <w:proofErr w:type="gramEnd"/>
      <w:r w:rsidRPr="00014558">
        <w:rPr>
          <w:sz w:val="24"/>
          <w:szCs w:val="24"/>
        </w:rPr>
        <w:t>Dong et al., 2023; Olabanji et al., 2024)</w:t>
      </w:r>
      <w:r w:rsidRPr="00014558">
        <w:rPr>
          <w:rFonts w:eastAsia="Roboto"/>
          <w:color w:val="0D0D0D"/>
          <w:sz w:val="24"/>
          <w:szCs w:val="24"/>
          <w:highlight w:val="white"/>
        </w:rPr>
        <w:t xml:space="preserve">. In agricultural finance, such attacks could distort governance decisions, exploit lending protocols, or misallocate investments. </w:t>
      </w:r>
      <w:r w:rsidRPr="00014558">
        <w:rPr>
          <w:sz w:val="24"/>
          <w:szCs w:val="24"/>
        </w:rPr>
        <w:t>Ahmed et al. (2022</w:t>
      </w:r>
      <w:proofErr w:type="gramStart"/>
      <w:r w:rsidRPr="00014558">
        <w:rPr>
          <w:sz w:val="24"/>
          <w:szCs w:val="24"/>
        </w:rPr>
        <w:t xml:space="preserve">) </w:t>
      </w:r>
      <w:r w:rsidRPr="00014558">
        <w:rPr>
          <w:rFonts w:eastAsia="Roboto"/>
          <w:color w:val="0D0D0D"/>
          <w:sz w:val="24"/>
          <w:szCs w:val="24"/>
          <w:highlight w:val="white"/>
        </w:rPr>
        <w:t xml:space="preserve"> proposes</w:t>
      </w:r>
      <w:proofErr w:type="gramEnd"/>
      <w:r w:rsidRPr="00014558">
        <w:rPr>
          <w:rFonts w:eastAsia="Roboto"/>
          <w:color w:val="0D0D0D"/>
          <w:sz w:val="24"/>
          <w:szCs w:val="24"/>
          <w:highlight w:val="white"/>
        </w:rPr>
        <w:t xml:space="preserve"> implementing self-sovereign identity frameworks, reputation-based access control, and stringent verification mechanisms to mitigate Sybil attack risks and preserve system integrity.</w:t>
      </w:r>
    </w:p>
    <w:p w14:paraId="160898DA" w14:textId="77777777" w:rsidR="008E345C" w:rsidRPr="00014558" w:rsidRDefault="002E488D">
      <w:pPr>
        <w:spacing w:before="240" w:after="240"/>
        <w:jc w:val="both"/>
        <w:rPr>
          <w:rFonts w:eastAsia="Roboto"/>
          <w:color w:val="0D0D0D"/>
          <w:sz w:val="24"/>
          <w:szCs w:val="24"/>
          <w:highlight w:val="white"/>
        </w:rPr>
      </w:pPr>
      <w:r w:rsidRPr="00014558">
        <w:rPr>
          <w:rFonts w:eastAsia="Roboto"/>
          <w:color w:val="0D0D0D"/>
          <w:sz w:val="24"/>
          <w:szCs w:val="24"/>
          <w:highlight w:val="white"/>
        </w:rPr>
        <w:t>Beyond blockchain-specific vulnerabilities, Yasin et al. (2024) notes that traditional cybersecurity threats—such as phishing, social engineering, and private key theft—remain prevalent risks. Phishing schemes trick users into revealing private keys, while social engineering manipulates individuals into making unwise financial decisions.</w:t>
      </w:r>
    </w:p>
    <w:p w14:paraId="62DC9F96" w14:textId="77777777" w:rsidR="008E345C" w:rsidRPr="00014558" w:rsidRDefault="002E488D">
      <w:pPr>
        <w:pStyle w:val="Heading2"/>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80" w:line="331" w:lineRule="auto"/>
        <w:jc w:val="both"/>
        <w:rPr>
          <w:rFonts w:eastAsia="Times New Roman"/>
          <w:b/>
          <w:color w:val="0D0D0D"/>
          <w:sz w:val="24"/>
          <w:szCs w:val="24"/>
          <w:highlight w:val="white"/>
        </w:rPr>
      </w:pPr>
      <w:bookmarkStart w:id="6" w:name="_x6d71x51dgjv" w:colFirst="0" w:colLast="0"/>
      <w:bookmarkEnd w:id="6"/>
      <w:r w:rsidRPr="00014558">
        <w:rPr>
          <w:rFonts w:eastAsia="Times New Roman"/>
          <w:b/>
          <w:color w:val="0D0D0D"/>
          <w:sz w:val="24"/>
          <w:szCs w:val="24"/>
          <w:highlight w:val="white"/>
        </w:rPr>
        <w:t>Strengthening Blockchain Security in Tokenized Agri-Finance</w:t>
      </w:r>
    </w:p>
    <w:p w14:paraId="44E326C4"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 xml:space="preserve">Enhancing the security of blockchain-based agricultural finance requires a multi-layered approach that addresses both technical vulnerabilities and human factors (Padhy et al., </w:t>
      </w:r>
      <w:r w:rsidRPr="00014558">
        <w:rPr>
          <w:color w:val="0D0D0D"/>
          <w:sz w:val="24"/>
          <w:szCs w:val="24"/>
          <w:highlight w:val="white"/>
        </w:rPr>
        <w:lastRenderedPageBreak/>
        <w:t>2023; Olabanji et al., 2024). The decentralized nature of these financial systems introduces specific security challenges that must be mitigated to ensure trust, resilience, and long-term viability. Rani et al. (2024) argues that implementing robust cybersecurity measures, secure identity management, and tamper-resistant data feeds is essential for protecting tokenized agricultural investments.</w:t>
      </w:r>
    </w:p>
    <w:p w14:paraId="59530EE9"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A fundamental aspect of securing tokenized agricultural finance is adopting multi-layered cybersecurity strategies. Multi-signature wallets, which require multiple approvals for transactions, and cold storage solutions, which keep private keys offline, significantly reduce the risk of unauthorized access and cyberattacks (Nowroozi et al., 2022; Olaniyi, 2024). Kanna and Santhi (2024) contend that regular security audits, network segmentation, and intrusion detection systems further bolster protection against potential threats. Smart contract security is another critical component, as poorly coded contracts are vulnerable to reentrancy attacks, which can drain funds (Al-E’mari &amp; Sanjalawe, 2024). Liu et al. (2024) emphasizes that to minimize these risks, formal verification techniques, rigorous third-party audits, and reentrancy guards must be integrated into smart contract development to ensure transaction security.</w:t>
      </w:r>
    </w:p>
    <w:p w14:paraId="626FD516"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The choice of consensus mechanisms is pivotal in blockchain security. Chembakassery (2024) posits that Proof-of-Stake (PoS) and Delegated Proof-of-Stake (DPoS) improve energy efficiency and reduce susceptibility to centralization compared to Proof-of-Work (PoW). Additionally, Byzantine Fault Tolerance (BFT) models enhance system security by ensuring blockchain networks remain operational despite malicious nodes. These consensus mechanisms reinforce the reliability of blockchain networks in agricultural finance by minimizing risks associated with excessive control by a single entity (Ahmed et al., 2024).</w:t>
      </w:r>
    </w:p>
    <w:p w14:paraId="774EA207"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 xml:space="preserve">Decentralized identity and access management play a crucial role in preventing unauthorized access and mitigating Sybil attacks, where malicious actors create multiple identities to manipulate governance decisions and financial transactions </w:t>
      </w:r>
      <w:r w:rsidRPr="00014558">
        <w:rPr>
          <w:sz w:val="24"/>
          <w:szCs w:val="24"/>
        </w:rPr>
        <w:t>(Dong et al., 2023)</w:t>
      </w:r>
      <w:r w:rsidRPr="00014558">
        <w:rPr>
          <w:color w:val="0D0D0D"/>
          <w:sz w:val="24"/>
          <w:szCs w:val="24"/>
          <w:highlight w:val="white"/>
        </w:rPr>
        <w:t xml:space="preserve">. Ahmed et al. (2022) argues that self-sovereign identity frameworks allow users to control their digital identities, reducing reliance on centralized authorities while enhancing privacy. Additionally, Zero-Knowledge Proofs (ZKPs) provide an extra layer of security by enabling identity verification without disclosing sensitive information. Reputation-based </w:t>
      </w:r>
      <w:r w:rsidRPr="00014558">
        <w:rPr>
          <w:color w:val="0D0D0D"/>
          <w:sz w:val="24"/>
          <w:szCs w:val="24"/>
          <w:highlight w:val="white"/>
        </w:rPr>
        <w:lastRenderedPageBreak/>
        <w:t>access control mechanisms further ensure that only credible participants engage in tokenized agricultural finance, fostering transparency and trust (Doshi et al., 2024).</w:t>
      </w:r>
    </w:p>
    <w:p w14:paraId="1EAADC1C" w14:textId="77777777" w:rsidR="008E345C" w:rsidRPr="00014558" w:rsidRDefault="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r w:rsidRPr="00014558">
        <w:rPr>
          <w:color w:val="0D0D0D"/>
          <w:sz w:val="24"/>
          <w:szCs w:val="24"/>
          <w:highlight w:val="white"/>
        </w:rPr>
        <w:t xml:space="preserve">Ensuring data integrity in tokenized agricultural markets is equally vital. </w:t>
      </w:r>
      <w:r w:rsidRPr="00014558">
        <w:rPr>
          <w:sz w:val="24"/>
          <w:szCs w:val="24"/>
        </w:rPr>
        <w:t xml:space="preserve"> Hassan et al. (2023).</w:t>
      </w:r>
      <w:r w:rsidRPr="00014558">
        <w:rPr>
          <w:color w:val="0D0D0D"/>
          <w:sz w:val="24"/>
          <w:szCs w:val="24"/>
          <w:highlight w:val="white"/>
        </w:rPr>
        <w:t xml:space="preserve"> highlights that decentralized oracle networks, such as Chainlink and Band Protocol, secure data feeds into smart contracts, mitigating risks associated with oracle manipulation attacks. By aggregating information from multiple sources, these networks enhance the accuracy of external data used in tokenized transactions. Multi-source verification mechanisms further prevent fraudulent price manipulation and market distortions, ensuring stable asset valuations and investor confidence.</w:t>
      </w:r>
    </w:p>
    <w:p w14:paraId="1BCAD180" w14:textId="77777777" w:rsidR="00005E2F" w:rsidRPr="00014558" w:rsidRDefault="00005E2F" w:rsidP="00A77947">
      <w:pPr>
        <w:pStyle w:val="Heading3"/>
        <w:rPr>
          <w:rStyle w:val="Strong"/>
          <w:b w:val="0"/>
          <w:bCs w:val="0"/>
          <w:sz w:val="24"/>
          <w:szCs w:val="24"/>
        </w:rPr>
        <w:sectPr w:rsidR="00005E2F" w:rsidRPr="0001455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pPr>
    </w:p>
    <w:p w14:paraId="4ED3DF3C" w14:textId="77777777" w:rsidR="00854BA9" w:rsidRPr="00014558" w:rsidRDefault="00761295" w:rsidP="00854BA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b/>
          <w:color w:val="0D0D0D"/>
          <w:sz w:val="24"/>
          <w:szCs w:val="24"/>
          <w:highlight w:val="white"/>
        </w:rPr>
      </w:pPr>
      <w:r>
        <w:rPr>
          <w:b/>
          <w:color w:val="0D0D0D"/>
          <w:sz w:val="24"/>
          <w:szCs w:val="24"/>
          <w:highlight w:val="white"/>
        </w:rPr>
        <w:lastRenderedPageBreak/>
        <w:t>3.</w:t>
      </w:r>
      <w:r>
        <w:rPr>
          <w:b/>
          <w:color w:val="0D0D0D"/>
          <w:sz w:val="24"/>
          <w:szCs w:val="24"/>
          <w:highlight w:val="white"/>
        </w:rPr>
        <w:tab/>
      </w:r>
      <w:r w:rsidR="00854BA9" w:rsidRPr="00014558">
        <w:rPr>
          <w:b/>
          <w:color w:val="0D0D0D"/>
          <w:sz w:val="24"/>
          <w:szCs w:val="24"/>
          <w:highlight w:val="white"/>
        </w:rPr>
        <w:t>Methodology</w:t>
      </w:r>
    </w:p>
    <w:p w14:paraId="3127E26E" w14:textId="77777777" w:rsidR="00854BA9" w:rsidRPr="00014558" w:rsidRDefault="00854BA9" w:rsidP="00854BA9">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160" w:after="160" w:line="331" w:lineRule="auto"/>
        <w:jc w:val="both"/>
        <w:rPr>
          <w:color w:val="0D0D0D"/>
          <w:sz w:val="24"/>
          <w:szCs w:val="24"/>
          <w:highlight w:val="white"/>
        </w:rPr>
      </w:pPr>
      <w:r w:rsidRPr="00014558">
        <w:rPr>
          <w:sz w:val="24"/>
          <w:szCs w:val="24"/>
        </w:rPr>
        <w:t>This study employs quantitative statistical analysis, blockchain transaction monitoring, and econometric modeling to examine the impact of tokenization on agricultural finance. It focuses on fraud risks, financial accessibility, tokenized asset security, and efficiency improvements. Data from the World Bank Global Financial Inclusion Database (Findex), Ethereum blockchain transactions (Etherscan API), and FAO Agristats Database are analyzed using logistic regression, anomaly detection, and the Difference-in-Differences (DiD) model. Table 1 summarizes the methodological approach.</w:t>
      </w:r>
    </w:p>
    <w:p w14:paraId="6226636F" w14:textId="77777777" w:rsidR="00A77947" w:rsidRPr="00014558" w:rsidRDefault="00A77947" w:rsidP="00A77947">
      <w:pPr>
        <w:pStyle w:val="Heading3"/>
        <w:rPr>
          <w:sz w:val="24"/>
          <w:szCs w:val="24"/>
        </w:rPr>
      </w:pPr>
      <w:r w:rsidRPr="00014558">
        <w:rPr>
          <w:rStyle w:val="Strong"/>
          <w:b w:val="0"/>
          <w:bCs w:val="0"/>
          <w:sz w:val="24"/>
          <w:szCs w:val="24"/>
        </w:rPr>
        <w:t>Table 1: Methodological Approach</w:t>
      </w:r>
    </w:p>
    <w:tbl>
      <w:tblPr>
        <w:tblStyle w:val="PlainTable2"/>
        <w:tblW w:w="13349" w:type="dxa"/>
        <w:tblLook w:val="04A0" w:firstRow="1" w:lastRow="0" w:firstColumn="1" w:lastColumn="0" w:noHBand="0" w:noVBand="1"/>
      </w:tblPr>
      <w:tblGrid>
        <w:gridCol w:w="4340"/>
        <w:gridCol w:w="3197"/>
        <w:gridCol w:w="5812"/>
      </w:tblGrid>
      <w:tr w:rsidR="00A77947" w:rsidRPr="00014558" w14:paraId="0B26402E" w14:textId="77777777" w:rsidTr="00E0498B">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hideMark/>
          </w:tcPr>
          <w:p w14:paraId="75C1927B" w14:textId="77777777" w:rsidR="00A77947" w:rsidRPr="00014558" w:rsidRDefault="00A77947">
            <w:pPr>
              <w:jc w:val="center"/>
              <w:rPr>
                <w:b w:val="0"/>
                <w:bCs w:val="0"/>
                <w:sz w:val="24"/>
                <w:szCs w:val="24"/>
              </w:rPr>
            </w:pPr>
            <w:r w:rsidRPr="00014558">
              <w:rPr>
                <w:rStyle w:val="Strong"/>
                <w:sz w:val="24"/>
                <w:szCs w:val="24"/>
              </w:rPr>
              <w:t>Objectives</w:t>
            </w:r>
          </w:p>
        </w:tc>
        <w:tc>
          <w:tcPr>
            <w:tcW w:w="0" w:type="auto"/>
            <w:hideMark/>
          </w:tcPr>
          <w:p w14:paraId="1E1D6DE0" w14:textId="77777777" w:rsidR="00A77947" w:rsidRPr="00014558" w:rsidRDefault="00A77947">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014558">
              <w:rPr>
                <w:rStyle w:val="Strong"/>
                <w:sz w:val="24"/>
                <w:szCs w:val="24"/>
              </w:rPr>
              <w:t>Data</w:t>
            </w:r>
          </w:p>
        </w:tc>
        <w:tc>
          <w:tcPr>
            <w:tcW w:w="0" w:type="auto"/>
            <w:hideMark/>
          </w:tcPr>
          <w:p w14:paraId="6A0CE125" w14:textId="77777777" w:rsidR="00A77947" w:rsidRPr="00014558" w:rsidRDefault="00A77947">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014558">
              <w:rPr>
                <w:rStyle w:val="Strong"/>
                <w:sz w:val="24"/>
                <w:szCs w:val="24"/>
              </w:rPr>
              <w:t>Methodology</w:t>
            </w:r>
          </w:p>
        </w:tc>
      </w:tr>
      <w:tr w:rsidR="00A77947" w:rsidRPr="00014558" w14:paraId="1D28D955" w14:textId="77777777" w:rsidTr="00E0498B">
        <w:trPr>
          <w:cnfStyle w:val="000000100000" w:firstRow="0" w:lastRow="0" w:firstColumn="0" w:lastColumn="0" w:oddVBand="0" w:evenVBand="0" w:oddHBand="1" w:evenHBand="0" w:firstRowFirstColumn="0" w:firstRowLastColumn="0" w:lastRowFirstColumn="0" w:lastRowLastColumn="0"/>
          <w:trHeight w:val="1811"/>
        </w:trPr>
        <w:tc>
          <w:tcPr>
            <w:cnfStyle w:val="001000000000" w:firstRow="0" w:lastRow="0" w:firstColumn="1" w:lastColumn="0" w:oddVBand="0" w:evenVBand="0" w:oddHBand="0" w:evenHBand="0" w:firstRowFirstColumn="0" w:firstRowLastColumn="0" w:lastRowFirstColumn="0" w:lastRowLastColumn="0"/>
            <w:tcW w:w="0" w:type="auto"/>
            <w:hideMark/>
          </w:tcPr>
          <w:p w14:paraId="5578E23A" w14:textId="77777777" w:rsidR="00A77947" w:rsidRPr="00014558" w:rsidRDefault="00A77947">
            <w:pPr>
              <w:rPr>
                <w:sz w:val="24"/>
                <w:szCs w:val="24"/>
              </w:rPr>
            </w:pPr>
            <w:r w:rsidRPr="00014558">
              <w:rPr>
                <w:rStyle w:val="Strong"/>
                <w:sz w:val="24"/>
                <w:szCs w:val="24"/>
              </w:rPr>
              <w:t>Analyze the current landscape of agri-finance and investment models, identifying key vulnerabilities to fraud and cyber risks.</w:t>
            </w:r>
          </w:p>
        </w:tc>
        <w:tc>
          <w:tcPr>
            <w:tcW w:w="0" w:type="auto"/>
            <w:hideMark/>
          </w:tcPr>
          <w:p w14:paraId="198BA9C8" w14:textId="77777777" w:rsidR="00A77947" w:rsidRPr="00014558" w:rsidRDefault="00A77947">
            <w:pPr>
              <w:cnfStyle w:val="000000100000" w:firstRow="0" w:lastRow="0" w:firstColumn="0" w:lastColumn="0" w:oddVBand="0" w:evenVBand="0" w:oddHBand="1" w:evenHBand="0" w:firstRowFirstColumn="0" w:firstRowLastColumn="0" w:lastRowFirstColumn="0" w:lastRowLastColumn="0"/>
              <w:rPr>
                <w:sz w:val="24"/>
                <w:szCs w:val="24"/>
              </w:rPr>
            </w:pPr>
            <w:r w:rsidRPr="00014558">
              <w:rPr>
                <w:sz w:val="24"/>
                <w:szCs w:val="24"/>
              </w:rPr>
              <w:t>World Bank Global Financial Inclusion Database (Findex) – Agricultural Finance Subset</w:t>
            </w:r>
          </w:p>
        </w:tc>
        <w:tc>
          <w:tcPr>
            <w:tcW w:w="0" w:type="auto"/>
            <w:hideMark/>
          </w:tcPr>
          <w:p w14:paraId="1DFD27EA" w14:textId="77777777" w:rsidR="00A77947" w:rsidRPr="00014558" w:rsidRDefault="00A77947">
            <w:pPr>
              <w:cnfStyle w:val="000000100000" w:firstRow="0" w:lastRow="0" w:firstColumn="0" w:lastColumn="0" w:oddVBand="0" w:evenVBand="0" w:oddHBand="1" w:evenHBand="0" w:firstRowFirstColumn="0" w:firstRowLastColumn="0" w:lastRowFirstColumn="0" w:lastRowLastColumn="0"/>
              <w:rPr>
                <w:rStyle w:val="Strong"/>
                <w:sz w:val="24"/>
                <w:szCs w:val="24"/>
              </w:rPr>
            </w:pPr>
            <m:oMathPara>
              <m:oMath>
                <m:r>
                  <m:rPr>
                    <m:sty m:val="p"/>
                  </m:rPr>
                  <w:rPr>
                    <w:rStyle w:val="mord"/>
                    <w:rFonts w:ascii="Cambria Math" w:hAnsi="Cambria Math"/>
                    <w:sz w:val="24"/>
                    <w:szCs w:val="24"/>
                  </w:rPr>
                  <m:t>P</m:t>
                </m:r>
                <m:d>
                  <m:dPr>
                    <m:ctrlPr>
                      <w:rPr>
                        <w:rStyle w:val="mopen"/>
                        <w:rFonts w:ascii="Cambria Math" w:hAnsi="Cambria Math"/>
                        <w:sz w:val="24"/>
                        <w:szCs w:val="24"/>
                      </w:rPr>
                    </m:ctrlPr>
                  </m:dPr>
                  <m:e>
                    <m:r>
                      <m:rPr>
                        <m:sty m:val="p"/>
                      </m:rPr>
                      <w:rPr>
                        <w:rStyle w:val="mord"/>
                        <w:rFonts w:ascii="Cambria Math" w:hAnsi="Cambria Math"/>
                        <w:sz w:val="24"/>
                        <w:szCs w:val="24"/>
                      </w:rPr>
                      <m:t>Y</m:t>
                    </m:r>
                    <m:ctrlPr>
                      <w:rPr>
                        <w:rStyle w:val="mclose"/>
                        <w:rFonts w:ascii="Cambria Math" w:hAnsi="Cambria Math"/>
                        <w:sz w:val="24"/>
                        <w:szCs w:val="24"/>
                      </w:rPr>
                    </m:ctrlPr>
                  </m:e>
                </m:d>
                <m:r>
                  <m:rPr>
                    <m:sty m:val="p"/>
                  </m:rPr>
                  <w:rPr>
                    <w:rStyle w:val="mrel"/>
                    <w:rFonts w:ascii="Cambria Math" w:hAnsi="Cambria Math"/>
                    <w:sz w:val="24"/>
                    <w:szCs w:val="24"/>
                  </w:rPr>
                  <m:t>=</m:t>
                </m:r>
                <m:f>
                  <m:fPr>
                    <m:ctrlPr>
                      <w:rPr>
                        <w:rStyle w:val="mrel"/>
                        <w:rFonts w:ascii="Cambria Math" w:hAnsi="Cambria Math"/>
                        <w:sz w:val="24"/>
                        <w:szCs w:val="24"/>
                      </w:rPr>
                    </m:ctrlPr>
                  </m:fPr>
                  <m:num>
                    <m:r>
                      <m:rPr>
                        <m:sty m:val="p"/>
                      </m:rPr>
                      <w:rPr>
                        <w:rStyle w:val="mrel"/>
                        <w:rFonts w:ascii="Cambria Math" w:hAnsi="Cambria Math"/>
                        <w:sz w:val="24"/>
                        <w:szCs w:val="24"/>
                      </w:rPr>
                      <m:t>1</m:t>
                    </m:r>
                  </m:num>
                  <m:den>
                    <m:r>
                      <m:rPr>
                        <m:sty m:val="p"/>
                      </m:rPr>
                      <w:rPr>
                        <w:rStyle w:val="mord"/>
                        <w:rFonts w:ascii="Cambria Math" w:hAnsi="Cambria Math"/>
                        <w:sz w:val="24"/>
                        <w:szCs w:val="24"/>
                      </w:rPr>
                      <m:t>1</m:t>
                    </m:r>
                    <m:r>
                      <m:rPr>
                        <m:sty m:val="p"/>
                      </m:rPr>
                      <w:rPr>
                        <w:rStyle w:val="mbin"/>
                        <w:rFonts w:ascii="Cambria Math" w:hAnsi="Cambria Math"/>
                        <w:sz w:val="24"/>
                        <w:szCs w:val="24"/>
                      </w:rPr>
                      <m:t>+</m:t>
                    </m:r>
                    <m:r>
                      <m:rPr>
                        <m:sty m:val="p"/>
                      </m:rPr>
                      <w:rPr>
                        <w:rStyle w:val="mord"/>
                        <w:rFonts w:ascii="Cambria Math" w:hAnsi="Cambria Math"/>
                        <w:sz w:val="24"/>
                        <w:szCs w:val="24"/>
                      </w:rPr>
                      <m:t>e</m:t>
                    </m:r>
                    <m:sSup>
                      <m:sSupPr>
                        <m:ctrlPr>
                          <w:rPr>
                            <w:rStyle w:val="mord"/>
                            <w:rFonts w:ascii="Cambria Math" w:hAnsi="Cambria Math"/>
                            <w:sz w:val="24"/>
                            <w:szCs w:val="24"/>
                          </w:rPr>
                        </m:ctrlPr>
                      </m:sSupPr>
                      <m:e>
                        <m:r>
                          <m:rPr>
                            <m:sty m:val="p"/>
                          </m:rPr>
                          <w:rPr>
                            <w:rStyle w:val="mord"/>
                            <w:rFonts w:ascii="Cambria Math" w:hAnsi="Cambria Math"/>
                            <w:sz w:val="24"/>
                            <w:szCs w:val="24"/>
                          </w:rPr>
                          <m:t>-</m:t>
                        </m:r>
                      </m:e>
                      <m:sup>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0</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ϵ</m:t>
                            </m:r>
                            <m:ctrlPr>
                              <w:rPr>
                                <w:rStyle w:val="mclose"/>
                                <w:rFonts w:ascii="Cambria Math" w:hAnsi="Cambria Math"/>
                                <w:sz w:val="24"/>
                                <w:szCs w:val="24"/>
                              </w:rPr>
                            </m:ctrlPr>
                          </m:e>
                        </m:d>
                      </m:sup>
                    </m:sSup>
                  </m:den>
                </m:f>
              </m:oMath>
            </m:oMathPara>
          </w:p>
          <w:p w14:paraId="13F0EFB6" w14:textId="77777777" w:rsidR="00A77947" w:rsidRPr="00014558" w:rsidRDefault="00A77947">
            <w:pPr>
              <w:cnfStyle w:val="000000100000" w:firstRow="0" w:lastRow="0" w:firstColumn="0" w:lastColumn="0" w:oddVBand="0" w:evenVBand="0" w:oddHBand="1" w:evenHBand="0" w:firstRowFirstColumn="0" w:firstRowLastColumn="0" w:lastRowFirstColumn="0" w:lastRowLastColumn="0"/>
              <w:rPr>
                <w:sz w:val="24"/>
                <w:szCs w:val="24"/>
              </w:rPr>
            </w:pPr>
            <w:r w:rsidRPr="00014558">
              <w:rPr>
                <w:rStyle w:val="Strong"/>
                <w:sz w:val="24"/>
                <w:szCs w:val="24"/>
              </w:rPr>
              <w:t>Regression Model for Fraud Risk Prediction:</w:t>
            </w:r>
            <w:r w:rsidRPr="00014558">
              <w:rPr>
                <w:sz w:val="24"/>
                <w:szCs w:val="24"/>
              </w:rPr>
              <w:t xml:space="preserve"> </w:t>
            </w:r>
            <w:r w:rsidRPr="00014558">
              <w:rPr>
                <w:sz w:val="24"/>
                <w:szCs w:val="24"/>
              </w:rPr>
              <w:br/>
              <w:t xml:space="preserve">Where </w:t>
            </w:r>
            <w:r w:rsidRPr="00014558">
              <w:rPr>
                <w:rStyle w:val="mord"/>
                <w:sz w:val="24"/>
                <w:szCs w:val="24"/>
              </w:rPr>
              <w:t>Y</w:t>
            </w:r>
            <w:r w:rsidRPr="00014558">
              <w:rPr>
                <w:sz w:val="24"/>
                <w:szCs w:val="24"/>
              </w:rPr>
              <w:t xml:space="preserve"> represent the probability of fraud occurrence, </w:t>
            </w:r>
            <w:r w:rsidRPr="00014558">
              <w:rPr>
                <w:rStyle w:val="katex-mathml"/>
                <w:sz w:val="24"/>
                <w:szCs w:val="24"/>
              </w:rPr>
              <w:t>X</w:t>
            </w:r>
            <w:r w:rsidRPr="00014558">
              <w:rPr>
                <w:rStyle w:val="katex-mathml"/>
                <w:sz w:val="24"/>
                <w:szCs w:val="24"/>
                <w:vertAlign w:val="subscript"/>
              </w:rPr>
              <w:t>1</w:t>
            </w:r>
            <w:r w:rsidRPr="00014558">
              <w:rPr>
                <w:rStyle w:val="vlist-s"/>
                <w:sz w:val="24"/>
                <w:szCs w:val="24"/>
              </w:rPr>
              <w:t>​</w:t>
            </w:r>
            <w:r w:rsidRPr="00014558">
              <w:rPr>
                <w:sz w:val="24"/>
                <w:szCs w:val="24"/>
              </w:rPr>
              <w:t xml:space="preserve"> denote digital finance adoption rate, </w:t>
            </w:r>
            <w:r w:rsidRPr="00014558">
              <w:rPr>
                <w:rStyle w:val="katex-mathml"/>
                <w:sz w:val="24"/>
                <w:szCs w:val="24"/>
              </w:rPr>
              <w:t>X</w:t>
            </w:r>
            <w:r w:rsidRPr="00014558">
              <w:rPr>
                <w:rStyle w:val="katex-mathml"/>
                <w:sz w:val="24"/>
                <w:szCs w:val="24"/>
                <w:vertAlign w:val="subscript"/>
              </w:rPr>
              <w:t>2</w:t>
            </w:r>
            <w:r w:rsidRPr="00014558">
              <w:rPr>
                <w:rStyle w:val="vlist-s"/>
                <w:sz w:val="24"/>
                <w:szCs w:val="24"/>
              </w:rPr>
              <w:t>​</w:t>
            </w:r>
            <w:r w:rsidRPr="00014558">
              <w:rPr>
                <w:sz w:val="24"/>
                <w:szCs w:val="24"/>
              </w:rPr>
              <w:t xml:space="preserve"> signify transaction volume, and </w:t>
            </w:r>
            <w:r w:rsidRPr="00014558">
              <w:rPr>
                <w:rStyle w:val="katex-mathml"/>
                <w:sz w:val="24"/>
                <w:szCs w:val="24"/>
              </w:rPr>
              <w:t>X</w:t>
            </w:r>
            <w:r w:rsidRPr="00014558">
              <w:rPr>
                <w:rStyle w:val="katex-mathml"/>
                <w:sz w:val="24"/>
                <w:szCs w:val="24"/>
                <w:vertAlign w:val="subscript"/>
              </w:rPr>
              <w:t>3</w:t>
            </w:r>
            <w:r w:rsidRPr="00014558">
              <w:rPr>
                <w:sz w:val="24"/>
                <w:szCs w:val="24"/>
              </w:rPr>
              <w:t xml:space="preserve"> indicate regulatory strength.</w:t>
            </w:r>
          </w:p>
        </w:tc>
      </w:tr>
      <w:tr w:rsidR="00A77947" w:rsidRPr="00014558" w14:paraId="5EC38385" w14:textId="77777777" w:rsidTr="00E0498B">
        <w:trPr>
          <w:trHeight w:val="1829"/>
        </w:trPr>
        <w:tc>
          <w:tcPr>
            <w:cnfStyle w:val="001000000000" w:firstRow="0" w:lastRow="0" w:firstColumn="1" w:lastColumn="0" w:oddVBand="0" w:evenVBand="0" w:oddHBand="0" w:evenHBand="0" w:firstRowFirstColumn="0" w:firstRowLastColumn="0" w:lastRowFirstColumn="0" w:lastRowLastColumn="0"/>
            <w:tcW w:w="0" w:type="auto"/>
            <w:hideMark/>
          </w:tcPr>
          <w:p w14:paraId="43265EE8" w14:textId="77777777" w:rsidR="00A77947" w:rsidRPr="00014558" w:rsidRDefault="00A77947">
            <w:pPr>
              <w:rPr>
                <w:sz w:val="24"/>
                <w:szCs w:val="24"/>
              </w:rPr>
            </w:pPr>
            <w:r w:rsidRPr="00014558">
              <w:rPr>
                <w:rStyle w:val="Strong"/>
                <w:sz w:val="24"/>
                <w:szCs w:val="24"/>
              </w:rPr>
              <w:t>Evaluate the technical feasibility and security implications of tokenizing agricultural assets using blockchain technology.</w:t>
            </w:r>
          </w:p>
        </w:tc>
        <w:tc>
          <w:tcPr>
            <w:tcW w:w="0" w:type="auto"/>
            <w:hideMark/>
          </w:tcPr>
          <w:p w14:paraId="3213B9A2" w14:textId="77777777" w:rsidR="00A77947" w:rsidRPr="00014558" w:rsidRDefault="00A77947">
            <w:pPr>
              <w:cnfStyle w:val="000000000000" w:firstRow="0" w:lastRow="0" w:firstColumn="0" w:lastColumn="0" w:oddVBand="0" w:evenVBand="0" w:oddHBand="0" w:evenHBand="0" w:firstRowFirstColumn="0" w:firstRowLastColumn="0" w:lastRowFirstColumn="0" w:lastRowLastColumn="0"/>
              <w:rPr>
                <w:sz w:val="24"/>
                <w:szCs w:val="24"/>
              </w:rPr>
            </w:pPr>
            <w:r w:rsidRPr="00014558">
              <w:rPr>
                <w:sz w:val="24"/>
                <w:szCs w:val="24"/>
              </w:rPr>
              <w:t>Ethereum Blockchain Transaction Data (From Etherscan API – Agri-Token Transactions Subset)</w:t>
            </w:r>
          </w:p>
        </w:tc>
        <w:tc>
          <w:tcPr>
            <w:tcW w:w="0" w:type="auto"/>
            <w:hideMark/>
          </w:tcPr>
          <w:p w14:paraId="39C53D0A" w14:textId="77777777" w:rsidR="00A77947" w:rsidRPr="00014558" w:rsidRDefault="00A77947">
            <w:pPr>
              <w:cnfStyle w:val="000000000000" w:firstRow="0" w:lastRow="0" w:firstColumn="0" w:lastColumn="0" w:oddVBand="0" w:evenVBand="0" w:oddHBand="0" w:evenHBand="0" w:firstRowFirstColumn="0" w:firstRowLastColumn="0" w:lastRowFirstColumn="0" w:lastRowLastColumn="0"/>
              <w:rPr>
                <w:sz w:val="24"/>
                <w:szCs w:val="24"/>
              </w:rPr>
            </w:pPr>
            <w:r w:rsidRPr="00014558">
              <w:rPr>
                <w:rStyle w:val="Strong"/>
                <w:sz w:val="24"/>
                <w:szCs w:val="24"/>
              </w:rPr>
              <w:t>Anomaly Detection in Blockchain Transactions:</w:t>
            </w:r>
            <w:r w:rsidRPr="00014558">
              <w:rPr>
                <w:sz w:val="24"/>
                <w:szCs w:val="24"/>
              </w:rPr>
              <w:t xml:space="preserve"> </w:t>
            </w:r>
            <w:r w:rsidRPr="00014558">
              <w:rPr>
                <w:sz w:val="24"/>
                <w:szCs w:val="24"/>
              </w:rPr>
              <w:br/>
              <w:t xml:space="preserve">To detect fraudulent transactions, the Z-score for each transaction value </w:t>
            </w:r>
            <w:r w:rsidRPr="00014558">
              <w:rPr>
                <w:rStyle w:val="katex-mathml"/>
                <w:sz w:val="24"/>
                <w:szCs w:val="24"/>
              </w:rPr>
              <w:t>Xi</w:t>
            </w:r>
            <w:r w:rsidR="00E46FCC" w:rsidRPr="00014558">
              <w:rPr>
                <w:rStyle w:val="katex-mathml"/>
                <w:sz w:val="24"/>
                <w:szCs w:val="24"/>
              </w:rPr>
              <w:t xml:space="preserve"> wa</w:t>
            </w:r>
            <w:r w:rsidRPr="00014558">
              <w:rPr>
                <w:sz w:val="24"/>
                <w:szCs w:val="24"/>
              </w:rPr>
              <w:t xml:space="preserve">s calculated: </w:t>
            </w:r>
            <w:r w:rsidRPr="00014558">
              <w:rPr>
                <w:sz w:val="24"/>
                <w:szCs w:val="24"/>
              </w:rPr>
              <w:br/>
            </w:r>
            <m:oMath>
              <m:sSub>
                <m:sSubPr>
                  <m:ctrlPr>
                    <w:rPr>
                      <w:rStyle w:val="mord"/>
                      <w:rFonts w:ascii="Cambria Math" w:hAnsi="Cambria Math"/>
                      <w:sz w:val="24"/>
                      <w:szCs w:val="24"/>
                    </w:rPr>
                  </m:ctrlPr>
                </m:sSubPr>
                <m:e>
                  <m:r>
                    <m:rPr>
                      <m:sty m:val="p"/>
                    </m:rPr>
                    <w:rPr>
                      <w:rStyle w:val="mord"/>
                      <w:rFonts w:ascii="Cambria Math" w:hAnsi="Cambria Math"/>
                      <w:sz w:val="24"/>
                      <w:szCs w:val="24"/>
                    </w:rPr>
                    <m:t>Z</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rel"/>
                  <w:rFonts w:ascii="Cambria Math" w:hAnsi="Cambria Math"/>
                  <w:sz w:val="24"/>
                  <w:szCs w:val="24"/>
                </w:rPr>
                <m:t>=</m:t>
              </m:r>
              <m:f>
                <m:fPr>
                  <m:ctrlPr>
                    <w:rPr>
                      <w:rStyle w:val="mord"/>
                      <w:rFonts w:ascii="Cambria Math" w:hAnsi="Cambria Math"/>
                      <w:sz w:val="24"/>
                      <w:szCs w:val="24"/>
                    </w:rPr>
                  </m:ctrlPr>
                </m:fPr>
                <m:num>
                  <m:sSub>
                    <m:sSubPr>
                      <m:ctrlPr>
                        <w:rPr>
                          <w:rStyle w:val="mord"/>
                          <w:rFonts w:ascii="Cambria Math" w:hAnsi="Cambria Math"/>
                          <w:sz w:val="24"/>
                          <w:szCs w:val="24"/>
                        </w:rPr>
                      </m:ctrlPr>
                    </m:sSubPr>
                    <m:e>
                      <m:r>
                        <m:rPr>
                          <m:sty m:val="p"/>
                        </m:rPr>
                        <w:rPr>
                          <w:rStyle w:val="mord"/>
                          <w:rFonts w:ascii="Cambria Math" w:hAnsi="Cambria Math"/>
                          <w:sz w:val="24"/>
                          <w:szCs w:val="24"/>
                        </w:rPr>
                        <m:t>X</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r>
                    <m:rPr>
                      <m:sty m:val="p"/>
                    </m:rPr>
                    <w:rPr>
                      <w:rStyle w:val="mord"/>
                      <w:rFonts w:ascii="Cambria Math" w:hAnsi="Cambria Math"/>
                      <w:sz w:val="24"/>
                      <w:szCs w:val="24"/>
                    </w:rPr>
                    <m:t>μ</m:t>
                  </m:r>
                </m:num>
                <m:den>
                  <m:r>
                    <m:rPr>
                      <m:sty m:val="p"/>
                    </m:rPr>
                    <w:rPr>
                      <w:rStyle w:val="mord"/>
                      <w:rFonts w:ascii="Cambria Math" w:hAnsi="Cambria Math"/>
                      <w:sz w:val="24"/>
                      <w:szCs w:val="24"/>
                    </w:rPr>
                    <m:t>σ</m:t>
                  </m:r>
                </m:den>
              </m:f>
              <m:r>
                <m:rPr>
                  <m:sty m:val="p"/>
                </m:rPr>
                <w:rPr>
                  <w:rStyle w:val="vlist-s"/>
                  <w:rFonts w:ascii="Cambria Math" w:hAnsi="Cambria Math"/>
                  <w:sz w:val="24"/>
                  <w:szCs w:val="24"/>
                </w:rPr>
                <m:t>​</m:t>
              </m:r>
            </m:oMath>
            <w:r w:rsidRPr="00014558">
              <w:rPr>
                <w:rStyle w:val="vlist-s"/>
                <w:sz w:val="24"/>
                <w:szCs w:val="24"/>
              </w:rPr>
              <w:t>​</w:t>
            </w:r>
            <w:r w:rsidRPr="00014558">
              <w:rPr>
                <w:sz w:val="24"/>
                <w:szCs w:val="24"/>
              </w:rPr>
              <w:t xml:space="preserve"> </w:t>
            </w:r>
            <w:r w:rsidRPr="00014558">
              <w:rPr>
                <w:sz w:val="24"/>
                <w:szCs w:val="24"/>
              </w:rPr>
              <w:br/>
              <w:t xml:space="preserve">where </w:t>
            </w:r>
            <w:r w:rsidRPr="00014558">
              <w:rPr>
                <w:rStyle w:val="katex-mathml"/>
                <w:sz w:val="24"/>
                <w:szCs w:val="24"/>
              </w:rPr>
              <w:t>μ</w:t>
            </w:r>
            <w:r w:rsidRPr="00014558">
              <w:rPr>
                <w:sz w:val="24"/>
                <w:szCs w:val="24"/>
              </w:rPr>
              <w:t xml:space="preserve"> is the mean transaction value and </w:t>
            </w:r>
            <w:r w:rsidRPr="00014558">
              <w:rPr>
                <w:rStyle w:val="katex-mathml"/>
                <w:sz w:val="24"/>
                <w:szCs w:val="24"/>
              </w:rPr>
              <w:t>σ</w:t>
            </w:r>
            <w:r w:rsidRPr="00014558">
              <w:rPr>
                <w:sz w:val="24"/>
                <w:szCs w:val="24"/>
              </w:rPr>
              <w:t xml:space="preserve"> is th</w:t>
            </w:r>
            <w:r w:rsidR="005627F5" w:rsidRPr="00014558">
              <w:rPr>
                <w:sz w:val="24"/>
                <w:szCs w:val="24"/>
              </w:rPr>
              <w:t>e standard deviation.</w:t>
            </w:r>
          </w:p>
        </w:tc>
      </w:tr>
      <w:tr w:rsidR="00A77947" w:rsidRPr="00014558" w14:paraId="36EC983A" w14:textId="77777777" w:rsidTr="00E0498B">
        <w:trPr>
          <w:cnfStyle w:val="000000100000" w:firstRow="0" w:lastRow="0" w:firstColumn="0" w:lastColumn="0" w:oddVBand="0" w:evenVBand="0" w:oddHBand="1" w:evenHBand="0" w:firstRowFirstColumn="0" w:firstRowLastColumn="0" w:lastRowFirstColumn="0" w:lastRowLastColumn="0"/>
          <w:trHeight w:val="1703"/>
        </w:trPr>
        <w:tc>
          <w:tcPr>
            <w:cnfStyle w:val="001000000000" w:firstRow="0" w:lastRow="0" w:firstColumn="1" w:lastColumn="0" w:oddVBand="0" w:evenVBand="0" w:oddHBand="0" w:evenHBand="0" w:firstRowFirstColumn="0" w:firstRowLastColumn="0" w:lastRowFirstColumn="0" w:lastRowLastColumn="0"/>
            <w:tcW w:w="0" w:type="auto"/>
            <w:hideMark/>
          </w:tcPr>
          <w:p w14:paraId="0D996BD2" w14:textId="77777777" w:rsidR="00A77947" w:rsidRPr="00014558" w:rsidRDefault="00A77947">
            <w:pPr>
              <w:rPr>
                <w:sz w:val="24"/>
                <w:szCs w:val="24"/>
              </w:rPr>
            </w:pPr>
            <w:r w:rsidRPr="00014558">
              <w:rPr>
                <w:rStyle w:val="Strong"/>
                <w:sz w:val="24"/>
                <w:szCs w:val="24"/>
              </w:rPr>
              <w:t>Assess the potential benefits and challenges of tokenization for improving access to finance, transparency, and efficiency in agri-finance and investment.</w:t>
            </w:r>
          </w:p>
        </w:tc>
        <w:tc>
          <w:tcPr>
            <w:tcW w:w="0" w:type="auto"/>
            <w:hideMark/>
          </w:tcPr>
          <w:p w14:paraId="51CA1D59" w14:textId="77777777" w:rsidR="00A77947" w:rsidRPr="00014558" w:rsidRDefault="00A77947">
            <w:pPr>
              <w:cnfStyle w:val="000000100000" w:firstRow="0" w:lastRow="0" w:firstColumn="0" w:lastColumn="0" w:oddVBand="0" w:evenVBand="0" w:oddHBand="1" w:evenHBand="0" w:firstRowFirstColumn="0" w:firstRowLastColumn="0" w:lastRowFirstColumn="0" w:lastRowLastColumn="0"/>
              <w:rPr>
                <w:sz w:val="24"/>
                <w:szCs w:val="24"/>
              </w:rPr>
            </w:pPr>
            <w:r w:rsidRPr="00014558">
              <w:rPr>
                <w:sz w:val="24"/>
                <w:szCs w:val="24"/>
              </w:rPr>
              <w:t>FAO Agristats Database – Blockchain-Based Agricultural Trade Data</w:t>
            </w:r>
          </w:p>
        </w:tc>
        <w:tc>
          <w:tcPr>
            <w:tcW w:w="0" w:type="auto"/>
            <w:hideMark/>
          </w:tcPr>
          <w:p w14:paraId="51D4B2CD" w14:textId="77777777" w:rsidR="00515297" w:rsidRPr="00014558" w:rsidRDefault="00A77947">
            <w:pPr>
              <w:cnfStyle w:val="000000100000" w:firstRow="0" w:lastRow="0" w:firstColumn="0" w:lastColumn="0" w:oddVBand="0" w:evenVBand="0" w:oddHBand="1" w:evenHBand="0" w:firstRowFirstColumn="0" w:firstRowLastColumn="0" w:lastRowFirstColumn="0" w:lastRowLastColumn="0"/>
              <w:rPr>
                <w:sz w:val="24"/>
                <w:szCs w:val="24"/>
              </w:rPr>
            </w:pPr>
            <w:r w:rsidRPr="00014558">
              <w:rPr>
                <w:rStyle w:val="Strong"/>
                <w:sz w:val="24"/>
                <w:szCs w:val="24"/>
              </w:rPr>
              <w:t>Difference-in-Differences (DiD) Model for Measuring Tokenization Impact:</w:t>
            </w:r>
            <w:r w:rsidRPr="00014558">
              <w:rPr>
                <w:sz w:val="24"/>
                <w:szCs w:val="24"/>
              </w:rPr>
              <w:t xml:space="preserve"> </w:t>
            </w:r>
          </w:p>
          <w:p w14:paraId="67DC49A6" w14:textId="77777777" w:rsidR="00D45755" w:rsidRPr="00014558" w:rsidRDefault="002248C2">
            <w:pPr>
              <w:cnfStyle w:val="000000100000" w:firstRow="0" w:lastRow="0" w:firstColumn="0" w:lastColumn="0" w:oddVBand="0" w:evenVBand="0" w:oddHBand="1" w:evenHBand="0" w:firstRowFirstColumn="0" w:firstRowLastColumn="0" w:lastRowFirstColumn="0" w:lastRowLastColumn="0"/>
              <w:rPr>
                <w:rStyle w:val="vlist-s"/>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Y</m:t>
                    </m:r>
                  </m:e>
                  <m:sub>
                    <m:r>
                      <m:rPr>
                        <m:sty m:val="p"/>
                      </m:rPr>
                      <w:rPr>
                        <w:rStyle w:val="mord"/>
                        <w:rFonts w:ascii="Cambria Math" w:hAnsi="Cambria Math"/>
                        <w:sz w:val="24"/>
                        <w:szCs w:val="24"/>
                      </w:rPr>
                      <m:t>it</m:t>
                    </m:r>
                  </m:sub>
                </m:sSub>
                <m:r>
                  <m:rPr>
                    <m:sty m:val="p"/>
                  </m:rPr>
                  <w:rPr>
                    <w:rStyle w:val="vlist-s"/>
                    <w:rFonts w:ascii="Cambria Math" w:hAnsi="Cambria Math"/>
                    <w:sz w:val="24"/>
                    <w:szCs w:val="24"/>
                  </w:rPr>
                  <m:t>​</m:t>
                </m:r>
                <m:r>
                  <m:rPr>
                    <m:sty m:val="p"/>
                  </m:rPr>
                  <w:rPr>
                    <w:rStyle w:val="mrel"/>
                    <w:rFonts w:ascii="Cambria Math" w:hAnsi="Cambria Math"/>
                    <w:sz w:val="24"/>
                    <w:szCs w:val="24"/>
                  </w:rPr>
                  <m:t>=</m:t>
                </m:r>
                <m:r>
                  <m:rPr>
                    <m:sty m:val="p"/>
                  </m:rPr>
                  <w:rPr>
                    <w:rStyle w:val="mord"/>
                    <w:rFonts w:ascii="Cambria Math" w:hAnsi="Cambria Math"/>
                    <w:sz w:val="24"/>
                    <w:szCs w:val="24"/>
                  </w:rPr>
                  <m:t>α</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1</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Time</m:t>
                    </m:r>
                  </m:e>
                  <m:sub>
                    <m:r>
                      <m:rPr>
                        <m:sty m:val="p"/>
                      </m:rPr>
                      <w:rPr>
                        <w:rStyle w:val="mord"/>
                        <w:rFonts w:ascii="Cambria Math" w:hAnsi="Cambria Math"/>
                        <w:sz w:val="24"/>
                        <w:szCs w:val="24"/>
                      </w:rPr>
                      <m:t>t</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2</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Treatment</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β</m:t>
                    </m:r>
                  </m:e>
                  <m:sub>
                    <m:r>
                      <m:rPr>
                        <m:sty m:val="p"/>
                      </m:rPr>
                      <w:rPr>
                        <w:rStyle w:val="mord"/>
                        <w:rFonts w:ascii="Cambria Math" w:hAnsi="Cambria Math"/>
                        <w:sz w:val="24"/>
                        <w:szCs w:val="24"/>
                      </w:rPr>
                      <m:t>3</m:t>
                    </m:r>
                  </m:sub>
                </m:sSub>
                <m:r>
                  <m:rPr>
                    <m:sty m:val="p"/>
                  </m:rPr>
                  <w:rPr>
                    <w:rStyle w:val="vlist-s"/>
                    <w:rFonts w:ascii="Cambria Math" w:hAnsi="Cambria Math"/>
                    <w:sz w:val="24"/>
                    <w:szCs w:val="24"/>
                  </w:rPr>
                  <m:t>​</m:t>
                </m:r>
                <m:d>
                  <m:dPr>
                    <m:ctrlPr>
                      <w:rPr>
                        <w:rStyle w:val="mopen"/>
                        <w:rFonts w:ascii="Cambria Math" w:hAnsi="Cambria Math"/>
                        <w:sz w:val="24"/>
                        <w:szCs w:val="24"/>
                      </w:rPr>
                    </m:ctrlPr>
                  </m:dPr>
                  <m:e>
                    <m:sSub>
                      <m:sSubPr>
                        <m:ctrlPr>
                          <w:rPr>
                            <w:rStyle w:val="mord"/>
                            <w:rFonts w:ascii="Cambria Math" w:hAnsi="Cambria Math"/>
                            <w:sz w:val="24"/>
                            <w:szCs w:val="24"/>
                          </w:rPr>
                        </m:ctrlPr>
                      </m:sSubPr>
                      <m:e>
                        <m:r>
                          <m:rPr>
                            <m:sty m:val="p"/>
                          </m:rPr>
                          <w:rPr>
                            <w:rStyle w:val="mord"/>
                            <w:rFonts w:ascii="Cambria Math" w:hAnsi="Cambria Math"/>
                            <w:sz w:val="24"/>
                            <w:szCs w:val="24"/>
                          </w:rPr>
                          <m:t>Time</m:t>
                        </m:r>
                      </m:e>
                      <m:sub>
                        <m:r>
                          <m:rPr>
                            <m:sty m:val="p"/>
                          </m:rPr>
                          <w:rPr>
                            <w:rStyle w:val="mord"/>
                            <w:rFonts w:ascii="Cambria Math" w:hAnsi="Cambria Math"/>
                            <w:sz w:val="24"/>
                            <w:szCs w:val="24"/>
                          </w:rPr>
                          <m:t>t</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Treatment</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ctrlPr>
                      <w:rPr>
                        <w:rStyle w:val="mclose"/>
                        <w:rFonts w:ascii="Cambria Math" w:hAnsi="Cambria Math"/>
                        <w:sz w:val="24"/>
                        <w:szCs w:val="24"/>
                      </w:rPr>
                    </m:ctrlPr>
                  </m:e>
                </m:d>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ϵ</m:t>
                    </m:r>
                  </m:e>
                  <m:sub>
                    <m:r>
                      <m:rPr>
                        <m:sty m:val="p"/>
                      </m:rPr>
                      <w:rPr>
                        <w:rStyle w:val="mord"/>
                        <w:rFonts w:ascii="Cambria Math" w:hAnsi="Cambria Math"/>
                        <w:sz w:val="24"/>
                        <w:szCs w:val="24"/>
                      </w:rPr>
                      <m:t>it</m:t>
                    </m:r>
                  </m:sub>
                </m:sSub>
                <m:r>
                  <m:rPr>
                    <m:sty m:val="p"/>
                  </m:rPr>
                  <w:rPr>
                    <w:rStyle w:val="vlist-s"/>
                    <w:rFonts w:ascii="Cambria Math" w:hAnsi="Cambria Math"/>
                    <w:sz w:val="24"/>
                    <w:szCs w:val="24"/>
                  </w:rPr>
                  <m:t>​</m:t>
                </m:r>
              </m:oMath>
            </m:oMathPara>
          </w:p>
          <w:p w14:paraId="090243B8" w14:textId="77777777" w:rsidR="00A77947" w:rsidRPr="00014558" w:rsidRDefault="00C0003D" w:rsidP="00C0003D">
            <w:pPr>
              <w:tabs>
                <w:tab w:val="center" w:pos="2069"/>
              </w:tabs>
              <w:cnfStyle w:val="000000100000" w:firstRow="0" w:lastRow="0" w:firstColumn="0" w:lastColumn="0" w:oddVBand="0" w:evenVBand="0" w:oddHBand="1" w:evenHBand="0" w:firstRowFirstColumn="0" w:firstRowLastColumn="0" w:lastRowFirstColumn="0" w:lastRowLastColumn="0"/>
              <w:rPr>
                <w:sz w:val="24"/>
                <w:szCs w:val="24"/>
              </w:rPr>
            </w:pPr>
            <w:r w:rsidRPr="00014558">
              <w:rPr>
                <w:sz w:val="24"/>
                <w:szCs w:val="24"/>
              </w:rPr>
              <w:tab/>
            </w:r>
            <w:r w:rsidR="00A77947" w:rsidRPr="00014558">
              <w:rPr>
                <w:sz w:val="24"/>
                <w:szCs w:val="24"/>
              </w:rPr>
              <w:br/>
            </w:r>
            <w:r w:rsidRPr="00014558">
              <w:rPr>
                <w:sz w:val="24"/>
                <w:szCs w:val="24"/>
              </w:rPr>
              <w:t>Where</w:t>
            </w:r>
            <w:r w:rsidR="00A77947" w:rsidRPr="00014558">
              <w:rPr>
                <w:sz w:val="24"/>
                <w:szCs w:val="24"/>
              </w:rPr>
              <w:t xml:space="preserve"> </w:t>
            </w:r>
            <w:r w:rsidR="00A77947" w:rsidRPr="00014558">
              <w:rPr>
                <w:rStyle w:val="katex-mathml"/>
                <w:sz w:val="24"/>
                <w:szCs w:val="24"/>
              </w:rPr>
              <w:t>Y</w:t>
            </w:r>
            <w:r w:rsidRPr="00014558">
              <w:rPr>
                <w:rStyle w:val="katex-mathml"/>
                <w:sz w:val="24"/>
                <w:szCs w:val="24"/>
                <w:vertAlign w:val="subscript"/>
              </w:rPr>
              <w:t>(</w:t>
            </w:r>
            <w:r w:rsidR="00A77947" w:rsidRPr="00014558">
              <w:rPr>
                <w:rStyle w:val="katex-mathml"/>
                <w:sz w:val="24"/>
                <w:szCs w:val="24"/>
                <w:vertAlign w:val="subscript"/>
              </w:rPr>
              <w:t>it</w:t>
            </w:r>
            <w:r w:rsidRPr="00014558">
              <w:rPr>
                <w:rStyle w:val="katex-mathml"/>
                <w:sz w:val="24"/>
                <w:szCs w:val="24"/>
                <w:vertAlign w:val="subscript"/>
              </w:rPr>
              <w:t>)</w:t>
            </w:r>
            <w:r w:rsidRPr="00014558">
              <w:rPr>
                <w:rStyle w:val="katex-mathml"/>
                <w:sz w:val="24"/>
                <w:szCs w:val="24"/>
              </w:rPr>
              <w:t xml:space="preserve"> is </w:t>
            </w:r>
            <w:r w:rsidR="00A77947" w:rsidRPr="00014558">
              <w:rPr>
                <w:sz w:val="24"/>
                <w:szCs w:val="24"/>
              </w:rPr>
              <w:t xml:space="preserve">the efficiency measure for region </w:t>
            </w:r>
            <w:r w:rsidR="00A77947" w:rsidRPr="00014558">
              <w:rPr>
                <w:rStyle w:val="mord"/>
                <w:sz w:val="24"/>
                <w:szCs w:val="24"/>
              </w:rPr>
              <w:t>i</w:t>
            </w:r>
            <w:r w:rsidR="00A77947" w:rsidRPr="00014558">
              <w:rPr>
                <w:sz w:val="24"/>
                <w:szCs w:val="24"/>
              </w:rPr>
              <w:t xml:space="preserve"> at time </w:t>
            </w:r>
            <w:r w:rsidRPr="00014558">
              <w:rPr>
                <w:rStyle w:val="katex-mathml"/>
                <w:sz w:val="24"/>
                <w:szCs w:val="24"/>
              </w:rPr>
              <w:t>t</w:t>
            </w:r>
            <w:r w:rsidR="00A77947" w:rsidRPr="00014558">
              <w:rPr>
                <w:sz w:val="24"/>
                <w:szCs w:val="24"/>
              </w:rPr>
              <w:t xml:space="preserve">. </w:t>
            </w:r>
          </w:p>
        </w:tc>
      </w:tr>
    </w:tbl>
    <w:p w14:paraId="2D98AD42" w14:textId="77777777" w:rsidR="00005E2F" w:rsidRPr="00014558" w:rsidRDefault="00005E2F">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sectPr w:rsidR="00005E2F" w:rsidRPr="00014558" w:rsidSect="00005E2F">
          <w:pgSz w:w="15840" w:h="12240" w:orient="landscape"/>
          <w:pgMar w:top="1440" w:right="1440" w:bottom="1440" w:left="1440" w:header="720" w:footer="720" w:gutter="0"/>
          <w:pgNumType w:start="1"/>
          <w:cols w:space="720"/>
        </w:sectPr>
      </w:pPr>
    </w:p>
    <w:p w14:paraId="553B7BB1" w14:textId="77777777" w:rsidR="008E345C" w:rsidRPr="00014558" w:rsidRDefault="008E345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p>
    <w:p w14:paraId="66051069" w14:textId="77777777" w:rsidR="002E488D" w:rsidRPr="00014558" w:rsidRDefault="00761295" w:rsidP="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b/>
          <w:color w:val="0D0D0D"/>
          <w:sz w:val="24"/>
          <w:szCs w:val="24"/>
        </w:rPr>
      </w:pPr>
      <w:r>
        <w:rPr>
          <w:b/>
          <w:color w:val="0D0D0D"/>
          <w:sz w:val="24"/>
          <w:szCs w:val="24"/>
          <w:highlight w:val="white"/>
        </w:rPr>
        <w:t>4.</w:t>
      </w:r>
      <w:r>
        <w:rPr>
          <w:b/>
          <w:color w:val="0D0D0D"/>
          <w:sz w:val="24"/>
          <w:szCs w:val="24"/>
          <w:highlight w:val="white"/>
        </w:rPr>
        <w:tab/>
        <w:t>Result</w:t>
      </w:r>
      <w:r>
        <w:rPr>
          <w:b/>
          <w:color w:val="0D0D0D"/>
          <w:sz w:val="24"/>
          <w:szCs w:val="24"/>
        </w:rPr>
        <w:t>s and Discussions</w:t>
      </w:r>
    </w:p>
    <w:p w14:paraId="6B53878D" w14:textId="77777777" w:rsidR="002E488D" w:rsidRPr="00014558" w:rsidRDefault="002E488D" w:rsidP="002E488D">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sz w:val="24"/>
          <w:szCs w:val="24"/>
        </w:rPr>
      </w:pPr>
      <w:r w:rsidRPr="00014558">
        <w:rPr>
          <w:b/>
          <w:bCs/>
          <w:color w:val="0D0D0D"/>
          <w:sz w:val="24"/>
          <w:szCs w:val="24"/>
          <w:shd w:val="clear" w:color="auto" w:fill="FFFFFF"/>
        </w:rPr>
        <w:t>Analysis of Agri-Finance and Investment Models: Identifying Fraud and Cyber Risks</w:t>
      </w:r>
    </w:p>
    <w:p w14:paraId="7E840C47" w14:textId="77777777" w:rsidR="002E488D" w:rsidRPr="00014558" w:rsidRDefault="002E488D" w:rsidP="002E488D">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The increasing integration of digital finance in agricultural investment models has presented both opportunities and risks. While financial technologies enhance accessibility, reduce costs, and improve efficiency, they also introduce vulnerabilities such as fraud, cyber risks, and data manipulation. The presence of weak regulatory structures and fragmented financial networks in agriculture heightens exposure to these risks. This study examines the relationship between financial accessibility, fraud occurrences, and cyber risks in agri-finance, evaluating whether digital finance adoption significantly impacts fraud and cybersecurity vulnerabilities.</w:t>
      </w:r>
    </w:p>
    <w:p w14:paraId="2AD7FAE7" w14:textId="77777777" w:rsidR="002E488D" w:rsidRPr="00014558" w:rsidRDefault="002E488D" w:rsidP="002E488D">
      <w:pPr>
        <w:rPr>
          <w:sz w:val="24"/>
          <w:szCs w:val="24"/>
        </w:rPr>
      </w:pPr>
    </w:p>
    <w:p w14:paraId="3AC1342E" w14:textId="77777777" w:rsidR="002E488D" w:rsidRPr="00014558" w:rsidRDefault="002E488D" w:rsidP="002E488D">
      <w:pPr>
        <w:pStyle w:val="Heading3"/>
        <w:shd w:val="clear" w:color="auto" w:fill="FFFFFF"/>
        <w:spacing w:before="0" w:after="0"/>
        <w:jc w:val="both"/>
        <w:rPr>
          <w:sz w:val="24"/>
          <w:szCs w:val="24"/>
        </w:rPr>
      </w:pPr>
      <w:r w:rsidRPr="00014558">
        <w:rPr>
          <w:b/>
          <w:bCs/>
          <w:color w:val="0D0D0D"/>
          <w:sz w:val="24"/>
          <w:szCs w:val="24"/>
          <w:shd w:val="clear" w:color="auto" w:fill="FFFFFF"/>
        </w:rPr>
        <w:t>Descriptive Analysis of Agri-Finance and Cyber Risks</w:t>
      </w:r>
    </w:p>
    <w:p w14:paraId="20FB8E65" w14:textId="77777777" w:rsidR="002E488D" w:rsidRPr="00014558" w:rsidRDefault="002E488D" w:rsidP="002E488D">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The statistical analysis reveals significant variation in agricultural loan penetration, fraud cases, and cyber risk levels across differ</w:t>
      </w:r>
      <w:r w:rsidR="003C111E" w:rsidRPr="00014558">
        <w:rPr>
          <w:rFonts w:ascii="Arial" w:hAnsi="Arial" w:cs="Arial"/>
          <w:color w:val="0D0D0D"/>
          <w:shd w:val="clear" w:color="auto" w:fill="FFFFFF"/>
        </w:rPr>
        <w:t>ent regions. As shown in Table 2</w:t>
      </w:r>
      <w:r w:rsidRPr="00014558">
        <w:rPr>
          <w:rFonts w:ascii="Arial" w:hAnsi="Arial" w:cs="Arial"/>
          <w:color w:val="0D0D0D"/>
          <w:shd w:val="clear" w:color="auto" w:fill="FFFFFF"/>
        </w:rPr>
        <w:t>, the average penetration of agricultural loans among farmers stands at 32.38%, with considerable disparities ranging from 5.89% to 58.97%. Fraud cases vary widely, with an average of 2,590 reported cases per region, while the cyber risk index (on a scale of 1 to 10) has a mean value of 5.39, indicating moderate susceptibility to cyber threats.</w:t>
      </w:r>
    </w:p>
    <w:p w14:paraId="6D928FAE" w14:textId="77777777" w:rsidR="002E488D" w:rsidRPr="00014558" w:rsidRDefault="003C111E" w:rsidP="008B6E56">
      <w:pPr>
        <w:pStyle w:val="Heading3"/>
        <w:shd w:val="clear" w:color="auto" w:fill="FFFFFF"/>
        <w:spacing w:before="0" w:after="0"/>
        <w:jc w:val="both"/>
        <w:rPr>
          <w:sz w:val="24"/>
          <w:szCs w:val="24"/>
        </w:rPr>
      </w:pPr>
      <w:r w:rsidRPr="00014558">
        <w:rPr>
          <w:b/>
          <w:bCs/>
          <w:color w:val="0D0D0D"/>
          <w:sz w:val="24"/>
          <w:szCs w:val="24"/>
          <w:shd w:val="clear" w:color="auto" w:fill="FFFFFF"/>
        </w:rPr>
        <w:t>Table 2</w:t>
      </w:r>
      <w:r w:rsidR="008B6E56" w:rsidRPr="00014558">
        <w:rPr>
          <w:b/>
          <w:bCs/>
          <w:color w:val="0D0D0D"/>
          <w:sz w:val="24"/>
          <w:szCs w:val="24"/>
          <w:shd w:val="clear" w:color="auto" w:fill="FFFFFF"/>
        </w:rPr>
        <w:t xml:space="preserve">: </w:t>
      </w:r>
      <w:r w:rsidR="002E488D" w:rsidRPr="00014558">
        <w:rPr>
          <w:i/>
          <w:iCs/>
          <w:color w:val="0D0D0D"/>
          <w:sz w:val="24"/>
          <w:szCs w:val="24"/>
          <w:shd w:val="clear" w:color="auto" w:fill="FFFFFF"/>
        </w:rPr>
        <w:t>Summary Statistics of Agri-Finance and Cyber Risks</w:t>
      </w:r>
    </w:p>
    <w:tbl>
      <w:tblPr>
        <w:tblStyle w:val="TableGrid"/>
        <w:tblW w:w="9175" w:type="dxa"/>
        <w:tblLook w:val="04A0" w:firstRow="1" w:lastRow="0" w:firstColumn="1" w:lastColumn="0" w:noHBand="0" w:noVBand="1"/>
      </w:tblPr>
      <w:tblGrid>
        <w:gridCol w:w="3864"/>
        <w:gridCol w:w="1351"/>
        <w:gridCol w:w="1620"/>
        <w:gridCol w:w="1170"/>
        <w:gridCol w:w="1170"/>
      </w:tblGrid>
      <w:tr w:rsidR="002E488D" w:rsidRPr="00014558" w14:paraId="31C551A9" w14:textId="77777777" w:rsidTr="00887D46">
        <w:trPr>
          <w:trHeight w:val="366"/>
        </w:trPr>
        <w:tc>
          <w:tcPr>
            <w:tcW w:w="3864" w:type="dxa"/>
            <w:hideMark/>
          </w:tcPr>
          <w:p w14:paraId="2A9F01FE"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Variable</w:t>
            </w:r>
          </w:p>
        </w:tc>
        <w:tc>
          <w:tcPr>
            <w:tcW w:w="1351" w:type="dxa"/>
            <w:hideMark/>
          </w:tcPr>
          <w:p w14:paraId="311C49D0"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Mean</w:t>
            </w:r>
          </w:p>
        </w:tc>
        <w:tc>
          <w:tcPr>
            <w:tcW w:w="1620" w:type="dxa"/>
            <w:hideMark/>
          </w:tcPr>
          <w:p w14:paraId="2548708E"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Std Dev</w:t>
            </w:r>
          </w:p>
        </w:tc>
        <w:tc>
          <w:tcPr>
            <w:tcW w:w="1170" w:type="dxa"/>
            <w:hideMark/>
          </w:tcPr>
          <w:p w14:paraId="6712AFB5"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Min</w:t>
            </w:r>
          </w:p>
        </w:tc>
        <w:tc>
          <w:tcPr>
            <w:tcW w:w="1170" w:type="dxa"/>
            <w:hideMark/>
          </w:tcPr>
          <w:p w14:paraId="52EB8E77" w14:textId="77777777" w:rsidR="002E488D" w:rsidRPr="00014558" w:rsidRDefault="002E488D" w:rsidP="008B6E56">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Max</w:t>
            </w:r>
          </w:p>
        </w:tc>
      </w:tr>
      <w:tr w:rsidR="002E488D" w:rsidRPr="00014558" w14:paraId="5379D127" w14:textId="77777777" w:rsidTr="00887D46">
        <w:trPr>
          <w:trHeight w:val="366"/>
        </w:trPr>
        <w:tc>
          <w:tcPr>
            <w:tcW w:w="3864" w:type="dxa"/>
            <w:hideMark/>
          </w:tcPr>
          <w:p w14:paraId="79DA7F7B" w14:textId="77777777" w:rsidR="002E488D" w:rsidRPr="00014558" w:rsidRDefault="002E488D" w:rsidP="008B6E56">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Agri Loan Penetration (%)</w:t>
            </w:r>
          </w:p>
        </w:tc>
        <w:tc>
          <w:tcPr>
            <w:tcW w:w="1351" w:type="dxa"/>
            <w:hideMark/>
          </w:tcPr>
          <w:p w14:paraId="4E598FA3"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32.38</w:t>
            </w:r>
          </w:p>
        </w:tc>
        <w:tc>
          <w:tcPr>
            <w:tcW w:w="1620" w:type="dxa"/>
            <w:hideMark/>
          </w:tcPr>
          <w:p w14:paraId="5CE84717"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15.87</w:t>
            </w:r>
          </w:p>
        </w:tc>
        <w:tc>
          <w:tcPr>
            <w:tcW w:w="1170" w:type="dxa"/>
            <w:hideMark/>
          </w:tcPr>
          <w:p w14:paraId="55FC2641"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5.89</w:t>
            </w:r>
          </w:p>
        </w:tc>
        <w:tc>
          <w:tcPr>
            <w:tcW w:w="1170" w:type="dxa"/>
            <w:hideMark/>
          </w:tcPr>
          <w:p w14:paraId="455470D7"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58.97</w:t>
            </w:r>
          </w:p>
        </w:tc>
      </w:tr>
      <w:tr w:rsidR="002E488D" w:rsidRPr="00014558" w14:paraId="7479F84E" w14:textId="77777777" w:rsidTr="00887D46">
        <w:trPr>
          <w:trHeight w:val="366"/>
        </w:trPr>
        <w:tc>
          <w:tcPr>
            <w:tcW w:w="3864" w:type="dxa"/>
            <w:hideMark/>
          </w:tcPr>
          <w:p w14:paraId="0359B856" w14:textId="77777777" w:rsidR="002E488D" w:rsidRPr="00014558" w:rsidRDefault="002E488D" w:rsidP="008B6E56">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Fraud Cases</w:t>
            </w:r>
          </w:p>
        </w:tc>
        <w:tc>
          <w:tcPr>
            <w:tcW w:w="1351" w:type="dxa"/>
            <w:hideMark/>
          </w:tcPr>
          <w:p w14:paraId="240175B0"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2590</w:t>
            </w:r>
          </w:p>
        </w:tc>
        <w:tc>
          <w:tcPr>
            <w:tcW w:w="1620" w:type="dxa"/>
            <w:hideMark/>
          </w:tcPr>
          <w:p w14:paraId="670CAE7C"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1374</w:t>
            </w:r>
          </w:p>
        </w:tc>
        <w:tc>
          <w:tcPr>
            <w:tcW w:w="1170" w:type="dxa"/>
            <w:hideMark/>
          </w:tcPr>
          <w:p w14:paraId="6C8ECB2C"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w:t>
            </w:r>
          </w:p>
        </w:tc>
        <w:tc>
          <w:tcPr>
            <w:tcW w:w="1170" w:type="dxa"/>
            <w:hideMark/>
          </w:tcPr>
          <w:p w14:paraId="3D15480D"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4973</w:t>
            </w:r>
          </w:p>
        </w:tc>
      </w:tr>
      <w:tr w:rsidR="002E488D" w:rsidRPr="00014558" w14:paraId="7B4E7207" w14:textId="77777777" w:rsidTr="00887D46">
        <w:trPr>
          <w:trHeight w:val="366"/>
        </w:trPr>
        <w:tc>
          <w:tcPr>
            <w:tcW w:w="3864" w:type="dxa"/>
            <w:hideMark/>
          </w:tcPr>
          <w:p w14:paraId="0637C386" w14:textId="77777777" w:rsidR="002E488D" w:rsidRPr="00014558" w:rsidRDefault="002E488D" w:rsidP="008B6E56">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Cyber Risk Index</w:t>
            </w:r>
          </w:p>
        </w:tc>
        <w:tc>
          <w:tcPr>
            <w:tcW w:w="1351" w:type="dxa"/>
            <w:hideMark/>
          </w:tcPr>
          <w:p w14:paraId="24549079"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5.39</w:t>
            </w:r>
          </w:p>
        </w:tc>
        <w:tc>
          <w:tcPr>
            <w:tcW w:w="1620" w:type="dxa"/>
            <w:hideMark/>
          </w:tcPr>
          <w:p w14:paraId="5B372C8D"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2.63</w:t>
            </w:r>
          </w:p>
        </w:tc>
        <w:tc>
          <w:tcPr>
            <w:tcW w:w="1170" w:type="dxa"/>
            <w:hideMark/>
          </w:tcPr>
          <w:p w14:paraId="6EB4F8B5"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1.09</w:t>
            </w:r>
          </w:p>
        </w:tc>
        <w:tc>
          <w:tcPr>
            <w:tcW w:w="1170" w:type="dxa"/>
            <w:hideMark/>
          </w:tcPr>
          <w:p w14:paraId="2FB62FA4"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9.87</w:t>
            </w:r>
          </w:p>
        </w:tc>
      </w:tr>
      <w:tr w:rsidR="002E488D" w:rsidRPr="00014558" w14:paraId="381FF3A6" w14:textId="77777777" w:rsidTr="00887D46">
        <w:trPr>
          <w:trHeight w:val="366"/>
        </w:trPr>
        <w:tc>
          <w:tcPr>
            <w:tcW w:w="3864" w:type="dxa"/>
            <w:hideMark/>
          </w:tcPr>
          <w:p w14:paraId="0B797361" w14:textId="77777777" w:rsidR="002E488D" w:rsidRPr="00014558" w:rsidRDefault="002E488D" w:rsidP="008B6E56">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Digital Finance Adoption (%)</w:t>
            </w:r>
          </w:p>
        </w:tc>
        <w:tc>
          <w:tcPr>
            <w:tcW w:w="1351" w:type="dxa"/>
            <w:hideMark/>
          </w:tcPr>
          <w:p w14:paraId="4D4BF507"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50.26</w:t>
            </w:r>
          </w:p>
        </w:tc>
        <w:tc>
          <w:tcPr>
            <w:tcW w:w="1620" w:type="dxa"/>
            <w:hideMark/>
          </w:tcPr>
          <w:p w14:paraId="7603EE7F"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22.31</w:t>
            </w:r>
          </w:p>
        </w:tc>
        <w:tc>
          <w:tcPr>
            <w:tcW w:w="1170" w:type="dxa"/>
            <w:hideMark/>
          </w:tcPr>
          <w:p w14:paraId="0FE17FFE"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10.41</w:t>
            </w:r>
          </w:p>
        </w:tc>
        <w:tc>
          <w:tcPr>
            <w:tcW w:w="1170" w:type="dxa"/>
            <w:hideMark/>
          </w:tcPr>
          <w:p w14:paraId="58F7DE82" w14:textId="77777777" w:rsidR="002E488D" w:rsidRPr="00014558" w:rsidRDefault="002E488D" w:rsidP="008B6E56">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89.36</w:t>
            </w:r>
          </w:p>
        </w:tc>
      </w:tr>
    </w:tbl>
    <w:p w14:paraId="3CD2F9A7" w14:textId="77777777" w:rsidR="002E488D" w:rsidRPr="00014558" w:rsidRDefault="002E488D" w:rsidP="002E488D">
      <w:pPr>
        <w:pStyle w:val="NormalWeb"/>
        <w:shd w:val="clear" w:color="auto" w:fill="FFFFFF"/>
        <w:spacing w:before="160" w:beforeAutospacing="0" w:after="0" w:afterAutospacing="0"/>
        <w:jc w:val="both"/>
        <w:rPr>
          <w:rFonts w:ascii="Arial" w:hAnsi="Arial" w:cs="Arial"/>
          <w:color w:val="0D0D0D"/>
          <w:shd w:val="clear" w:color="auto" w:fill="FFFFFF"/>
        </w:rPr>
      </w:pPr>
      <w:r w:rsidRPr="00014558">
        <w:rPr>
          <w:rFonts w:ascii="Arial" w:hAnsi="Arial" w:cs="Arial"/>
          <w:iCs/>
          <w:color w:val="0D0D0D"/>
          <w:shd w:val="clear" w:color="auto" w:fill="FFFFFF"/>
        </w:rPr>
        <w:t>Figure 1</w:t>
      </w:r>
      <w:r w:rsidR="00887D46" w:rsidRPr="00014558">
        <w:rPr>
          <w:rFonts w:ascii="Arial" w:hAnsi="Arial" w:cs="Arial"/>
          <w:i/>
          <w:iCs/>
          <w:color w:val="0D0D0D"/>
          <w:shd w:val="clear" w:color="auto" w:fill="FFFFFF"/>
        </w:rPr>
        <w:t xml:space="preserve"> </w:t>
      </w:r>
      <w:r w:rsidRPr="00014558">
        <w:rPr>
          <w:rFonts w:ascii="Arial" w:hAnsi="Arial" w:cs="Arial"/>
          <w:color w:val="0D0D0D"/>
          <w:shd w:val="clear" w:color="auto" w:fill="FFFFFF"/>
        </w:rPr>
        <w:t>visually depicts the distribution of key financial metrics, highlighting significant disparities in financial inclusion and cybersecurity vulnerabilities. The wider spread of digital finance adoption compared to agri-loan penetration suggests that while digital finance systems are expanding, they may not be directly translating into increased agricultural credit access.</w:t>
      </w:r>
    </w:p>
    <w:p w14:paraId="04C0470D" w14:textId="77777777" w:rsidR="00887D46" w:rsidRPr="00014558" w:rsidRDefault="00887D46" w:rsidP="002E488D">
      <w:pPr>
        <w:pStyle w:val="NormalWeb"/>
        <w:shd w:val="clear" w:color="auto" w:fill="FFFFFF"/>
        <w:spacing w:before="160" w:beforeAutospacing="0" w:after="0" w:afterAutospacing="0"/>
        <w:jc w:val="both"/>
        <w:rPr>
          <w:rFonts w:ascii="Arial" w:hAnsi="Arial" w:cs="Arial"/>
        </w:rPr>
      </w:pPr>
      <w:r w:rsidRPr="00014558">
        <w:rPr>
          <w:rFonts w:ascii="Arial" w:hAnsi="Arial" w:cs="Arial"/>
          <w:noProof/>
        </w:rPr>
        <w:lastRenderedPageBreak/>
        <w:drawing>
          <wp:inline distT="0" distB="0" distL="0" distR="0" wp14:anchorId="1E2D8FC3" wp14:editId="54F0E349">
            <wp:extent cx="4953000" cy="40301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put - 2025-02-19T152244.26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0065" cy="4035882"/>
                    </a:xfrm>
                    <a:prstGeom prst="rect">
                      <a:avLst/>
                    </a:prstGeom>
                  </pic:spPr>
                </pic:pic>
              </a:graphicData>
            </a:graphic>
          </wp:inline>
        </w:drawing>
      </w:r>
    </w:p>
    <w:p w14:paraId="5F7266DB" w14:textId="77777777" w:rsidR="002E488D" w:rsidRPr="00014558" w:rsidRDefault="002E488D" w:rsidP="00887D46">
      <w:pPr>
        <w:pStyle w:val="Heading3"/>
        <w:shd w:val="clear" w:color="auto" w:fill="FFFFFF"/>
        <w:spacing w:before="0" w:after="0"/>
        <w:jc w:val="both"/>
        <w:rPr>
          <w:sz w:val="24"/>
          <w:szCs w:val="24"/>
        </w:rPr>
      </w:pPr>
      <w:r w:rsidRPr="00014558">
        <w:rPr>
          <w:b/>
          <w:bCs/>
          <w:color w:val="0D0D0D"/>
          <w:sz w:val="24"/>
          <w:szCs w:val="24"/>
          <w:shd w:val="clear" w:color="auto" w:fill="FFFFFF"/>
        </w:rPr>
        <w:t>Figure 1</w:t>
      </w:r>
      <w:r w:rsidR="00887D46" w:rsidRPr="00014558">
        <w:rPr>
          <w:b/>
          <w:bCs/>
          <w:color w:val="0D0D0D"/>
          <w:sz w:val="24"/>
          <w:szCs w:val="24"/>
          <w:shd w:val="clear" w:color="auto" w:fill="FFFFFF"/>
        </w:rPr>
        <w:t xml:space="preserve">: </w:t>
      </w:r>
      <w:r w:rsidRPr="00014558">
        <w:rPr>
          <w:i/>
          <w:iCs/>
          <w:color w:val="0D0D0D"/>
          <w:sz w:val="24"/>
          <w:szCs w:val="24"/>
          <w:shd w:val="clear" w:color="auto" w:fill="FFFFFF"/>
        </w:rPr>
        <w:t>Polar Area Representation of Agri-Finance and Cyber Risks</w:t>
      </w:r>
      <w:r w:rsidRPr="00014558">
        <w:rPr>
          <w:i/>
          <w:iCs/>
          <w:color w:val="0D0D0D"/>
          <w:sz w:val="24"/>
          <w:szCs w:val="24"/>
          <w:shd w:val="clear" w:color="auto" w:fill="FFFFFF"/>
        </w:rPr>
        <w:br/>
      </w:r>
    </w:p>
    <w:p w14:paraId="42E0D50C" w14:textId="77777777" w:rsidR="002E488D" w:rsidRPr="00014558" w:rsidRDefault="002E488D" w:rsidP="002E488D">
      <w:pPr>
        <w:pStyle w:val="Heading3"/>
        <w:shd w:val="clear" w:color="auto" w:fill="FFFFFF"/>
        <w:spacing w:before="0" w:after="0"/>
        <w:jc w:val="both"/>
        <w:rPr>
          <w:sz w:val="24"/>
          <w:szCs w:val="24"/>
        </w:rPr>
      </w:pPr>
      <w:r w:rsidRPr="00014558">
        <w:rPr>
          <w:b/>
          <w:bCs/>
          <w:color w:val="0D0D0D"/>
          <w:sz w:val="24"/>
          <w:szCs w:val="24"/>
          <w:shd w:val="clear" w:color="auto" w:fill="FFFFFF"/>
        </w:rPr>
        <w:t>Correlation Between Financial Accessibility, Fraud, and Cyber Risks</w:t>
      </w:r>
    </w:p>
    <w:p w14:paraId="465A0001" w14:textId="77777777" w:rsidR="002E488D" w:rsidRPr="00014558" w:rsidRDefault="002E488D" w:rsidP="00142A2B">
      <w:pPr>
        <w:pStyle w:val="NormalWeb"/>
        <w:shd w:val="clear" w:color="auto" w:fill="FFFFFF"/>
        <w:spacing w:before="0" w:beforeAutospacing="0" w:after="160" w:afterAutospacing="0"/>
        <w:jc w:val="both"/>
        <w:rPr>
          <w:rFonts w:ascii="Arial" w:hAnsi="Arial" w:cs="Arial"/>
          <w:color w:val="0D0D0D"/>
        </w:rPr>
      </w:pPr>
      <w:r w:rsidRPr="00014558">
        <w:rPr>
          <w:rFonts w:ascii="Arial" w:hAnsi="Arial" w:cs="Arial"/>
          <w:color w:val="0D0D0D"/>
          <w:shd w:val="clear" w:color="auto" w:fill="FFFFFF"/>
        </w:rPr>
        <w:t>Pearson</w:t>
      </w:r>
      <w:r w:rsidR="003C111E" w:rsidRPr="00014558">
        <w:rPr>
          <w:rFonts w:ascii="Arial" w:hAnsi="Arial" w:cs="Arial"/>
          <w:color w:val="0D0D0D"/>
          <w:shd w:val="clear" w:color="auto" w:fill="FFFFFF"/>
        </w:rPr>
        <w:t>’s correlation analysis (Table 3</w:t>
      </w:r>
      <w:r w:rsidRPr="00014558">
        <w:rPr>
          <w:rFonts w:ascii="Arial" w:hAnsi="Arial" w:cs="Arial"/>
          <w:color w:val="0D0D0D"/>
          <w:shd w:val="clear" w:color="auto" w:fill="FFFFFF"/>
        </w:rPr>
        <w:t>) identifies weak and inconsistent relationship</w:t>
      </w:r>
      <w:r w:rsidR="00142A2B" w:rsidRPr="00014558">
        <w:rPr>
          <w:rFonts w:ascii="Arial" w:hAnsi="Arial" w:cs="Arial"/>
          <w:color w:val="0D0D0D"/>
          <w:shd w:val="clear" w:color="auto" w:fill="FFFFFF"/>
        </w:rPr>
        <w:t xml:space="preserve">s among the analyzed variables. </w:t>
      </w:r>
      <w:r w:rsidRPr="00014558">
        <w:rPr>
          <w:rFonts w:ascii="Arial" w:hAnsi="Arial" w:cs="Arial"/>
          <w:color w:val="0D0D0D"/>
          <w:shd w:val="clear" w:color="auto" w:fill="FFFFFF"/>
        </w:rPr>
        <w:t>A weak negative correlation (-0.064) exists between agricultural loan penetration and fraud cases, suggesting that regions with higher loan accessibility do not necessarily experience increased fraud.</w:t>
      </w:r>
      <w:r w:rsidR="00142A2B" w:rsidRPr="00014558">
        <w:rPr>
          <w:rFonts w:ascii="Arial" w:hAnsi="Arial" w:cs="Arial"/>
          <w:color w:val="0D0D0D"/>
        </w:rPr>
        <w:t xml:space="preserve"> </w:t>
      </w:r>
      <w:r w:rsidRPr="00014558">
        <w:rPr>
          <w:rFonts w:ascii="Arial" w:hAnsi="Arial" w:cs="Arial"/>
          <w:color w:val="0D0D0D"/>
          <w:shd w:val="clear" w:color="auto" w:fill="FFFFFF"/>
        </w:rPr>
        <w:t>A weak positive correlation (0.235) is observed between cyber risks and fraud cases, indicating that areas with higher cybersecurity risks tend to report higher fraud cases, but the relationship is not strong enough to confirm causality.</w:t>
      </w:r>
      <w:r w:rsidR="00142A2B" w:rsidRPr="00014558">
        <w:rPr>
          <w:rFonts w:ascii="Arial" w:hAnsi="Arial" w:cs="Arial"/>
          <w:color w:val="0D0D0D"/>
        </w:rPr>
        <w:t xml:space="preserve"> </w:t>
      </w:r>
      <w:r w:rsidRPr="00014558">
        <w:rPr>
          <w:rFonts w:ascii="Arial" w:hAnsi="Arial" w:cs="Arial"/>
          <w:color w:val="0D0D0D"/>
          <w:shd w:val="clear" w:color="auto" w:fill="FFFFFF"/>
        </w:rPr>
        <w:t>Digital finance adoption exhibits almost no correlation (-0.049) with fraud occurrences, implying that increased use of digital financial services does not significantly impact reported fraud levels in agricultural finance.</w:t>
      </w:r>
    </w:p>
    <w:p w14:paraId="05BF0D9E" w14:textId="77777777" w:rsidR="002E488D" w:rsidRPr="00014558" w:rsidRDefault="003C111E" w:rsidP="00142A2B">
      <w:pPr>
        <w:pStyle w:val="Heading3"/>
        <w:shd w:val="clear" w:color="auto" w:fill="FFFFFF"/>
        <w:spacing w:before="280" w:after="0"/>
        <w:jc w:val="both"/>
        <w:rPr>
          <w:b/>
          <w:color w:val="auto"/>
          <w:sz w:val="24"/>
          <w:szCs w:val="24"/>
        </w:rPr>
      </w:pPr>
      <w:r w:rsidRPr="00014558">
        <w:rPr>
          <w:b/>
          <w:bCs/>
          <w:color w:val="0D0D0D"/>
          <w:sz w:val="24"/>
          <w:szCs w:val="24"/>
          <w:shd w:val="clear" w:color="auto" w:fill="FFFFFF"/>
        </w:rPr>
        <w:t>Table 3</w:t>
      </w:r>
      <w:r w:rsidR="00142A2B" w:rsidRPr="00014558">
        <w:rPr>
          <w:b/>
          <w:bCs/>
          <w:color w:val="0D0D0D"/>
          <w:sz w:val="24"/>
          <w:szCs w:val="24"/>
          <w:shd w:val="clear" w:color="auto" w:fill="FFFFFF"/>
        </w:rPr>
        <w:t xml:space="preserve">: </w:t>
      </w:r>
      <w:r w:rsidR="002E488D" w:rsidRPr="00014558">
        <w:rPr>
          <w:b/>
          <w:iCs/>
          <w:color w:val="0D0D0D"/>
          <w:sz w:val="24"/>
          <w:szCs w:val="24"/>
          <w:shd w:val="clear" w:color="auto" w:fill="FFFFFF"/>
        </w:rPr>
        <w:t>Pearson Correlation Matrix</w:t>
      </w:r>
    </w:p>
    <w:tbl>
      <w:tblPr>
        <w:tblStyle w:val="TableGrid"/>
        <w:tblW w:w="0" w:type="auto"/>
        <w:tblLook w:val="04A0" w:firstRow="1" w:lastRow="0" w:firstColumn="1" w:lastColumn="0" w:noHBand="0" w:noVBand="1"/>
      </w:tblPr>
      <w:tblGrid>
        <w:gridCol w:w="2334"/>
        <w:gridCol w:w="2202"/>
        <w:gridCol w:w="1224"/>
        <w:gridCol w:w="1415"/>
        <w:gridCol w:w="2175"/>
      </w:tblGrid>
      <w:tr w:rsidR="002E488D" w:rsidRPr="00014558" w14:paraId="062AA8FA" w14:textId="77777777" w:rsidTr="00142A2B">
        <w:trPr>
          <w:trHeight w:val="410"/>
        </w:trPr>
        <w:tc>
          <w:tcPr>
            <w:tcW w:w="0" w:type="auto"/>
            <w:hideMark/>
          </w:tcPr>
          <w:p w14:paraId="0D7A256B"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Variable</w:t>
            </w:r>
          </w:p>
        </w:tc>
        <w:tc>
          <w:tcPr>
            <w:tcW w:w="0" w:type="auto"/>
            <w:hideMark/>
          </w:tcPr>
          <w:p w14:paraId="21FA2422"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Agri Loan Penetration (%)</w:t>
            </w:r>
          </w:p>
        </w:tc>
        <w:tc>
          <w:tcPr>
            <w:tcW w:w="0" w:type="auto"/>
            <w:hideMark/>
          </w:tcPr>
          <w:p w14:paraId="1448F0EA"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Fraud Cases</w:t>
            </w:r>
          </w:p>
        </w:tc>
        <w:tc>
          <w:tcPr>
            <w:tcW w:w="0" w:type="auto"/>
            <w:hideMark/>
          </w:tcPr>
          <w:p w14:paraId="4D4EFC33"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Cyber Risk Index</w:t>
            </w:r>
          </w:p>
        </w:tc>
        <w:tc>
          <w:tcPr>
            <w:tcW w:w="0" w:type="auto"/>
            <w:hideMark/>
          </w:tcPr>
          <w:p w14:paraId="6A2E1D65" w14:textId="77777777" w:rsidR="002E488D" w:rsidRPr="00014558" w:rsidRDefault="002E488D" w:rsidP="00142A2B">
            <w:pPr>
              <w:pStyle w:val="NormalWeb"/>
              <w:shd w:val="clear" w:color="auto" w:fill="FFFFFF"/>
              <w:spacing w:before="0" w:beforeAutospacing="0" w:after="0" w:afterAutospacing="0"/>
              <w:jc w:val="center"/>
              <w:rPr>
                <w:rFonts w:ascii="Arial" w:hAnsi="Arial" w:cs="Arial"/>
                <w:b/>
              </w:rPr>
            </w:pPr>
            <w:r w:rsidRPr="00014558">
              <w:rPr>
                <w:rFonts w:ascii="Arial" w:hAnsi="Arial" w:cs="Arial"/>
                <w:b/>
                <w:color w:val="0D0D0D"/>
                <w:shd w:val="clear" w:color="auto" w:fill="FFFFFF"/>
              </w:rPr>
              <w:t>Digital Finance Adoption (%)</w:t>
            </w:r>
          </w:p>
        </w:tc>
      </w:tr>
      <w:tr w:rsidR="002E488D" w:rsidRPr="00014558" w14:paraId="7B779B95" w14:textId="77777777" w:rsidTr="00142A2B">
        <w:trPr>
          <w:trHeight w:val="410"/>
        </w:trPr>
        <w:tc>
          <w:tcPr>
            <w:tcW w:w="0" w:type="auto"/>
            <w:hideMark/>
          </w:tcPr>
          <w:p w14:paraId="2DA126E9" w14:textId="77777777" w:rsidR="002E488D" w:rsidRPr="00014558" w:rsidRDefault="002E488D" w:rsidP="00142A2B">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Agri Loan Penetration (%)</w:t>
            </w:r>
          </w:p>
        </w:tc>
        <w:tc>
          <w:tcPr>
            <w:tcW w:w="0" w:type="auto"/>
            <w:hideMark/>
          </w:tcPr>
          <w:p w14:paraId="1A5E72F1"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1.000</w:t>
            </w:r>
          </w:p>
        </w:tc>
        <w:tc>
          <w:tcPr>
            <w:tcW w:w="0" w:type="auto"/>
            <w:hideMark/>
          </w:tcPr>
          <w:p w14:paraId="346C472A"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-0.064</w:t>
            </w:r>
          </w:p>
        </w:tc>
        <w:tc>
          <w:tcPr>
            <w:tcW w:w="0" w:type="auto"/>
            <w:hideMark/>
          </w:tcPr>
          <w:p w14:paraId="38F2F844"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-0.152</w:t>
            </w:r>
          </w:p>
        </w:tc>
        <w:tc>
          <w:tcPr>
            <w:tcW w:w="0" w:type="auto"/>
            <w:hideMark/>
          </w:tcPr>
          <w:p w14:paraId="5C2B12A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0.073</w:t>
            </w:r>
          </w:p>
        </w:tc>
      </w:tr>
      <w:tr w:rsidR="002E488D" w:rsidRPr="00014558" w14:paraId="1F488B7B" w14:textId="77777777" w:rsidTr="00142A2B">
        <w:trPr>
          <w:trHeight w:val="410"/>
        </w:trPr>
        <w:tc>
          <w:tcPr>
            <w:tcW w:w="0" w:type="auto"/>
            <w:hideMark/>
          </w:tcPr>
          <w:p w14:paraId="36989A31" w14:textId="77777777" w:rsidR="002E488D" w:rsidRPr="00014558" w:rsidRDefault="002E488D" w:rsidP="00142A2B">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Fraud Cases</w:t>
            </w:r>
          </w:p>
        </w:tc>
        <w:tc>
          <w:tcPr>
            <w:tcW w:w="0" w:type="auto"/>
            <w:hideMark/>
          </w:tcPr>
          <w:p w14:paraId="1760156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-0.064</w:t>
            </w:r>
          </w:p>
        </w:tc>
        <w:tc>
          <w:tcPr>
            <w:tcW w:w="0" w:type="auto"/>
            <w:hideMark/>
          </w:tcPr>
          <w:p w14:paraId="5C21F4D2"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1.000</w:t>
            </w:r>
          </w:p>
        </w:tc>
        <w:tc>
          <w:tcPr>
            <w:tcW w:w="0" w:type="auto"/>
            <w:hideMark/>
          </w:tcPr>
          <w:p w14:paraId="1DBA056A"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0.235</w:t>
            </w:r>
          </w:p>
        </w:tc>
        <w:tc>
          <w:tcPr>
            <w:tcW w:w="0" w:type="auto"/>
            <w:hideMark/>
          </w:tcPr>
          <w:p w14:paraId="046E874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-0.049</w:t>
            </w:r>
          </w:p>
        </w:tc>
      </w:tr>
      <w:tr w:rsidR="002E488D" w:rsidRPr="00014558" w14:paraId="5EB759B7" w14:textId="77777777" w:rsidTr="00142A2B">
        <w:trPr>
          <w:trHeight w:val="410"/>
        </w:trPr>
        <w:tc>
          <w:tcPr>
            <w:tcW w:w="0" w:type="auto"/>
            <w:hideMark/>
          </w:tcPr>
          <w:p w14:paraId="3D1BBB9C" w14:textId="77777777" w:rsidR="002E488D" w:rsidRPr="00014558" w:rsidRDefault="002E488D" w:rsidP="00142A2B">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t>Cyber Risk Index</w:t>
            </w:r>
          </w:p>
        </w:tc>
        <w:tc>
          <w:tcPr>
            <w:tcW w:w="0" w:type="auto"/>
            <w:hideMark/>
          </w:tcPr>
          <w:p w14:paraId="6BF925E9"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-0.152</w:t>
            </w:r>
          </w:p>
        </w:tc>
        <w:tc>
          <w:tcPr>
            <w:tcW w:w="0" w:type="auto"/>
            <w:hideMark/>
          </w:tcPr>
          <w:p w14:paraId="50305E7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0.235</w:t>
            </w:r>
          </w:p>
        </w:tc>
        <w:tc>
          <w:tcPr>
            <w:tcW w:w="0" w:type="auto"/>
            <w:hideMark/>
          </w:tcPr>
          <w:p w14:paraId="6AA50120"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1.000</w:t>
            </w:r>
          </w:p>
        </w:tc>
        <w:tc>
          <w:tcPr>
            <w:tcW w:w="0" w:type="auto"/>
            <w:hideMark/>
          </w:tcPr>
          <w:p w14:paraId="5729192B"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0.091</w:t>
            </w:r>
          </w:p>
        </w:tc>
      </w:tr>
      <w:tr w:rsidR="002E488D" w:rsidRPr="00014558" w14:paraId="4A1DC5DE" w14:textId="77777777" w:rsidTr="00142A2B">
        <w:trPr>
          <w:trHeight w:val="410"/>
        </w:trPr>
        <w:tc>
          <w:tcPr>
            <w:tcW w:w="0" w:type="auto"/>
            <w:hideMark/>
          </w:tcPr>
          <w:p w14:paraId="3AF9AC2E" w14:textId="77777777" w:rsidR="002E488D" w:rsidRPr="00014558" w:rsidRDefault="002E488D" w:rsidP="00142A2B">
            <w:pPr>
              <w:pStyle w:val="NormalWeb"/>
              <w:shd w:val="clear" w:color="auto" w:fill="FFFFFF"/>
              <w:spacing w:before="0" w:beforeAutospacing="0" w:after="0" w:afterAutospacing="0"/>
              <w:jc w:val="both"/>
              <w:rPr>
                <w:rFonts w:ascii="Arial" w:hAnsi="Arial" w:cs="Arial"/>
                <w:b/>
              </w:rPr>
            </w:pPr>
            <w:r w:rsidRPr="00014558">
              <w:rPr>
                <w:rFonts w:ascii="Arial" w:hAnsi="Arial" w:cs="Arial"/>
                <w:b/>
                <w:color w:val="0D0D0D"/>
                <w:shd w:val="clear" w:color="auto" w:fill="FFFFFF"/>
              </w:rPr>
              <w:lastRenderedPageBreak/>
              <w:t>Digital Finance Adoption (%)</w:t>
            </w:r>
          </w:p>
        </w:tc>
        <w:tc>
          <w:tcPr>
            <w:tcW w:w="0" w:type="auto"/>
            <w:hideMark/>
          </w:tcPr>
          <w:p w14:paraId="174F2D5E"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0.073</w:t>
            </w:r>
          </w:p>
        </w:tc>
        <w:tc>
          <w:tcPr>
            <w:tcW w:w="0" w:type="auto"/>
            <w:hideMark/>
          </w:tcPr>
          <w:p w14:paraId="538C1BA8"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-0.049</w:t>
            </w:r>
          </w:p>
        </w:tc>
        <w:tc>
          <w:tcPr>
            <w:tcW w:w="0" w:type="auto"/>
            <w:hideMark/>
          </w:tcPr>
          <w:p w14:paraId="410DD1D3"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0.091</w:t>
            </w:r>
          </w:p>
        </w:tc>
        <w:tc>
          <w:tcPr>
            <w:tcW w:w="0" w:type="auto"/>
            <w:hideMark/>
          </w:tcPr>
          <w:p w14:paraId="4A3764AB" w14:textId="77777777" w:rsidR="002E488D" w:rsidRPr="00014558" w:rsidRDefault="002E488D" w:rsidP="00142A2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1.000</w:t>
            </w:r>
          </w:p>
        </w:tc>
      </w:tr>
    </w:tbl>
    <w:p w14:paraId="733CB601" w14:textId="77777777" w:rsidR="002E488D" w:rsidRPr="00014558" w:rsidRDefault="00933029" w:rsidP="002E488D">
      <w:pPr>
        <w:pStyle w:val="NormalWeb"/>
        <w:shd w:val="clear" w:color="auto" w:fill="FFFFFF"/>
        <w:spacing w:before="160" w:beforeAutospacing="0" w:after="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Figure 2 </w:t>
      </w:r>
      <w:r w:rsidR="002E488D" w:rsidRPr="00014558">
        <w:rPr>
          <w:rFonts w:ascii="Arial" w:hAnsi="Arial" w:cs="Arial"/>
          <w:color w:val="0D0D0D"/>
          <w:shd w:val="clear" w:color="auto" w:fill="FFFFFF"/>
        </w:rPr>
        <w:t>visualizes these relationships, showing no strong trends between digital finance adoption and fraud risk. This reinforces the argument that fraud in agri-finance is influenced more by other systemic factors such as weak regulatory oversight rather than digital financial adoption alone.</w:t>
      </w:r>
    </w:p>
    <w:p w14:paraId="7B1F34D4" w14:textId="77777777" w:rsidR="00933029" w:rsidRPr="00014558" w:rsidRDefault="00933029" w:rsidP="00933029">
      <w:pPr>
        <w:pStyle w:val="NormalWeb"/>
        <w:shd w:val="clear" w:color="auto" w:fill="FFFFFF"/>
        <w:spacing w:before="160" w:beforeAutospacing="0" w:after="0" w:afterAutospacing="0"/>
        <w:jc w:val="both"/>
        <w:rPr>
          <w:rFonts w:ascii="Arial" w:hAnsi="Arial" w:cs="Arial"/>
          <w:bCs/>
          <w:color w:val="0D0D0D"/>
          <w:shd w:val="clear" w:color="auto" w:fill="FFFFFF"/>
        </w:rPr>
      </w:pPr>
      <w:r w:rsidRPr="00014558">
        <w:rPr>
          <w:rFonts w:ascii="Arial" w:hAnsi="Arial" w:cs="Arial"/>
          <w:noProof/>
        </w:rPr>
        <w:drawing>
          <wp:inline distT="0" distB="0" distL="0" distR="0" wp14:anchorId="384C513F" wp14:editId="62D59CAD">
            <wp:extent cx="5448300" cy="3257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tput - 2025-02-19T152251.29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52536" cy="3260453"/>
                    </a:xfrm>
                    <a:prstGeom prst="rect">
                      <a:avLst/>
                    </a:prstGeom>
                  </pic:spPr>
                </pic:pic>
              </a:graphicData>
            </a:graphic>
          </wp:inline>
        </w:drawing>
      </w:r>
    </w:p>
    <w:p w14:paraId="773A9B94" w14:textId="77777777" w:rsidR="00933029" w:rsidRPr="00014558" w:rsidRDefault="00933029" w:rsidP="00933029">
      <w:pPr>
        <w:pStyle w:val="NormalWeb"/>
        <w:shd w:val="clear" w:color="auto" w:fill="FFFFFF"/>
        <w:spacing w:before="160" w:beforeAutospacing="0" w:after="0" w:afterAutospacing="0"/>
        <w:jc w:val="both"/>
        <w:rPr>
          <w:rFonts w:ascii="Arial" w:hAnsi="Arial" w:cs="Arial"/>
          <w:bCs/>
          <w:color w:val="0D0D0D"/>
          <w:shd w:val="clear" w:color="auto" w:fill="FFFFFF"/>
        </w:rPr>
      </w:pPr>
    </w:p>
    <w:p w14:paraId="1E6F72A1" w14:textId="77777777" w:rsidR="002E488D" w:rsidRPr="00014558" w:rsidRDefault="002E488D" w:rsidP="00933029">
      <w:pPr>
        <w:pStyle w:val="NormalWeb"/>
        <w:shd w:val="clear" w:color="auto" w:fill="FFFFFF"/>
        <w:spacing w:before="160" w:beforeAutospacing="0" w:after="0" w:afterAutospacing="0"/>
        <w:jc w:val="both"/>
        <w:rPr>
          <w:rFonts w:ascii="Arial" w:hAnsi="Arial" w:cs="Arial"/>
          <w:bCs/>
          <w:color w:val="0D0D0D"/>
          <w:shd w:val="clear" w:color="auto" w:fill="FFFFFF"/>
        </w:rPr>
      </w:pPr>
      <w:r w:rsidRPr="00014558">
        <w:rPr>
          <w:rFonts w:ascii="Arial" w:hAnsi="Arial" w:cs="Arial"/>
          <w:bCs/>
          <w:color w:val="0D0D0D"/>
          <w:shd w:val="clear" w:color="auto" w:fill="FFFFFF"/>
        </w:rPr>
        <w:t>Figure 2</w:t>
      </w:r>
      <w:r w:rsidR="00933029" w:rsidRPr="00014558">
        <w:rPr>
          <w:rFonts w:ascii="Arial" w:hAnsi="Arial" w:cs="Arial"/>
          <w:bCs/>
          <w:color w:val="0D0D0D"/>
          <w:shd w:val="clear" w:color="auto" w:fill="FFFFFF"/>
        </w:rPr>
        <w:t xml:space="preserve">: </w:t>
      </w:r>
      <w:r w:rsidRPr="00014558">
        <w:rPr>
          <w:rFonts w:ascii="Arial" w:hAnsi="Arial" w:cs="Arial"/>
          <w:iCs/>
          <w:color w:val="0D0D0D"/>
          <w:shd w:val="clear" w:color="auto" w:fill="FFFFFF"/>
        </w:rPr>
        <w:t>Parallel Coordinates Plot of Agri-Finance Correlations</w:t>
      </w:r>
      <w:r w:rsidRPr="00014558">
        <w:rPr>
          <w:rFonts w:ascii="Arial" w:hAnsi="Arial" w:cs="Arial"/>
          <w:i/>
          <w:iCs/>
          <w:color w:val="0D0D0D"/>
          <w:shd w:val="clear" w:color="auto" w:fill="FFFFFF"/>
        </w:rPr>
        <w:br/>
      </w:r>
    </w:p>
    <w:p w14:paraId="348D59B0" w14:textId="77777777" w:rsidR="002E488D" w:rsidRPr="00014558" w:rsidRDefault="002E488D" w:rsidP="002E488D">
      <w:pPr>
        <w:pStyle w:val="Heading3"/>
        <w:shd w:val="clear" w:color="auto" w:fill="FFFFFF"/>
        <w:spacing w:before="0" w:after="0"/>
        <w:jc w:val="both"/>
        <w:rPr>
          <w:b/>
          <w:bCs/>
          <w:color w:val="0D0D0D"/>
          <w:sz w:val="24"/>
          <w:szCs w:val="24"/>
          <w:shd w:val="clear" w:color="auto" w:fill="FFFFFF"/>
        </w:rPr>
      </w:pPr>
      <w:r w:rsidRPr="00014558">
        <w:rPr>
          <w:b/>
          <w:bCs/>
          <w:color w:val="0D0D0D"/>
          <w:sz w:val="24"/>
          <w:szCs w:val="24"/>
          <w:shd w:val="clear" w:color="auto" w:fill="FFFFFF"/>
        </w:rPr>
        <w:t>Impact of Digital Finance on Fraud Occurrences</w:t>
      </w:r>
    </w:p>
    <w:p w14:paraId="2DB68E8E" w14:textId="77777777" w:rsidR="00D04F9D" w:rsidRPr="00014558" w:rsidRDefault="00D04F9D" w:rsidP="00D04F9D">
      <w:pPr>
        <w:rPr>
          <w:sz w:val="24"/>
          <w:szCs w:val="24"/>
        </w:rPr>
      </w:pPr>
    </w:p>
    <w:p w14:paraId="4F879A5A" w14:textId="77777777" w:rsidR="00D04F9D" w:rsidRPr="00014558" w:rsidRDefault="002E488D" w:rsidP="00933029">
      <w:pPr>
        <w:pStyle w:val="NormalWeb"/>
        <w:shd w:val="clear" w:color="auto" w:fill="FFFFFF"/>
        <w:spacing w:before="0" w:beforeAutospacing="0" w:after="16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A regression analysis was conducted to assess whether digital finance adoption is a significant predictor of fraud cases. </w:t>
      </w:r>
    </w:p>
    <w:p w14:paraId="20395473" w14:textId="77777777" w:rsidR="00D04F9D" w:rsidRPr="00014558" w:rsidRDefault="003C111E" w:rsidP="00D04F9D">
      <w:pPr>
        <w:pStyle w:val="Heading3"/>
        <w:shd w:val="clear" w:color="auto" w:fill="FFFFFF"/>
        <w:spacing w:before="280" w:after="0"/>
        <w:jc w:val="both"/>
        <w:rPr>
          <w:color w:val="auto"/>
          <w:sz w:val="24"/>
          <w:szCs w:val="24"/>
        </w:rPr>
      </w:pPr>
      <w:r w:rsidRPr="00014558">
        <w:rPr>
          <w:b/>
          <w:bCs/>
          <w:color w:val="0D0D0D"/>
          <w:sz w:val="24"/>
          <w:szCs w:val="24"/>
          <w:shd w:val="clear" w:color="auto" w:fill="FFFFFF"/>
        </w:rPr>
        <w:t>Table 4</w:t>
      </w:r>
      <w:r w:rsidR="00D04F9D" w:rsidRPr="00014558">
        <w:rPr>
          <w:b/>
          <w:bCs/>
          <w:color w:val="0D0D0D"/>
          <w:sz w:val="24"/>
          <w:szCs w:val="24"/>
          <w:shd w:val="clear" w:color="auto" w:fill="FFFFFF"/>
        </w:rPr>
        <w:t xml:space="preserve">: </w:t>
      </w:r>
      <w:r w:rsidR="00D04F9D" w:rsidRPr="00014558">
        <w:rPr>
          <w:i/>
          <w:iCs/>
          <w:color w:val="0D0D0D"/>
          <w:sz w:val="24"/>
          <w:szCs w:val="24"/>
          <w:shd w:val="clear" w:color="auto" w:fill="FFFFFF"/>
        </w:rPr>
        <w:t>Regression Analysis: Digital Finance Adoption and Fraud Cases</w:t>
      </w:r>
    </w:p>
    <w:tbl>
      <w:tblPr>
        <w:tblStyle w:val="TableGrid"/>
        <w:tblW w:w="0" w:type="auto"/>
        <w:tblLook w:val="04A0" w:firstRow="1" w:lastRow="0" w:firstColumn="1" w:lastColumn="0" w:noHBand="0" w:noVBand="1"/>
      </w:tblPr>
      <w:tblGrid>
        <w:gridCol w:w="3258"/>
        <w:gridCol w:w="1350"/>
        <w:gridCol w:w="1377"/>
        <w:gridCol w:w="1070"/>
      </w:tblGrid>
      <w:tr w:rsidR="00D04F9D" w:rsidRPr="00014558" w14:paraId="514A461C" w14:textId="77777777" w:rsidTr="00D45755">
        <w:trPr>
          <w:trHeight w:val="410"/>
        </w:trPr>
        <w:tc>
          <w:tcPr>
            <w:tcW w:w="0" w:type="auto"/>
            <w:hideMark/>
          </w:tcPr>
          <w:p w14:paraId="52698CE1" w14:textId="77777777" w:rsidR="00D04F9D" w:rsidRPr="00014558" w:rsidRDefault="00D04F9D" w:rsidP="00D45755">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Variable</w:t>
            </w:r>
          </w:p>
        </w:tc>
        <w:tc>
          <w:tcPr>
            <w:tcW w:w="0" w:type="auto"/>
            <w:hideMark/>
          </w:tcPr>
          <w:p w14:paraId="364E6A0E" w14:textId="77777777" w:rsidR="00D04F9D" w:rsidRPr="00014558" w:rsidRDefault="00D04F9D" w:rsidP="00D45755">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Coefficient</w:t>
            </w:r>
          </w:p>
        </w:tc>
        <w:tc>
          <w:tcPr>
            <w:tcW w:w="0" w:type="auto"/>
            <w:hideMark/>
          </w:tcPr>
          <w:p w14:paraId="79477E83" w14:textId="77777777" w:rsidR="00D04F9D" w:rsidRPr="00014558" w:rsidRDefault="00D04F9D" w:rsidP="00D45755">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R-Squared</w:t>
            </w:r>
          </w:p>
        </w:tc>
        <w:tc>
          <w:tcPr>
            <w:tcW w:w="0" w:type="auto"/>
            <w:hideMark/>
          </w:tcPr>
          <w:p w14:paraId="46CD6937" w14:textId="77777777" w:rsidR="00D04F9D" w:rsidRPr="00014558" w:rsidRDefault="00D04F9D" w:rsidP="00D45755">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P-Value</w:t>
            </w:r>
          </w:p>
        </w:tc>
      </w:tr>
      <w:tr w:rsidR="00D04F9D" w:rsidRPr="00014558" w14:paraId="5E04E3E4" w14:textId="77777777" w:rsidTr="00D45755">
        <w:trPr>
          <w:trHeight w:val="410"/>
        </w:trPr>
        <w:tc>
          <w:tcPr>
            <w:tcW w:w="0" w:type="auto"/>
            <w:hideMark/>
          </w:tcPr>
          <w:p w14:paraId="297085ED"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Intercept</w:t>
            </w:r>
          </w:p>
        </w:tc>
        <w:tc>
          <w:tcPr>
            <w:tcW w:w="0" w:type="auto"/>
            <w:hideMark/>
          </w:tcPr>
          <w:p w14:paraId="5CCEA233"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2741.50</w:t>
            </w:r>
          </w:p>
        </w:tc>
        <w:tc>
          <w:tcPr>
            <w:tcW w:w="0" w:type="auto"/>
            <w:hideMark/>
          </w:tcPr>
          <w:p w14:paraId="7E3154D7"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0.00238</w:t>
            </w:r>
          </w:p>
        </w:tc>
        <w:tc>
          <w:tcPr>
            <w:tcW w:w="0" w:type="auto"/>
            <w:hideMark/>
          </w:tcPr>
          <w:p w14:paraId="4590C5E6"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N/A</w:t>
            </w:r>
          </w:p>
        </w:tc>
      </w:tr>
      <w:tr w:rsidR="00D04F9D" w:rsidRPr="00014558" w14:paraId="1A0D5C88" w14:textId="77777777" w:rsidTr="00D45755">
        <w:trPr>
          <w:trHeight w:val="410"/>
        </w:trPr>
        <w:tc>
          <w:tcPr>
            <w:tcW w:w="0" w:type="auto"/>
            <w:hideMark/>
          </w:tcPr>
          <w:p w14:paraId="7CA78BC6"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Digital Finance Adoption (%)</w:t>
            </w:r>
          </w:p>
        </w:tc>
        <w:tc>
          <w:tcPr>
            <w:tcW w:w="0" w:type="auto"/>
            <w:hideMark/>
          </w:tcPr>
          <w:p w14:paraId="42AA24FD"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-2.65</w:t>
            </w:r>
          </w:p>
        </w:tc>
        <w:tc>
          <w:tcPr>
            <w:tcW w:w="0" w:type="auto"/>
            <w:hideMark/>
          </w:tcPr>
          <w:p w14:paraId="1459D3B5"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N/A</w:t>
            </w:r>
          </w:p>
        </w:tc>
        <w:tc>
          <w:tcPr>
            <w:tcW w:w="0" w:type="auto"/>
            <w:hideMark/>
          </w:tcPr>
          <w:p w14:paraId="551B7968" w14:textId="77777777" w:rsidR="00D04F9D" w:rsidRPr="00014558" w:rsidRDefault="00D04F9D" w:rsidP="00D4575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0.6298</w:t>
            </w:r>
          </w:p>
        </w:tc>
      </w:tr>
    </w:tbl>
    <w:p w14:paraId="0DA38767" w14:textId="77777777" w:rsidR="002E488D" w:rsidRPr="00014558" w:rsidRDefault="002E488D" w:rsidP="00933029">
      <w:pPr>
        <w:pStyle w:val="NormalWeb"/>
        <w:shd w:val="clear" w:color="auto" w:fill="FFFFFF"/>
        <w:spacing w:before="0" w:beforeAutospacing="0" w:after="16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The results (Table </w:t>
      </w:r>
      <w:r w:rsidR="003C111E" w:rsidRPr="00014558">
        <w:rPr>
          <w:rFonts w:ascii="Arial" w:hAnsi="Arial" w:cs="Arial"/>
          <w:color w:val="0D0D0D"/>
          <w:shd w:val="clear" w:color="auto" w:fill="FFFFFF"/>
        </w:rPr>
        <w:t>4</w:t>
      </w:r>
      <w:r w:rsidRPr="00014558">
        <w:rPr>
          <w:rFonts w:ascii="Arial" w:hAnsi="Arial" w:cs="Arial"/>
          <w:color w:val="0D0D0D"/>
          <w:shd w:val="clear" w:color="auto" w:fill="FFFFFF"/>
        </w:rPr>
        <w:t>) indicate an extremely weak and statistically insignificant relationship (R² = 0.002, p = 0.63).</w:t>
      </w:r>
      <w:r w:rsidR="00933029" w:rsidRPr="00014558">
        <w:rPr>
          <w:rFonts w:ascii="Arial" w:hAnsi="Arial" w:cs="Arial"/>
        </w:rPr>
        <w:t xml:space="preserve"> </w:t>
      </w:r>
      <w:r w:rsidRPr="00014558">
        <w:rPr>
          <w:rFonts w:ascii="Arial" w:hAnsi="Arial" w:cs="Arial"/>
          <w:color w:val="0D0D0D"/>
          <w:shd w:val="clear" w:color="auto" w:fill="FFFFFF"/>
        </w:rPr>
        <w:t>The coefficient for digital finance adoption is -2.65, meaning that for every 1% increase in digital finance adoption, fraud cases decrease by approximately 2.65 incidents.</w:t>
      </w:r>
      <w:r w:rsidR="00933029" w:rsidRPr="00014558">
        <w:rPr>
          <w:rFonts w:ascii="Arial" w:hAnsi="Arial" w:cs="Arial"/>
        </w:rPr>
        <w:t xml:space="preserve"> </w:t>
      </w:r>
      <w:r w:rsidRPr="00014558">
        <w:rPr>
          <w:rFonts w:ascii="Arial" w:hAnsi="Arial" w:cs="Arial"/>
          <w:color w:val="0D0D0D"/>
          <w:shd w:val="clear" w:color="auto" w:fill="FFFFFF"/>
        </w:rPr>
        <w:t xml:space="preserve">However, the p-value (0.63) indicates that this relationship is not </w:t>
      </w:r>
      <w:r w:rsidRPr="00014558">
        <w:rPr>
          <w:rFonts w:ascii="Arial" w:hAnsi="Arial" w:cs="Arial"/>
          <w:color w:val="0D0D0D"/>
          <w:shd w:val="clear" w:color="auto" w:fill="FFFFFF"/>
        </w:rPr>
        <w:lastRenderedPageBreak/>
        <w:t>statistically significant, meaning that the observed trend could be due to random variations rather than a genuine causal link.</w:t>
      </w:r>
    </w:p>
    <w:p w14:paraId="558E4485" w14:textId="77777777" w:rsidR="00D04F9D" w:rsidRPr="00014558" w:rsidRDefault="00D04F9D" w:rsidP="00933029">
      <w:pPr>
        <w:pStyle w:val="NormalWeb"/>
        <w:shd w:val="clear" w:color="auto" w:fill="FFFFFF"/>
        <w:spacing w:before="0" w:beforeAutospacing="0" w:after="160" w:afterAutospacing="0"/>
        <w:jc w:val="both"/>
        <w:rPr>
          <w:rFonts w:ascii="Arial" w:hAnsi="Arial" w:cs="Arial"/>
          <w:color w:val="0D0D0D"/>
          <w:shd w:val="clear" w:color="auto" w:fill="FFFFFF"/>
        </w:rPr>
      </w:pPr>
      <w:r w:rsidRPr="00014558">
        <w:rPr>
          <w:rFonts w:ascii="Arial" w:hAnsi="Arial" w:cs="Arial"/>
          <w:noProof/>
          <w:color w:val="0D0D0D"/>
          <w:shd w:val="clear" w:color="auto" w:fill="FFFFFF"/>
        </w:rPr>
        <w:drawing>
          <wp:inline distT="0" distB="0" distL="0" distR="0" wp14:anchorId="37E87AEE" wp14:editId="7C5F85D5">
            <wp:extent cx="5543550" cy="4251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put - 2025-02-19T152256.62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9742" cy="4255989"/>
                    </a:xfrm>
                    <a:prstGeom prst="rect">
                      <a:avLst/>
                    </a:prstGeom>
                  </pic:spPr>
                </pic:pic>
              </a:graphicData>
            </a:graphic>
          </wp:inline>
        </w:drawing>
      </w:r>
    </w:p>
    <w:p w14:paraId="4DE794CE" w14:textId="77777777" w:rsidR="002E488D" w:rsidRPr="00014558" w:rsidRDefault="00D04F9D" w:rsidP="003C111E">
      <w:pPr>
        <w:pStyle w:val="Heading3"/>
        <w:shd w:val="clear" w:color="auto" w:fill="FFFFFF"/>
        <w:spacing w:before="0" w:after="0"/>
        <w:jc w:val="both"/>
        <w:rPr>
          <w:sz w:val="24"/>
          <w:szCs w:val="24"/>
        </w:rPr>
      </w:pPr>
      <w:r w:rsidRPr="00014558">
        <w:rPr>
          <w:bCs/>
          <w:color w:val="0D0D0D"/>
          <w:sz w:val="24"/>
          <w:szCs w:val="24"/>
          <w:shd w:val="clear" w:color="auto" w:fill="FFFFFF"/>
        </w:rPr>
        <w:t xml:space="preserve">Figure 3: </w:t>
      </w:r>
      <w:r w:rsidRPr="00014558">
        <w:rPr>
          <w:iCs/>
          <w:color w:val="0D0D0D"/>
          <w:sz w:val="24"/>
          <w:szCs w:val="24"/>
          <w:shd w:val="clear" w:color="auto" w:fill="FFFFFF"/>
        </w:rPr>
        <w:t>Hexbin Visualization of Digital Finance Adoption vs. Fraud Cases</w:t>
      </w:r>
      <w:r w:rsidRPr="00014558">
        <w:rPr>
          <w:iCs/>
          <w:color w:val="0D0D0D"/>
          <w:sz w:val="24"/>
          <w:szCs w:val="24"/>
          <w:shd w:val="clear" w:color="auto" w:fill="FFFFFF"/>
        </w:rPr>
        <w:br/>
      </w:r>
      <w:r w:rsidR="003223D3" w:rsidRPr="00014558">
        <w:rPr>
          <w:iCs/>
          <w:color w:val="0D0D0D"/>
          <w:sz w:val="24"/>
          <w:szCs w:val="24"/>
          <w:shd w:val="clear" w:color="auto" w:fill="FFFFFF"/>
        </w:rPr>
        <w:t>F</w:t>
      </w:r>
      <w:r w:rsidR="002E488D" w:rsidRPr="00014558">
        <w:rPr>
          <w:iCs/>
          <w:color w:val="0D0D0D"/>
          <w:sz w:val="24"/>
          <w:szCs w:val="24"/>
          <w:shd w:val="clear" w:color="auto" w:fill="FFFFFF"/>
        </w:rPr>
        <w:t>igure 3</w:t>
      </w:r>
      <w:r w:rsidR="003223D3" w:rsidRPr="00014558">
        <w:rPr>
          <w:color w:val="0D0D0D"/>
          <w:sz w:val="24"/>
          <w:szCs w:val="24"/>
          <w:shd w:val="clear" w:color="auto" w:fill="FFFFFF"/>
        </w:rPr>
        <w:t xml:space="preserve"> </w:t>
      </w:r>
      <w:r w:rsidR="002E488D" w:rsidRPr="00014558">
        <w:rPr>
          <w:color w:val="0D0D0D"/>
          <w:sz w:val="24"/>
          <w:szCs w:val="24"/>
          <w:shd w:val="clear" w:color="auto" w:fill="FFFFFF"/>
        </w:rPr>
        <w:t>provides a graphical representation of fraud case distribution across different digital finance adoption rates. The lack of clustering patterns suggests no significant trend, reinforcing that fraud cases in agriculture may not be strongly linked to digital financial adoption but rather to other structural factors such as governance, financial literacy, and cybersecurity frameworks.</w:t>
      </w:r>
      <w:r w:rsidR="003C111E" w:rsidRPr="00014558">
        <w:rPr>
          <w:color w:val="0D0D0D"/>
          <w:sz w:val="24"/>
          <w:szCs w:val="24"/>
          <w:shd w:val="clear" w:color="auto" w:fill="FFFFFF"/>
        </w:rPr>
        <w:t xml:space="preserve"> </w:t>
      </w:r>
      <w:r w:rsidR="00632B38" w:rsidRPr="00014558">
        <w:rPr>
          <w:color w:val="0D0D0D"/>
          <w:sz w:val="24"/>
          <w:szCs w:val="24"/>
          <w:shd w:val="clear" w:color="auto" w:fill="FFFFFF"/>
        </w:rPr>
        <w:t>This finding</w:t>
      </w:r>
      <w:r w:rsidR="002E488D" w:rsidRPr="00014558">
        <w:rPr>
          <w:color w:val="0D0D0D"/>
          <w:sz w:val="24"/>
          <w:szCs w:val="24"/>
          <w:shd w:val="clear" w:color="auto" w:fill="FFFFFF"/>
        </w:rPr>
        <w:t xml:space="preserve"> </w:t>
      </w:r>
      <w:r w:rsidR="00632B38" w:rsidRPr="00014558">
        <w:rPr>
          <w:color w:val="0D0D0D"/>
          <w:sz w:val="24"/>
          <w:szCs w:val="24"/>
          <w:shd w:val="clear" w:color="auto" w:fill="FFFFFF"/>
        </w:rPr>
        <w:t>indicates</w:t>
      </w:r>
      <w:r w:rsidR="002E488D" w:rsidRPr="00014558">
        <w:rPr>
          <w:color w:val="0D0D0D"/>
          <w:sz w:val="24"/>
          <w:szCs w:val="24"/>
          <w:shd w:val="clear" w:color="auto" w:fill="FFFFFF"/>
        </w:rPr>
        <w:t xml:space="preserve"> that fraud and cyber risks in agricultural finance are not necessarily driven by digital finance adoption. Instead, structural weaknesses in financial regulation and cybersecurity frameworks are likely more influential factors. </w:t>
      </w:r>
    </w:p>
    <w:p w14:paraId="484491A8" w14:textId="77777777" w:rsidR="00632B38" w:rsidRPr="00014558" w:rsidRDefault="00632B38" w:rsidP="00632B38">
      <w:pPr>
        <w:pStyle w:val="Heading1"/>
        <w:shd w:val="clear" w:color="auto" w:fill="FFFFFF"/>
        <w:spacing w:before="480" w:after="0"/>
        <w:jc w:val="both"/>
        <w:rPr>
          <w:sz w:val="24"/>
          <w:szCs w:val="24"/>
        </w:rPr>
      </w:pPr>
      <w:r w:rsidRPr="00014558">
        <w:rPr>
          <w:b/>
          <w:bCs/>
          <w:color w:val="0D0D0D"/>
          <w:sz w:val="24"/>
          <w:szCs w:val="24"/>
          <w:shd w:val="clear" w:color="auto" w:fill="FFFFFF"/>
        </w:rPr>
        <w:t>Evaluating the Feasibility and Security Implications of Tokenizing Agricultural Assets</w:t>
      </w:r>
    </w:p>
    <w:p w14:paraId="0994A650" w14:textId="77777777" w:rsidR="00632B38" w:rsidRPr="00014558" w:rsidRDefault="00632B38" w:rsidP="00632B38">
      <w:pPr>
        <w:pStyle w:val="Heading2"/>
        <w:shd w:val="clear" w:color="auto" w:fill="FFFFFF"/>
        <w:spacing w:before="0" w:after="0"/>
        <w:jc w:val="both"/>
        <w:rPr>
          <w:sz w:val="24"/>
          <w:szCs w:val="24"/>
        </w:rPr>
      </w:pPr>
      <w:r w:rsidRPr="00014558">
        <w:rPr>
          <w:b/>
          <w:bCs/>
          <w:color w:val="0D0D0D"/>
          <w:sz w:val="24"/>
          <w:szCs w:val="24"/>
          <w:shd w:val="clear" w:color="auto" w:fill="FFFFFF"/>
        </w:rPr>
        <w:t>Introduction</w:t>
      </w:r>
    </w:p>
    <w:p w14:paraId="26BCFB18" w14:textId="77777777" w:rsidR="00632B38" w:rsidRPr="00014558" w:rsidRDefault="00632B38" w:rsidP="00632B38">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The emergence of blockchain-based tokenization in agricultural finance has introduced new opportunities for secure, decentralized, and transparent financial transactions. By converting real-world agricultural assets into digital tokens, tokenization enhances liquidity and enables fractional ownership. However, concerns regarding fraud, smart </w:t>
      </w:r>
      <w:r w:rsidRPr="00014558">
        <w:rPr>
          <w:rFonts w:ascii="Arial" w:hAnsi="Arial" w:cs="Arial"/>
          <w:color w:val="0D0D0D"/>
          <w:shd w:val="clear" w:color="auto" w:fill="FFFFFF"/>
        </w:rPr>
        <w:lastRenderedPageBreak/>
        <w:t>contract vulnerabilities, and cyber threats raise critical questions about the security implications of tokenized agricultural finance. This study evaluates the feasibility and security risks associated with blockchain-based agri-token transactions, focusing on fraud detection, transaction anomalies, and smart contract weaknesses.</w:t>
      </w:r>
    </w:p>
    <w:p w14:paraId="3AF98BC1" w14:textId="77777777" w:rsidR="00632B38" w:rsidRPr="00014558" w:rsidRDefault="00632B38" w:rsidP="00632B38">
      <w:pPr>
        <w:pStyle w:val="Heading3"/>
        <w:shd w:val="clear" w:color="auto" w:fill="FFFFFF"/>
        <w:spacing w:before="0" w:after="0"/>
        <w:jc w:val="both"/>
        <w:rPr>
          <w:sz w:val="24"/>
          <w:szCs w:val="24"/>
        </w:rPr>
      </w:pPr>
      <w:r w:rsidRPr="00014558">
        <w:rPr>
          <w:b/>
          <w:bCs/>
          <w:color w:val="0D0D0D"/>
          <w:sz w:val="24"/>
          <w:szCs w:val="24"/>
          <w:shd w:val="clear" w:color="auto" w:fill="FFFFFF"/>
        </w:rPr>
        <w:t>Blockchain Transaction Patterns and Risk Overview</w:t>
      </w:r>
    </w:p>
    <w:p w14:paraId="12734242" w14:textId="77777777" w:rsidR="00632B38" w:rsidRPr="00014558" w:rsidRDefault="00632B38" w:rsidP="00632B38">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An analysis of 500 agri-token transactions reveals notable variations in transaction volume, wallet activity, and smart contract security levels. </w:t>
      </w:r>
    </w:p>
    <w:p w14:paraId="6AC19AF7" w14:textId="77777777" w:rsidR="00632B38" w:rsidRPr="00014558" w:rsidRDefault="00632B38" w:rsidP="00C315EB">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Table </w:t>
      </w:r>
      <w:r w:rsidR="003C111E" w:rsidRPr="00014558">
        <w:rPr>
          <w:b/>
          <w:bCs/>
          <w:color w:val="0D0D0D"/>
          <w:sz w:val="24"/>
          <w:szCs w:val="24"/>
          <w:shd w:val="clear" w:color="auto" w:fill="FFFFFF"/>
        </w:rPr>
        <w:t>5</w:t>
      </w:r>
      <w:r w:rsidR="00C315EB" w:rsidRPr="00014558">
        <w:rPr>
          <w:b/>
          <w:bCs/>
          <w:color w:val="0D0D0D"/>
          <w:sz w:val="24"/>
          <w:szCs w:val="24"/>
          <w:shd w:val="clear" w:color="auto" w:fill="FFFFFF"/>
        </w:rPr>
        <w:t xml:space="preserve">: </w:t>
      </w:r>
      <w:r w:rsidRPr="00014558">
        <w:rPr>
          <w:i/>
          <w:iCs/>
          <w:color w:val="0D0D0D"/>
          <w:sz w:val="24"/>
          <w:szCs w:val="24"/>
          <w:shd w:val="clear" w:color="auto" w:fill="FFFFFF"/>
        </w:rPr>
        <w:t>Summary of Blockchain-Based Agri-Token Transactions</w:t>
      </w:r>
    </w:p>
    <w:tbl>
      <w:tblPr>
        <w:tblStyle w:val="TableGrid"/>
        <w:tblW w:w="9645" w:type="dxa"/>
        <w:tblLook w:val="04A0" w:firstRow="1" w:lastRow="0" w:firstColumn="1" w:lastColumn="0" w:noHBand="0" w:noVBand="1"/>
      </w:tblPr>
      <w:tblGrid>
        <w:gridCol w:w="4718"/>
        <w:gridCol w:w="1188"/>
        <w:gridCol w:w="1556"/>
        <w:gridCol w:w="995"/>
        <w:gridCol w:w="1188"/>
      </w:tblGrid>
      <w:tr w:rsidR="00632B38" w:rsidRPr="00014558" w14:paraId="6F77D030" w14:textId="77777777" w:rsidTr="00C315EB">
        <w:trPr>
          <w:trHeight w:val="314"/>
        </w:trPr>
        <w:tc>
          <w:tcPr>
            <w:tcW w:w="0" w:type="auto"/>
            <w:hideMark/>
          </w:tcPr>
          <w:p w14:paraId="2062F064"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Variable</w:t>
            </w:r>
          </w:p>
        </w:tc>
        <w:tc>
          <w:tcPr>
            <w:tcW w:w="0" w:type="auto"/>
            <w:hideMark/>
          </w:tcPr>
          <w:p w14:paraId="0EACED12"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Mean</w:t>
            </w:r>
          </w:p>
        </w:tc>
        <w:tc>
          <w:tcPr>
            <w:tcW w:w="0" w:type="auto"/>
            <w:hideMark/>
          </w:tcPr>
          <w:p w14:paraId="1B0F7C9F"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Std Dev</w:t>
            </w:r>
          </w:p>
        </w:tc>
        <w:tc>
          <w:tcPr>
            <w:tcW w:w="0" w:type="auto"/>
            <w:hideMark/>
          </w:tcPr>
          <w:p w14:paraId="3C2C9244"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Min</w:t>
            </w:r>
          </w:p>
        </w:tc>
        <w:tc>
          <w:tcPr>
            <w:tcW w:w="0" w:type="auto"/>
            <w:hideMark/>
          </w:tcPr>
          <w:p w14:paraId="14F3FE84" w14:textId="77777777" w:rsidR="00632B38" w:rsidRPr="00014558" w:rsidRDefault="00632B38" w:rsidP="00C315EB">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Max</w:t>
            </w:r>
          </w:p>
        </w:tc>
      </w:tr>
      <w:tr w:rsidR="00632B38" w:rsidRPr="00014558" w14:paraId="3F6D01C9" w14:textId="77777777" w:rsidTr="00C315EB">
        <w:trPr>
          <w:trHeight w:val="314"/>
        </w:trPr>
        <w:tc>
          <w:tcPr>
            <w:tcW w:w="0" w:type="auto"/>
            <w:hideMark/>
          </w:tcPr>
          <w:p w14:paraId="627AB127"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 Volume (ETH)</w:t>
            </w:r>
          </w:p>
        </w:tc>
        <w:tc>
          <w:tcPr>
            <w:tcW w:w="0" w:type="auto"/>
            <w:hideMark/>
          </w:tcPr>
          <w:p w14:paraId="17EB1EC8"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25.05</w:t>
            </w:r>
          </w:p>
        </w:tc>
        <w:tc>
          <w:tcPr>
            <w:tcW w:w="0" w:type="auto"/>
            <w:hideMark/>
          </w:tcPr>
          <w:p w14:paraId="32088A91"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14.39</w:t>
            </w:r>
          </w:p>
        </w:tc>
        <w:tc>
          <w:tcPr>
            <w:tcW w:w="0" w:type="auto"/>
            <w:hideMark/>
          </w:tcPr>
          <w:p w14:paraId="0CB8A117"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0.63</w:t>
            </w:r>
          </w:p>
        </w:tc>
        <w:tc>
          <w:tcPr>
            <w:tcW w:w="0" w:type="auto"/>
            <w:hideMark/>
          </w:tcPr>
          <w:p w14:paraId="22089C9D"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49.96</w:t>
            </w:r>
          </w:p>
        </w:tc>
      </w:tr>
      <w:tr w:rsidR="00632B38" w:rsidRPr="00014558" w14:paraId="00531336" w14:textId="77777777" w:rsidTr="00C315EB">
        <w:trPr>
          <w:trHeight w:val="314"/>
        </w:trPr>
        <w:tc>
          <w:tcPr>
            <w:tcW w:w="0" w:type="auto"/>
            <w:hideMark/>
          </w:tcPr>
          <w:p w14:paraId="53EA5230"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Wallet Activity</w:t>
            </w:r>
          </w:p>
        </w:tc>
        <w:tc>
          <w:tcPr>
            <w:tcW w:w="0" w:type="auto"/>
            <w:hideMark/>
          </w:tcPr>
          <w:p w14:paraId="5F5FD0EE"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49.33</w:t>
            </w:r>
          </w:p>
        </w:tc>
        <w:tc>
          <w:tcPr>
            <w:tcW w:w="0" w:type="auto"/>
            <w:hideMark/>
          </w:tcPr>
          <w:p w14:paraId="79DF1DF6"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28.85</w:t>
            </w:r>
          </w:p>
        </w:tc>
        <w:tc>
          <w:tcPr>
            <w:tcW w:w="0" w:type="auto"/>
            <w:hideMark/>
          </w:tcPr>
          <w:p w14:paraId="7F8D6EF5"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w:t>
            </w:r>
          </w:p>
        </w:tc>
        <w:tc>
          <w:tcPr>
            <w:tcW w:w="0" w:type="auto"/>
            <w:hideMark/>
          </w:tcPr>
          <w:p w14:paraId="6FE6B24C"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99</w:t>
            </w:r>
          </w:p>
        </w:tc>
      </w:tr>
      <w:tr w:rsidR="00632B38" w:rsidRPr="00014558" w14:paraId="766F5CEF" w14:textId="77777777" w:rsidTr="00C315EB">
        <w:trPr>
          <w:trHeight w:val="314"/>
        </w:trPr>
        <w:tc>
          <w:tcPr>
            <w:tcW w:w="0" w:type="auto"/>
            <w:hideMark/>
          </w:tcPr>
          <w:p w14:paraId="0E14AD00"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Smart Contract Risk (0-1)</w:t>
            </w:r>
          </w:p>
        </w:tc>
        <w:tc>
          <w:tcPr>
            <w:tcW w:w="0" w:type="auto"/>
            <w:hideMark/>
          </w:tcPr>
          <w:p w14:paraId="4A3D9D30"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0.50</w:t>
            </w:r>
          </w:p>
        </w:tc>
        <w:tc>
          <w:tcPr>
            <w:tcW w:w="0" w:type="auto"/>
            <w:hideMark/>
          </w:tcPr>
          <w:p w14:paraId="38C40785"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0.29</w:t>
            </w:r>
          </w:p>
        </w:tc>
        <w:tc>
          <w:tcPr>
            <w:tcW w:w="0" w:type="auto"/>
            <w:hideMark/>
          </w:tcPr>
          <w:p w14:paraId="53615780"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0.01</w:t>
            </w:r>
          </w:p>
        </w:tc>
        <w:tc>
          <w:tcPr>
            <w:tcW w:w="0" w:type="auto"/>
            <w:hideMark/>
          </w:tcPr>
          <w:p w14:paraId="5866AFB3"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0.99</w:t>
            </w:r>
          </w:p>
        </w:tc>
      </w:tr>
      <w:tr w:rsidR="00632B38" w:rsidRPr="00014558" w14:paraId="4F9F8F98" w14:textId="77777777" w:rsidTr="00C315EB">
        <w:trPr>
          <w:trHeight w:val="314"/>
        </w:trPr>
        <w:tc>
          <w:tcPr>
            <w:tcW w:w="0" w:type="auto"/>
            <w:hideMark/>
          </w:tcPr>
          <w:p w14:paraId="294D4725"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Fraudulent Transactions (%)</w:t>
            </w:r>
          </w:p>
        </w:tc>
        <w:tc>
          <w:tcPr>
            <w:tcW w:w="0" w:type="auto"/>
            <w:hideMark/>
          </w:tcPr>
          <w:p w14:paraId="14AF15E9"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15.0</w:t>
            </w:r>
          </w:p>
        </w:tc>
        <w:tc>
          <w:tcPr>
            <w:tcW w:w="0" w:type="auto"/>
            <w:hideMark/>
          </w:tcPr>
          <w:p w14:paraId="1BE8395A"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w:t>
            </w:r>
          </w:p>
        </w:tc>
        <w:tc>
          <w:tcPr>
            <w:tcW w:w="0" w:type="auto"/>
            <w:hideMark/>
          </w:tcPr>
          <w:p w14:paraId="36ED03E4"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c>
          <w:tcPr>
            <w:tcW w:w="0" w:type="auto"/>
            <w:hideMark/>
          </w:tcPr>
          <w:p w14:paraId="3DBB25A2" w14:textId="77777777" w:rsidR="00632B38" w:rsidRPr="00014558" w:rsidRDefault="00632B38"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w:t>
            </w:r>
          </w:p>
        </w:tc>
      </w:tr>
    </w:tbl>
    <w:p w14:paraId="37548898" w14:textId="77777777" w:rsidR="00C315EB" w:rsidRPr="00014558" w:rsidRDefault="00C315EB" w:rsidP="00C315EB">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As summarized in Table </w:t>
      </w:r>
      <w:r w:rsidR="003C111E" w:rsidRPr="00014558">
        <w:rPr>
          <w:rFonts w:ascii="Arial" w:hAnsi="Arial" w:cs="Arial"/>
          <w:color w:val="0D0D0D"/>
          <w:shd w:val="clear" w:color="auto" w:fill="FFFFFF"/>
        </w:rPr>
        <w:t>5</w:t>
      </w:r>
      <w:r w:rsidRPr="00014558">
        <w:rPr>
          <w:rFonts w:ascii="Arial" w:hAnsi="Arial" w:cs="Arial"/>
          <w:color w:val="0D0D0D"/>
          <w:shd w:val="clear" w:color="auto" w:fill="FFFFFF"/>
        </w:rPr>
        <w:t>, the average transaction volume is 25.05 ETH, with some transactions as low as 0.63 ETH and others reaching nearly 50 ETH. Wallet activity also varies, with some wallets executing fewer than 10 transactions, while others exceed 90 transactions, indicating highly active accounts that may be prone to manipulation.</w:t>
      </w:r>
    </w:p>
    <w:p w14:paraId="410908E8" w14:textId="77777777" w:rsidR="00C315EB" w:rsidRPr="00014558" w:rsidRDefault="00C315EB" w:rsidP="00632B38">
      <w:pPr>
        <w:pStyle w:val="NormalWeb"/>
        <w:shd w:val="clear" w:color="auto" w:fill="FFFFFF"/>
        <w:spacing w:before="160" w:beforeAutospacing="0" w:after="0" w:afterAutospacing="0"/>
        <w:jc w:val="both"/>
        <w:rPr>
          <w:rFonts w:ascii="Arial" w:hAnsi="Arial" w:cs="Arial"/>
          <w:color w:val="0D0D0D"/>
          <w:shd w:val="clear" w:color="auto" w:fill="FFFFFF"/>
        </w:rPr>
      </w:pPr>
      <w:r w:rsidRPr="00014558">
        <w:rPr>
          <w:rFonts w:ascii="Arial" w:hAnsi="Arial" w:cs="Arial"/>
          <w:noProof/>
          <w:color w:val="0D0D0D"/>
          <w:shd w:val="clear" w:color="auto" w:fill="FFFFFF"/>
        </w:rPr>
        <w:drawing>
          <wp:inline distT="0" distB="0" distL="0" distR="0" wp14:anchorId="3B940909" wp14:editId="471B462A">
            <wp:extent cx="4695825" cy="3512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put - 2025-02-19T153922.93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02745" cy="3517512"/>
                    </a:xfrm>
                    <a:prstGeom prst="rect">
                      <a:avLst/>
                    </a:prstGeom>
                  </pic:spPr>
                </pic:pic>
              </a:graphicData>
            </a:graphic>
          </wp:inline>
        </w:drawing>
      </w:r>
    </w:p>
    <w:p w14:paraId="12A79662" w14:textId="77777777" w:rsidR="00C315EB" w:rsidRPr="00014558" w:rsidRDefault="00C315EB" w:rsidP="00C315EB">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Figure 4: </w:t>
      </w:r>
      <w:r w:rsidRPr="00014558">
        <w:rPr>
          <w:iCs/>
          <w:color w:val="0D0D0D"/>
          <w:sz w:val="24"/>
          <w:szCs w:val="24"/>
          <w:shd w:val="clear" w:color="auto" w:fill="FFFFFF"/>
        </w:rPr>
        <w:t>Violin Plot of Transaction Volume for Fraudulent and Non-Fraudulent Transaction</w:t>
      </w:r>
    </w:p>
    <w:p w14:paraId="4240E8DF" w14:textId="77777777" w:rsidR="00C315EB" w:rsidRPr="00014558" w:rsidRDefault="00C315EB" w:rsidP="00632B38">
      <w:pPr>
        <w:pStyle w:val="NormalWeb"/>
        <w:shd w:val="clear" w:color="auto" w:fill="FFFFFF"/>
        <w:spacing w:before="160" w:beforeAutospacing="0" w:after="0" w:afterAutospacing="0"/>
        <w:jc w:val="both"/>
        <w:rPr>
          <w:rFonts w:ascii="Arial" w:hAnsi="Arial" w:cs="Arial"/>
          <w:color w:val="0D0D0D"/>
          <w:shd w:val="clear" w:color="auto" w:fill="FFFFFF"/>
        </w:rPr>
      </w:pPr>
    </w:p>
    <w:p w14:paraId="4F32807D" w14:textId="77777777" w:rsidR="00632B38" w:rsidRPr="00014558" w:rsidRDefault="00632B38" w:rsidP="00632B38">
      <w:pPr>
        <w:pStyle w:val="NormalWeb"/>
        <w:shd w:val="clear" w:color="auto" w:fill="FFFFFF"/>
        <w:spacing w:before="160" w:beforeAutospacing="0" w:after="0" w:afterAutospacing="0"/>
        <w:jc w:val="both"/>
        <w:rPr>
          <w:rFonts w:ascii="Arial" w:hAnsi="Arial" w:cs="Arial"/>
        </w:rPr>
      </w:pPr>
      <w:r w:rsidRPr="00014558">
        <w:rPr>
          <w:rFonts w:ascii="Arial" w:hAnsi="Arial" w:cs="Arial"/>
          <w:color w:val="0D0D0D"/>
          <w:shd w:val="clear" w:color="auto" w:fill="FFFFFF"/>
        </w:rPr>
        <w:t xml:space="preserve">The violin plot (Figure 4) visually illustrates the distribution of transaction volumes for both fraudulent and non-fraudulent transactions. While most fraudulent transactions cluster </w:t>
      </w:r>
      <w:r w:rsidRPr="00014558">
        <w:rPr>
          <w:rFonts w:ascii="Arial" w:hAnsi="Arial" w:cs="Arial"/>
          <w:color w:val="0D0D0D"/>
          <w:shd w:val="clear" w:color="auto" w:fill="FFFFFF"/>
        </w:rPr>
        <w:lastRenderedPageBreak/>
        <w:t>around lower transaction volumes, a few high-value fraudulent transactions are also observed, indicating potential risk across multiple transaction scales.</w:t>
      </w:r>
    </w:p>
    <w:p w14:paraId="5F780E34" w14:textId="77777777" w:rsidR="00632B38" w:rsidRPr="00014558" w:rsidRDefault="00632B38" w:rsidP="00632B38">
      <w:pPr>
        <w:pStyle w:val="Heading3"/>
        <w:shd w:val="clear" w:color="auto" w:fill="FFFFFF"/>
        <w:spacing w:before="0" w:after="0"/>
        <w:jc w:val="both"/>
        <w:rPr>
          <w:sz w:val="24"/>
          <w:szCs w:val="24"/>
        </w:rPr>
      </w:pPr>
      <w:r w:rsidRPr="00014558">
        <w:rPr>
          <w:b/>
          <w:bCs/>
          <w:color w:val="0D0D0D"/>
          <w:sz w:val="24"/>
          <w:szCs w:val="24"/>
          <w:shd w:val="clear" w:color="auto" w:fill="FFFFFF"/>
        </w:rPr>
        <w:t>Anomaly Detection and Smart Contract Security Risks</w:t>
      </w:r>
    </w:p>
    <w:p w14:paraId="1BC5D615" w14:textId="77777777" w:rsidR="00632B38" w:rsidRPr="00014558" w:rsidRDefault="00632B38" w:rsidP="00632B38">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An anomaly detection analysis was conducted using Z-score analysis to flag transactions with statistical outliers in transaction volume. Transactions with |Z-score| &gt; 2.5 were identified as potential anomalies. </w:t>
      </w:r>
    </w:p>
    <w:p w14:paraId="0FB29A68" w14:textId="77777777" w:rsidR="00632B38" w:rsidRPr="00014558" w:rsidRDefault="00632B38" w:rsidP="00491B23">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Table </w:t>
      </w:r>
      <w:r w:rsidR="003C111E" w:rsidRPr="00014558">
        <w:rPr>
          <w:b/>
          <w:bCs/>
          <w:color w:val="0D0D0D"/>
          <w:sz w:val="24"/>
          <w:szCs w:val="24"/>
          <w:shd w:val="clear" w:color="auto" w:fill="FFFFFF"/>
        </w:rPr>
        <w:t>6</w:t>
      </w:r>
      <w:r w:rsidR="00491B23" w:rsidRPr="00014558">
        <w:rPr>
          <w:b/>
          <w:bCs/>
          <w:color w:val="0D0D0D"/>
          <w:sz w:val="24"/>
          <w:szCs w:val="24"/>
          <w:shd w:val="clear" w:color="auto" w:fill="FFFFFF"/>
        </w:rPr>
        <w:t xml:space="preserve">: </w:t>
      </w:r>
      <w:r w:rsidRPr="00014558">
        <w:rPr>
          <w:i/>
          <w:iCs/>
          <w:color w:val="0D0D0D"/>
          <w:sz w:val="24"/>
          <w:szCs w:val="24"/>
          <w:shd w:val="clear" w:color="auto" w:fill="FFFFFF"/>
        </w:rPr>
        <w:t>Z-Score Anomaly Detection Results (First 20 Transactions)</w:t>
      </w:r>
    </w:p>
    <w:tbl>
      <w:tblPr>
        <w:tblStyle w:val="TableGrid"/>
        <w:tblW w:w="0" w:type="auto"/>
        <w:tblLook w:val="04A0" w:firstRow="1" w:lastRow="0" w:firstColumn="1" w:lastColumn="0" w:noHBand="0" w:noVBand="1"/>
      </w:tblPr>
      <w:tblGrid>
        <w:gridCol w:w="1871"/>
        <w:gridCol w:w="3057"/>
        <w:gridCol w:w="1070"/>
        <w:gridCol w:w="3044"/>
      </w:tblGrid>
      <w:tr w:rsidR="00632B38" w:rsidRPr="00014558" w14:paraId="0D972CE3" w14:textId="77777777" w:rsidTr="00491B23">
        <w:trPr>
          <w:trHeight w:val="410"/>
        </w:trPr>
        <w:tc>
          <w:tcPr>
            <w:tcW w:w="0" w:type="auto"/>
            <w:hideMark/>
          </w:tcPr>
          <w:p w14:paraId="51DA32CA" w14:textId="77777777" w:rsidR="00632B38" w:rsidRPr="00014558" w:rsidRDefault="00632B38" w:rsidP="00491B23">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Transaction ID</w:t>
            </w:r>
          </w:p>
        </w:tc>
        <w:tc>
          <w:tcPr>
            <w:tcW w:w="0" w:type="auto"/>
            <w:hideMark/>
          </w:tcPr>
          <w:p w14:paraId="3ADB5343" w14:textId="77777777" w:rsidR="00632B38" w:rsidRPr="00014558" w:rsidRDefault="00632B38" w:rsidP="00491B23">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Transaction Volume (ETH)</w:t>
            </w:r>
          </w:p>
        </w:tc>
        <w:tc>
          <w:tcPr>
            <w:tcW w:w="0" w:type="auto"/>
            <w:hideMark/>
          </w:tcPr>
          <w:p w14:paraId="0B16100E" w14:textId="77777777" w:rsidR="00632B38" w:rsidRPr="00014558" w:rsidRDefault="00632B38" w:rsidP="00491B23">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Z-Score</w:t>
            </w:r>
          </w:p>
        </w:tc>
        <w:tc>
          <w:tcPr>
            <w:tcW w:w="0" w:type="auto"/>
            <w:hideMark/>
          </w:tcPr>
          <w:p w14:paraId="68728CF9" w14:textId="77777777" w:rsidR="00632B38" w:rsidRPr="00014558" w:rsidRDefault="00632B38" w:rsidP="00491B23">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Anomaly (1 = Yes, 0 = No)</w:t>
            </w:r>
          </w:p>
        </w:tc>
      </w:tr>
      <w:tr w:rsidR="00632B38" w:rsidRPr="00014558" w14:paraId="142D3255" w14:textId="77777777" w:rsidTr="00491B23">
        <w:trPr>
          <w:trHeight w:val="410"/>
        </w:trPr>
        <w:tc>
          <w:tcPr>
            <w:tcW w:w="0" w:type="auto"/>
            <w:hideMark/>
          </w:tcPr>
          <w:p w14:paraId="7BA1C0A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w:t>
            </w:r>
          </w:p>
        </w:tc>
        <w:tc>
          <w:tcPr>
            <w:tcW w:w="0" w:type="auto"/>
            <w:hideMark/>
          </w:tcPr>
          <w:p w14:paraId="0769A03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19.57</w:t>
            </w:r>
          </w:p>
        </w:tc>
        <w:tc>
          <w:tcPr>
            <w:tcW w:w="0" w:type="auto"/>
            <w:hideMark/>
          </w:tcPr>
          <w:p w14:paraId="7A35138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-0.38</w:t>
            </w:r>
          </w:p>
        </w:tc>
        <w:tc>
          <w:tcPr>
            <w:tcW w:w="0" w:type="auto"/>
            <w:hideMark/>
          </w:tcPr>
          <w:p w14:paraId="613A49C7"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48C797FC" w14:textId="77777777" w:rsidTr="00491B23">
        <w:trPr>
          <w:trHeight w:val="410"/>
        </w:trPr>
        <w:tc>
          <w:tcPr>
            <w:tcW w:w="0" w:type="auto"/>
            <w:hideMark/>
          </w:tcPr>
          <w:p w14:paraId="24F0B4F5"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Transaction_2</w:t>
            </w:r>
          </w:p>
        </w:tc>
        <w:tc>
          <w:tcPr>
            <w:tcW w:w="0" w:type="auto"/>
            <w:hideMark/>
          </w:tcPr>
          <w:p w14:paraId="415AD8D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39.15</w:t>
            </w:r>
          </w:p>
        </w:tc>
        <w:tc>
          <w:tcPr>
            <w:tcW w:w="0" w:type="auto"/>
            <w:hideMark/>
          </w:tcPr>
          <w:p w14:paraId="553CC48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0.97</w:t>
            </w:r>
          </w:p>
        </w:tc>
        <w:tc>
          <w:tcPr>
            <w:tcW w:w="0" w:type="auto"/>
            <w:hideMark/>
          </w:tcPr>
          <w:p w14:paraId="174B8F5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76354807" w14:textId="77777777" w:rsidTr="00491B23">
        <w:trPr>
          <w:trHeight w:val="410"/>
        </w:trPr>
        <w:tc>
          <w:tcPr>
            <w:tcW w:w="0" w:type="auto"/>
            <w:hideMark/>
          </w:tcPr>
          <w:p w14:paraId="2C1E770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Transaction_3</w:t>
            </w:r>
          </w:p>
        </w:tc>
        <w:tc>
          <w:tcPr>
            <w:tcW w:w="0" w:type="auto"/>
            <w:hideMark/>
          </w:tcPr>
          <w:p w14:paraId="27C981F7"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30.34</w:t>
            </w:r>
          </w:p>
        </w:tc>
        <w:tc>
          <w:tcPr>
            <w:tcW w:w="0" w:type="auto"/>
            <w:hideMark/>
          </w:tcPr>
          <w:p w14:paraId="788BB79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0.37</w:t>
            </w:r>
          </w:p>
        </w:tc>
        <w:tc>
          <w:tcPr>
            <w:tcW w:w="0" w:type="auto"/>
            <w:hideMark/>
          </w:tcPr>
          <w:p w14:paraId="230E49E3"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52321491" w14:textId="77777777" w:rsidTr="00491B23">
        <w:trPr>
          <w:trHeight w:val="410"/>
        </w:trPr>
        <w:tc>
          <w:tcPr>
            <w:tcW w:w="0" w:type="auto"/>
            <w:hideMark/>
          </w:tcPr>
          <w:p w14:paraId="75192814"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Transaction_4</w:t>
            </w:r>
          </w:p>
        </w:tc>
        <w:tc>
          <w:tcPr>
            <w:tcW w:w="0" w:type="auto"/>
            <w:hideMark/>
          </w:tcPr>
          <w:p w14:paraId="61238B1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44.68</w:t>
            </w:r>
          </w:p>
        </w:tc>
        <w:tc>
          <w:tcPr>
            <w:tcW w:w="0" w:type="auto"/>
            <w:hideMark/>
          </w:tcPr>
          <w:p w14:paraId="2B9AD22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1.37</w:t>
            </w:r>
          </w:p>
        </w:tc>
        <w:tc>
          <w:tcPr>
            <w:tcW w:w="0" w:type="auto"/>
            <w:hideMark/>
          </w:tcPr>
          <w:p w14:paraId="6D7C3CB6"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0383D17C" w14:textId="77777777" w:rsidTr="00491B23">
        <w:trPr>
          <w:trHeight w:val="410"/>
        </w:trPr>
        <w:tc>
          <w:tcPr>
            <w:tcW w:w="0" w:type="auto"/>
            <w:hideMark/>
          </w:tcPr>
          <w:p w14:paraId="664BE1A7"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Transaction_5</w:t>
            </w:r>
          </w:p>
        </w:tc>
        <w:tc>
          <w:tcPr>
            <w:tcW w:w="0" w:type="auto"/>
            <w:hideMark/>
          </w:tcPr>
          <w:p w14:paraId="081CC1D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10.86</w:t>
            </w:r>
          </w:p>
        </w:tc>
        <w:tc>
          <w:tcPr>
            <w:tcW w:w="0" w:type="auto"/>
            <w:hideMark/>
          </w:tcPr>
          <w:p w14:paraId="5245772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-0.98</w:t>
            </w:r>
          </w:p>
        </w:tc>
        <w:tc>
          <w:tcPr>
            <w:tcW w:w="0" w:type="auto"/>
            <w:hideMark/>
          </w:tcPr>
          <w:p w14:paraId="4DF9CEE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43674905" w14:textId="77777777" w:rsidTr="00491B23">
        <w:trPr>
          <w:trHeight w:val="410"/>
        </w:trPr>
        <w:tc>
          <w:tcPr>
            <w:tcW w:w="0" w:type="auto"/>
            <w:hideMark/>
          </w:tcPr>
          <w:p w14:paraId="730839C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Transaction_6</w:t>
            </w:r>
          </w:p>
        </w:tc>
        <w:tc>
          <w:tcPr>
            <w:tcW w:w="0" w:type="auto"/>
            <w:hideMark/>
          </w:tcPr>
          <w:p w14:paraId="1D9DFFFB"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4.12</w:t>
            </w:r>
          </w:p>
        </w:tc>
        <w:tc>
          <w:tcPr>
            <w:tcW w:w="0" w:type="auto"/>
            <w:hideMark/>
          </w:tcPr>
          <w:p w14:paraId="517214E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-1.47</w:t>
            </w:r>
          </w:p>
        </w:tc>
        <w:tc>
          <w:tcPr>
            <w:tcW w:w="0" w:type="auto"/>
            <w:hideMark/>
          </w:tcPr>
          <w:p w14:paraId="2099B2A6"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3570A505" w14:textId="77777777" w:rsidTr="00491B23">
        <w:trPr>
          <w:trHeight w:val="410"/>
        </w:trPr>
        <w:tc>
          <w:tcPr>
            <w:tcW w:w="0" w:type="auto"/>
            <w:hideMark/>
          </w:tcPr>
          <w:p w14:paraId="6C691FE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Transaction_7</w:t>
            </w:r>
          </w:p>
        </w:tc>
        <w:tc>
          <w:tcPr>
            <w:tcW w:w="0" w:type="auto"/>
            <w:hideMark/>
          </w:tcPr>
          <w:p w14:paraId="17FAC28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48.23</w:t>
            </w:r>
          </w:p>
        </w:tc>
        <w:tc>
          <w:tcPr>
            <w:tcW w:w="0" w:type="auto"/>
            <w:hideMark/>
          </w:tcPr>
          <w:p w14:paraId="0A04AF0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1.61</w:t>
            </w:r>
          </w:p>
        </w:tc>
        <w:tc>
          <w:tcPr>
            <w:tcW w:w="0" w:type="auto"/>
            <w:hideMark/>
          </w:tcPr>
          <w:p w14:paraId="70BA483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72272514" w14:textId="77777777" w:rsidTr="00491B23">
        <w:trPr>
          <w:trHeight w:val="410"/>
        </w:trPr>
        <w:tc>
          <w:tcPr>
            <w:tcW w:w="0" w:type="auto"/>
            <w:hideMark/>
          </w:tcPr>
          <w:p w14:paraId="3D77783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Transaction_8</w:t>
            </w:r>
          </w:p>
        </w:tc>
        <w:tc>
          <w:tcPr>
            <w:tcW w:w="0" w:type="auto"/>
            <w:hideMark/>
          </w:tcPr>
          <w:p w14:paraId="2B4C0085"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2.93</w:t>
            </w:r>
          </w:p>
        </w:tc>
        <w:tc>
          <w:tcPr>
            <w:tcW w:w="0" w:type="auto"/>
            <w:hideMark/>
          </w:tcPr>
          <w:p w14:paraId="1DBCB1A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-1.54</w:t>
            </w:r>
          </w:p>
        </w:tc>
        <w:tc>
          <w:tcPr>
            <w:tcW w:w="0" w:type="auto"/>
            <w:hideMark/>
          </w:tcPr>
          <w:p w14:paraId="6AF91F0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1BBF7355" w14:textId="77777777" w:rsidTr="00491B23">
        <w:trPr>
          <w:trHeight w:val="410"/>
        </w:trPr>
        <w:tc>
          <w:tcPr>
            <w:tcW w:w="0" w:type="auto"/>
            <w:hideMark/>
          </w:tcPr>
          <w:p w14:paraId="62C667A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Transaction_9</w:t>
            </w:r>
          </w:p>
        </w:tc>
        <w:tc>
          <w:tcPr>
            <w:tcW w:w="0" w:type="auto"/>
            <w:hideMark/>
          </w:tcPr>
          <w:p w14:paraId="70824C9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36.11</w:t>
            </w:r>
          </w:p>
        </w:tc>
        <w:tc>
          <w:tcPr>
            <w:tcW w:w="0" w:type="auto"/>
            <w:hideMark/>
          </w:tcPr>
          <w:p w14:paraId="51C183D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0.77</w:t>
            </w:r>
          </w:p>
        </w:tc>
        <w:tc>
          <w:tcPr>
            <w:tcW w:w="0" w:type="auto"/>
            <w:hideMark/>
          </w:tcPr>
          <w:p w14:paraId="07EC9FE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33FF24F8" w14:textId="77777777" w:rsidTr="00491B23">
        <w:trPr>
          <w:trHeight w:val="410"/>
        </w:trPr>
        <w:tc>
          <w:tcPr>
            <w:tcW w:w="0" w:type="auto"/>
            <w:hideMark/>
          </w:tcPr>
          <w:p w14:paraId="1AB83483"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Transaction_10</w:t>
            </w:r>
          </w:p>
        </w:tc>
        <w:tc>
          <w:tcPr>
            <w:tcW w:w="0" w:type="auto"/>
            <w:hideMark/>
          </w:tcPr>
          <w:p w14:paraId="27C334A6"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6.72</w:t>
            </w:r>
          </w:p>
        </w:tc>
        <w:tc>
          <w:tcPr>
            <w:tcW w:w="0" w:type="auto"/>
            <w:hideMark/>
          </w:tcPr>
          <w:p w14:paraId="06C77A7B"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-1.34</w:t>
            </w:r>
          </w:p>
        </w:tc>
        <w:tc>
          <w:tcPr>
            <w:tcW w:w="0" w:type="auto"/>
            <w:hideMark/>
          </w:tcPr>
          <w:p w14:paraId="2DB280AC"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707DC9C9" w14:textId="77777777" w:rsidTr="00491B23">
        <w:trPr>
          <w:trHeight w:val="410"/>
        </w:trPr>
        <w:tc>
          <w:tcPr>
            <w:tcW w:w="0" w:type="auto"/>
            <w:hideMark/>
          </w:tcPr>
          <w:p w14:paraId="5E3A19C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Transaction_11</w:t>
            </w:r>
          </w:p>
        </w:tc>
        <w:tc>
          <w:tcPr>
            <w:tcW w:w="0" w:type="auto"/>
            <w:hideMark/>
          </w:tcPr>
          <w:p w14:paraId="75FCDA43"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49.63</w:t>
            </w:r>
          </w:p>
        </w:tc>
        <w:tc>
          <w:tcPr>
            <w:tcW w:w="0" w:type="auto"/>
            <w:hideMark/>
          </w:tcPr>
          <w:p w14:paraId="004E21CC"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1.70</w:t>
            </w:r>
          </w:p>
        </w:tc>
        <w:tc>
          <w:tcPr>
            <w:tcW w:w="0" w:type="auto"/>
            <w:hideMark/>
          </w:tcPr>
          <w:p w14:paraId="5073407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52C53B9E" w14:textId="77777777" w:rsidTr="00491B23">
        <w:trPr>
          <w:trHeight w:val="410"/>
        </w:trPr>
        <w:tc>
          <w:tcPr>
            <w:tcW w:w="0" w:type="auto"/>
            <w:hideMark/>
          </w:tcPr>
          <w:p w14:paraId="24B30C1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Transaction_12</w:t>
            </w:r>
          </w:p>
        </w:tc>
        <w:tc>
          <w:tcPr>
            <w:tcW w:w="0" w:type="auto"/>
            <w:hideMark/>
          </w:tcPr>
          <w:p w14:paraId="03E3DA1A"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45.17</w:t>
            </w:r>
          </w:p>
        </w:tc>
        <w:tc>
          <w:tcPr>
            <w:tcW w:w="0" w:type="auto"/>
            <w:hideMark/>
          </w:tcPr>
          <w:p w14:paraId="5732C1B4"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1.41</w:t>
            </w:r>
          </w:p>
        </w:tc>
        <w:tc>
          <w:tcPr>
            <w:tcW w:w="0" w:type="auto"/>
            <w:hideMark/>
          </w:tcPr>
          <w:p w14:paraId="513E015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5F31915F" w14:textId="77777777" w:rsidTr="00491B23">
        <w:trPr>
          <w:trHeight w:val="410"/>
        </w:trPr>
        <w:tc>
          <w:tcPr>
            <w:tcW w:w="0" w:type="auto"/>
            <w:hideMark/>
          </w:tcPr>
          <w:p w14:paraId="738D0944"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Transaction_13</w:t>
            </w:r>
          </w:p>
        </w:tc>
        <w:tc>
          <w:tcPr>
            <w:tcW w:w="0" w:type="auto"/>
            <w:hideMark/>
          </w:tcPr>
          <w:p w14:paraId="04A972F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21.56</w:t>
            </w:r>
          </w:p>
        </w:tc>
        <w:tc>
          <w:tcPr>
            <w:tcW w:w="0" w:type="auto"/>
            <w:hideMark/>
          </w:tcPr>
          <w:p w14:paraId="73ACFBF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-0.24</w:t>
            </w:r>
          </w:p>
        </w:tc>
        <w:tc>
          <w:tcPr>
            <w:tcW w:w="0" w:type="auto"/>
            <w:hideMark/>
          </w:tcPr>
          <w:p w14:paraId="4E4C464B"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48673A7E" w14:textId="77777777" w:rsidTr="00491B23">
        <w:trPr>
          <w:trHeight w:val="410"/>
        </w:trPr>
        <w:tc>
          <w:tcPr>
            <w:tcW w:w="0" w:type="auto"/>
            <w:hideMark/>
          </w:tcPr>
          <w:p w14:paraId="0BA2D975"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Transaction_14</w:t>
            </w:r>
          </w:p>
        </w:tc>
        <w:tc>
          <w:tcPr>
            <w:tcW w:w="0" w:type="auto"/>
            <w:hideMark/>
          </w:tcPr>
          <w:p w14:paraId="017D1F38"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26.49</w:t>
            </w:r>
          </w:p>
        </w:tc>
        <w:tc>
          <w:tcPr>
            <w:tcW w:w="0" w:type="auto"/>
            <w:hideMark/>
          </w:tcPr>
          <w:p w14:paraId="3823664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0.10</w:t>
            </w:r>
          </w:p>
        </w:tc>
        <w:tc>
          <w:tcPr>
            <w:tcW w:w="0" w:type="auto"/>
            <w:hideMark/>
          </w:tcPr>
          <w:p w14:paraId="4117C82D"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0A59D2EC" w14:textId="77777777" w:rsidTr="00491B23">
        <w:trPr>
          <w:trHeight w:val="410"/>
        </w:trPr>
        <w:tc>
          <w:tcPr>
            <w:tcW w:w="0" w:type="auto"/>
            <w:hideMark/>
          </w:tcPr>
          <w:p w14:paraId="3B3BCCF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Transaction_15</w:t>
            </w:r>
          </w:p>
        </w:tc>
        <w:tc>
          <w:tcPr>
            <w:tcW w:w="0" w:type="auto"/>
            <w:hideMark/>
          </w:tcPr>
          <w:p w14:paraId="0031F2E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8.93</w:t>
            </w:r>
          </w:p>
        </w:tc>
        <w:tc>
          <w:tcPr>
            <w:tcW w:w="0" w:type="auto"/>
            <w:hideMark/>
          </w:tcPr>
          <w:p w14:paraId="173F2D21"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-1.11</w:t>
            </w:r>
          </w:p>
        </w:tc>
        <w:tc>
          <w:tcPr>
            <w:tcW w:w="0" w:type="auto"/>
            <w:hideMark/>
          </w:tcPr>
          <w:p w14:paraId="6DB315D7"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1D0D6C95" w14:textId="77777777" w:rsidTr="00491B23">
        <w:trPr>
          <w:trHeight w:val="410"/>
        </w:trPr>
        <w:tc>
          <w:tcPr>
            <w:tcW w:w="0" w:type="auto"/>
            <w:hideMark/>
          </w:tcPr>
          <w:p w14:paraId="32FD707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Transaction_16</w:t>
            </w:r>
          </w:p>
        </w:tc>
        <w:tc>
          <w:tcPr>
            <w:tcW w:w="0" w:type="auto"/>
            <w:hideMark/>
          </w:tcPr>
          <w:p w14:paraId="3FD1539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40.79</w:t>
            </w:r>
          </w:p>
        </w:tc>
        <w:tc>
          <w:tcPr>
            <w:tcW w:w="0" w:type="auto"/>
            <w:hideMark/>
          </w:tcPr>
          <w:p w14:paraId="5C7F8138"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1.07</w:t>
            </w:r>
          </w:p>
        </w:tc>
        <w:tc>
          <w:tcPr>
            <w:tcW w:w="0" w:type="auto"/>
            <w:hideMark/>
          </w:tcPr>
          <w:p w14:paraId="228D2D3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23A4C510" w14:textId="77777777" w:rsidTr="00491B23">
        <w:trPr>
          <w:trHeight w:val="410"/>
        </w:trPr>
        <w:tc>
          <w:tcPr>
            <w:tcW w:w="0" w:type="auto"/>
            <w:hideMark/>
          </w:tcPr>
          <w:p w14:paraId="270B476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Transaction_17</w:t>
            </w:r>
          </w:p>
        </w:tc>
        <w:tc>
          <w:tcPr>
            <w:tcW w:w="0" w:type="auto"/>
            <w:hideMark/>
          </w:tcPr>
          <w:p w14:paraId="76BFFC6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32.85</w:t>
            </w:r>
          </w:p>
        </w:tc>
        <w:tc>
          <w:tcPr>
            <w:tcW w:w="0" w:type="auto"/>
            <w:hideMark/>
          </w:tcPr>
          <w:p w14:paraId="3E4228FF"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0.54</w:t>
            </w:r>
          </w:p>
        </w:tc>
        <w:tc>
          <w:tcPr>
            <w:tcW w:w="0" w:type="auto"/>
            <w:hideMark/>
          </w:tcPr>
          <w:p w14:paraId="0B2B9FF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35E793E7" w14:textId="77777777" w:rsidTr="00491B23">
        <w:trPr>
          <w:trHeight w:val="410"/>
        </w:trPr>
        <w:tc>
          <w:tcPr>
            <w:tcW w:w="0" w:type="auto"/>
            <w:hideMark/>
          </w:tcPr>
          <w:p w14:paraId="0328B3BC"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Transaction_18</w:t>
            </w:r>
          </w:p>
        </w:tc>
        <w:tc>
          <w:tcPr>
            <w:tcW w:w="0" w:type="auto"/>
            <w:hideMark/>
          </w:tcPr>
          <w:p w14:paraId="4B83DA42"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3.25</w:t>
            </w:r>
          </w:p>
        </w:tc>
        <w:tc>
          <w:tcPr>
            <w:tcW w:w="0" w:type="auto"/>
            <w:hideMark/>
          </w:tcPr>
          <w:p w14:paraId="1C590134"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-1.52</w:t>
            </w:r>
          </w:p>
        </w:tc>
        <w:tc>
          <w:tcPr>
            <w:tcW w:w="0" w:type="auto"/>
            <w:hideMark/>
          </w:tcPr>
          <w:p w14:paraId="1D8FEF9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20D75E00" w14:textId="77777777" w:rsidTr="00491B23">
        <w:trPr>
          <w:trHeight w:val="410"/>
        </w:trPr>
        <w:tc>
          <w:tcPr>
            <w:tcW w:w="0" w:type="auto"/>
            <w:hideMark/>
          </w:tcPr>
          <w:p w14:paraId="1021DE2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Transaction_19</w:t>
            </w:r>
          </w:p>
        </w:tc>
        <w:tc>
          <w:tcPr>
            <w:tcW w:w="0" w:type="auto"/>
            <w:hideMark/>
          </w:tcPr>
          <w:p w14:paraId="7E548B2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18.40</w:t>
            </w:r>
          </w:p>
        </w:tc>
        <w:tc>
          <w:tcPr>
            <w:tcW w:w="0" w:type="auto"/>
            <w:hideMark/>
          </w:tcPr>
          <w:p w14:paraId="0C6C5E13"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-0.47</w:t>
            </w:r>
          </w:p>
        </w:tc>
        <w:tc>
          <w:tcPr>
            <w:tcW w:w="0" w:type="auto"/>
            <w:hideMark/>
          </w:tcPr>
          <w:p w14:paraId="3461A3D8"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r w:rsidR="00632B38" w:rsidRPr="00014558" w14:paraId="5EAF71F7" w14:textId="77777777" w:rsidTr="00491B23">
        <w:trPr>
          <w:trHeight w:val="410"/>
        </w:trPr>
        <w:tc>
          <w:tcPr>
            <w:tcW w:w="0" w:type="auto"/>
            <w:hideMark/>
          </w:tcPr>
          <w:p w14:paraId="013DF940"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Transaction_20</w:t>
            </w:r>
          </w:p>
        </w:tc>
        <w:tc>
          <w:tcPr>
            <w:tcW w:w="0" w:type="auto"/>
            <w:hideMark/>
          </w:tcPr>
          <w:p w14:paraId="418FB829"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5.27</w:t>
            </w:r>
          </w:p>
        </w:tc>
        <w:tc>
          <w:tcPr>
            <w:tcW w:w="0" w:type="auto"/>
            <w:hideMark/>
          </w:tcPr>
          <w:p w14:paraId="4198C14E"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-1.43</w:t>
            </w:r>
          </w:p>
        </w:tc>
        <w:tc>
          <w:tcPr>
            <w:tcW w:w="0" w:type="auto"/>
            <w:hideMark/>
          </w:tcPr>
          <w:p w14:paraId="1C3CAC6C" w14:textId="77777777" w:rsidR="00632B38" w:rsidRPr="00014558" w:rsidRDefault="00632B38"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w:t>
            </w:r>
          </w:p>
        </w:tc>
      </w:tr>
    </w:tbl>
    <w:p w14:paraId="0BB3FC8E" w14:textId="77777777" w:rsidR="00491B23" w:rsidRPr="00014558" w:rsidRDefault="00491B23" w:rsidP="00491B23">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As shown in Table </w:t>
      </w:r>
      <w:r w:rsidR="003C111E" w:rsidRPr="00014558">
        <w:rPr>
          <w:rFonts w:ascii="Arial" w:hAnsi="Arial" w:cs="Arial"/>
          <w:color w:val="0D0D0D"/>
          <w:shd w:val="clear" w:color="auto" w:fill="FFFFFF"/>
        </w:rPr>
        <w:t>6</w:t>
      </w:r>
      <w:r w:rsidRPr="00014558">
        <w:rPr>
          <w:rFonts w:ascii="Arial" w:hAnsi="Arial" w:cs="Arial"/>
          <w:color w:val="0D0D0D"/>
          <w:shd w:val="clear" w:color="auto" w:fill="FFFFFF"/>
        </w:rPr>
        <w:t>, no extreme anomalies were found in the first 20 transactions, but broader dataset analysis is required to determine systemic fraud risks.</w:t>
      </w:r>
    </w:p>
    <w:p w14:paraId="12EC95AD" w14:textId="77777777" w:rsidR="00034CBF" w:rsidRPr="00014558" w:rsidRDefault="00034CBF" w:rsidP="00632B38">
      <w:pPr>
        <w:pStyle w:val="NormalWeb"/>
        <w:shd w:val="clear" w:color="auto" w:fill="FFFFFF"/>
        <w:spacing w:before="160" w:beforeAutospacing="0" w:after="0" w:afterAutospacing="0"/>
        <w:jc w:val="both"/>
        <w:rPr>
          <w:rFonts w:ascii="Arial" w:hAnsi="Arial" w:cs="Arial"/>
          <w:color w:val="0D0D0D"/>
          <w:shd w:val="clear" w:color="auto" w:fill="FFFFFF"/>
        </w:rPr>
      </w:pPr>
    </w:p>
    <w:p w14:paraId="1936C945" w14:textId="77777777" w:rsidR="00034CBF" w:rsidRPr="00014558" w:rsidRDefault="00034CBF" w:rsidP="00632B38">
      <w:pPr>
        <w:pStyle w:val="NormalWeb"/>
        <w:shd w:val="clear" w:color="auto" w:fill="FFFFFF"/>
        <w:spacing w:before="160" w:beforeAutospacing="0" w:after="0" w:afterAutospacing="0"/>
        <w:jc w:val="both"/>
        <w:rPr>
          <w:rFonts w:ascii="Arial" w:hAnsi="Arial" w:cs="Arial"/>
          <w:color w:val="0D0D0D"/>
          <w:shd w:val="clear" w:color="auto" w:fill="FFFFFF"/>
        </w:rPr>
      </w:pPr>
    </w:p>
    <w:p w14:paraId="65D4111D" w14:textId="77777777" w:rsidR="00034CBF" w:rsidRPr="00014558" w:rsidRDefault="00034CBF" w:rsidP="00632B38">
      <w:pPr>
        <w:pStyle w:val="NormalWeb"/>
        <w:shd w:val="clear" w:color="auto" w:fill="FFFFFF"/>
        <w:spacing w:before="160" w:beforeAutospacing="0" w:after="0" w:afterAutospacing="0"/>
        <w:jc w:val="both"/>
        <w:rPr>
          <w:rFonts w:ascii="Arial" w:hAnsi="Arial" w:cs="Arial"/>
          <w:color w:val="0D0D0D"/>
          <w:shd w:val="clear" w:color="auto" w:fill="FFFFFF"/>
        </w:rPr>
      </w:pPr>
      <w:r w:rsidRPr="00014558">
        <w:rPr>
          <w:rFonts w:ascii="Arial" w:hAnsi="Arial" w:cs="Arial"/>
          <w:noProof/>
          <w:color w:val="0D0D0D"/>
          <w:shd w:val="clear" w:color="auto" w:fill="FFFFFF"/>
        </w:rPr>
        <w:lastRenderedPageBreak/>
        <w:drawing>
          <wp:inline distT="0" distB="0" distL="0" distR="0" wp14:anchorId="525E2AD8" wp14:editId="019E8B8C">
            <wp:extent cx="5810250" cy="443714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utput - 2025-02-19T153839.778.png"/>
                    <pic:cNvPicPr/>
                  </pic:nvPicPr>
                  <pic:blipFill>
                    <a:blip r:embed="rId17">
                      <a:extLst>
                        <a:ext uri="{28A0092B-C50C-407E-A947-70E740481C1C}">
                          <a14:useLocalDpi xmlns:a14="http://schemas.microsoft.com/office/drawing/2010/main" val="0"/>
                        </a:ext>
                      </a:extLst>
                    </a:blip>
                    <a:stretch>
                      <a:fillRect/>
                    </a:stretch>
                  </pic:blipFill>
                  <pic:spPr>
                    <a:xfrm>
                      <a:off x="0" y="0"/>
                      <a:ext cx="5814336" cy="4440264"/>
                    </a:xfrm>
                    <a:prstGeom prst="rect">
                      <a:avLst/>
                    </a:prstGeom>
                  </pic:spPr>
                </pic:pic>
              </a:graphicData>
            </a:graphic>
          </wp:inline>
        </w:drawing>
      </w:r>
    </w:p>
    <w:p w14:paraId="13A17675" w14:textId="77777777" w:rsidR="00034CBF" w:rsidRPr="00014558" w:rsidRDefault="00034CBF" w:rsidP="00034CBF">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Figure 5: </w:t>
      </w:r>
      <w:r w:rsidRPr="00014558">
        <w:rPr>
          <w:iCs/>
          <w:color w:val="0D0D0D"/>
          <w:sz w:val="24"/>
          <w:szCs w:val="24"/>
          <w:shd w:val="clear" w:color="auto" w:fill="FFFFFF"/>
        </w:rPr>
        <w:t>Hexbin Plot of Wallet Activity vs. Fraudulent Transactions</w:t>
      </w:r>
    </w:p>
    <w:p w14:paraId="344A0FB7" w14:textId="77777777" w:rsidR="00632B38" w:rsidRPr="00014558" w:rsidRDefault="00034CBF" w:rsidP="00034CBF">
      <w:pPr>
        <w:pStyle w:val="Heading3"/>
        <w:shd w:val="clear" w:color="auto" w:fill="FFFFFF"/>
        <w:spacing w:before="0" w:after="0"/>
        <w:jc w:val="both"/>
        <w:rPr>
          <w:sz w:val="24"/>
          <w:szCs w:val="24"/>
        </w:rPr>
      </w:pPr>
      <w:r w:rsidRPr="00014558">
        <w:rPr>
          <w:color w:val="0D0D0D"/>
          <w:sz w:val="24"/>
          <w:szCs w:val="24"/>
          <w:shd w:val="clear" w:color="auto" w:fill="FFFFFF"/>
        </w:rPr>
        <w:t xml:space="preserve">Figure 5 </w:t>
      </w:r>
      <w:r w:rsidR="00632B38" w:rsidRPr="00014558">
        <w:rPr>
          <w:color w:val="0D0D0D"/>
          <w:sz w:val="24"/>
          <w:szCs w:val="24"/>
          <w:shd w:val="clear" w:color="auto" w:fill="FFFFFF"/>
        </w:rPr>
        <w:t>further visualizes the relationship between wallet activity and fraudulent transactions. A high concentration of fraudulent transactions is observed in wallets with fewer transactions, suggesting that low-activity wallets may be exploited for fraudulent activities.</w:t>
      </w:r>
    </w:p>
    <w:p w14:paraId="1849B593" w14:textId="77777777" w:rsidR="00632B38" w:rsidRPr="00014558" w:rsidRDefault="00632B38" w:rsidP="00632B38">
      <w:pPr>
        <w:pStyle w:val="Heading3"/>
        <w:shd w:val="clear" w:color="auto" w:fill="FFFFFF"/>
        <w:spacing w:before="0" w:after="0"/>
        <w:jc w:val="both"/>
        <w:rPr>
          <w:sz w:val="24"/>
          <w:szCs w:val="24"/>
        </w:rPr>
      </w:pPr>
      <w:r w:rsidRPr="00014558">
        <w:rPr>
          <w:b/>
          <w:bCs/>
          <w:color w:val="0D0D0D"/>
          <w:sz w:val="24"/>
          <w:szCs w:val="24"/>
          <w:shd w:val="clear" w:color="auto" w:fill="FFFFFF"/>
        </w:rPr>
        <w:t>Impact of Transaction Volume on Fraud Occurrence</w:t>
      </w:r>
    </w:p>
    <w:p w14:paraId="5EC796ED" w14:textId="77777777" w:rsidR="00632B38" w:rsidRPr="00014558" w:rsidRDefault="00632B38" w:rsidP="00632B38">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 logistic regression analysis was performed to determine whether transaction volume significantly predicts fraud occurrence. </w:t>
      </w:r>
    </w:p>
    <w:p w14:paraId="29F5E9BA" w14:textId="77777777" w:rsidR="00632B38" w:rsidRPr="00014558" w:rsidRDefault="00632B38" w:rsidP="007759FC">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Table </w:t>
      </w:r>
      <w:r w:rsidR="003C111E" w:rsidRPr="00014558">
        <w:rPr>
          <w:b/>
          <w:bCs/>
          <w:color w:val="0D0D0D"/>
          <w:sz w:val="24"/>
          <w:szCs w:val="24"/>
          <w:shd w:val="clear" w:color="auto" w:fill="FFFFFF"/>
        </w:rPr>
        <w:t>7</w:t>
      </w:r>
      <w:r w:rsidR="007759FC" w:rsidRPr="00014558">
        <w:rPr>
          <w:b/>
          <w:bCs/>
          <w:color w:val="0D0D0D"/>
          <w:sz w:val="24"/>
          <w:szCs w:val="24"/>
          <w:shd w:val="clear" w:color="auto" w:fill="FFFFFF"/>
        </w:rPr>
        <w:t xml:space="preserve">: </w:t>
      </w:r>
      <w:r w:rsidRPr="00014558">
        <w:rPr>
          <w:i/>
          <w:iCs/>
          <w:color w:val="0D0D0D"/>
          <w:sz w:val="24"/>
          <w:szCs w:val="24"/>
          <w:shd w:val="clear" w:color="auto" w:fill="FFFFFF"/>
        </w:rPr>
        <w:t>Regression Analysis: Transaction Volume and Fraud Occurrence</w:t>
      </w:r>
    </w:p>
    <w:tbl>
      <w:tblPr>
        <w:tblStyle w:val="TableGrid"/>
        <w:tblW w:w="0" w:type="auto"/>
        <w:tblLook w:val="04A0" w:firstRow="1" w:lastRow="0" w:firstColumn="1" w:lastColumn="0" w:noHBand="0" w:noVBand="1"/>
      </w:tblPr>
      <w:tblGrid>
        <w:gridCol w:w="3057"/>
        <w:gridCol w:w="1350"/>
        <w:gridCol w:w="1377"/>
        <w:gridCol w:w="1070"/>
      </w:tblGrid>
      <w:tr w:rsidR="00632B38" w:rsidRPr="00014558" w14:paraId="3A1CE8FA" w14:textId="77777777" w:rsidTr="007759FC">
        <w:trPr>
          <w:trHeight w:val="410"/>
        </w:trPr>
        <w:tc>
          <w:tcPr>
            <w:tcW w:w="0" w:type="auto"/>
            <w:hideMark/>
          </w:tcPr>
          <w:p w14:paraId="5A144010" w14:textId="77777777" w:rsidR="00632B38" w:rsidRPr="00014558" w:rsidRDefault="00632B38">
            <w:pPr>
              <w:pStyle w:val="NormalWeb"/>
              <w:shd w:val="clear" w:color="auto" w:fill="FFFFFF"/>
              <w:spacing w:before="160" w:beforeAutospacing="0" w:after="160" w:afterAutospacing="0"/>
              <w:jc w:val="center"/>
              <w:rPr>
                <w:rFonts w:ascii="Arial" w:hAnsi="Arial" w:cs="Arial"/>
              </w:rPr>
            </w:pPr>
            <w:r w:rsidRPr="00014558">
              <w:rPr>
                <w:rFonts w:ascii="Arial" w:hAnsi="Arial" w:cs="Arial"/>
                <w:color w:val="0D0D0D"/>
                <w:shd w:val="clear" w:color="auto" w:fill="FFFFFF"/>
              </w:rPr>
              <w:t>Variable</w:t>
            </w:r>
          </w:p>
        </w:tc>
        <w:tc>
          <w:tcPr>
            <w:tcW w:w="0" w:type="auto"/>
            <w:hideMark/>
          </w:tcPr>
          <w:p w14:paraId="55EA8831" w14:textId="77777777" w:rsidR="00632B38" w:rsidRPr="00014558" w:rsidRDefault="00632B38">
            <w:pPr>
              <w:pStyle w:val="NormalWeb"/>
              <w:shd w:val="clear" w:color="auto" w:fill="FFFFFF"/>
              <w:spacing w:before="160" w:beforeAutospacing="0" w:after="160" w:afterAutospacing="0"/>
              <w:jc w:val="center"/>
              <w:rPr>
                <w:rFonts w:ascii="Arial" w:hAnsi="Arial" w:cs="Arial"/>
              </w:rPr>
            </w:pPr>
            <w:r w:rsidRPr="00014558">
              <w:rPr>
                <w:rFonts w:ascii="Arial" w:hAnsi="Arial" w:cs="Arial"/>
                <w:color w:val="0D0D0D"/>
                <w:shd w:val="clear" w:color="auto" w:fill="FFFFFF"/>
              </w:rPr>
              <w:t>Coefficient</w:t>
            </w:r>
          </w:p>
        </w:tc>
        <w:tc>
          <w:tcPr>
            <w:tcW w:w="0" w:type="auto"/>
            <w:hideMark/>
          </w:tcPr>
          <w:p w14:paraId="2177AC99" w14:textId="77777777" w:rsidR="00632B38" w:rsidRPr="00014558" w:rsidRDefault="00632B38">
            <w:pPr>
              <w:pStyle w:val="NormalWeb"/>
              <w:shd w:val="clear" w:color="auto" w:fill="FFFFFF"/>
              <w:spacing w:before="160" w:beforeAutospacing="0" w:after="160" w:afterAutospacing="0"/>
              <w:jc w:val="center"/>
              <w:rPr>
                <w:rFonts w:ascii="Arial" w:hAnsi="Arial" w:cs="Arial"/>
              </w:rPr>
            </w:pPr>
            <w:r w:rsidRPr="00014558">
              <w:rPr>
                <w:rFonts w:ascii="Arial" w:hAnsi="Arial" w:cs="Arial"/>
                <w:color w:val="0D0D0D"/>
                <w:shd w:val="clear" w:color="auto" w:fill="FFFFFF"/>
              </w:rPr>
              <w:t>R-Squared</w:t>
            </w:r>
          </w:p>
        </w:tc>
        <w:tc>
          <w:tcPr>
            <w:tcW w:w="0" w:type="auto"/>
            <w:hideMark/>
          </w:tcPr>
          <w:p w14:paraId="07253989" w14:textId="77777777" w:rsidR="00632B38" w:rsidRPr="00014558" w:rsidRDefault="00632B38">
            <w:pPr>
              <w:pStyle w:val="NormalWeb"/>
              <w:shd w:val="clear" w:color="auto" w:fill="FFFFFF"/>
              <w:spacing w:before="160" w:beforeAutospacing="0" w:after="160" w:afterAutospacing="0"/>
              <w:jc w:val="center"/>
              <w:rPr>
                <w:rFonts w:ascii="Arial" w:hAnsi="Arial" w:cs="Arial"/>
              </w:rPr>
            </w:pPr>
            <w:r w:rsidRPr="00014558">
              <w:rPr>
                <w:rFonts w:ascii="Arial" w:hAnsi="Arial" w:cs="Arial"/>
                <w:color w:val="0D0D0D"/>
                <w:shd w:val="clear" w:color="auto" w:fill="FFFFFF"/>
              </w:rPr>
              <w:t>P-Value</w:t>
            </w:r>
          </w:p>
        </w:tc>
      </w:tr>
      <w:tr w:rsidR="00632B38" w:rsidRPr="00014558" w14:paraId="491965B0" w14:textId="77777777" w:rsidTr="007759FC">
        <w:trPr>
          <w:trHeight w:val="410"/>
        </w:trPr>
        <w:tc>
          <w:tcPr>
            <w:tcW w:w="0" w:type="auto"/>
            <w:hideMark/>
          </w:tcPr>
          <w:p w14:paraId="02229F1B"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Intercept</w:t>
            </w:r>
          </w:p>
        </w:tc>
        <w:tc>
          <w:tcPr>
            <w:tcW w:w="0" w:type="auto"/>
            <w:hideMark/>
          </w:tcPr>
          <w:p w14:paraId="053E91F3"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0.1125</w:t>
            </w:r>
          </w:p>
        </w:tc>
        <w:tc>
          <w:tcPr>
            <w:tcW w:w="0" w:type="auto"/>
            <w:hideMark/>
          </w:tcPr>
          <w:p w14:paraId="4C71C12A"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0.0003</w:t>
            </w:r>
          </w:p>
        </w:tc>
        <w:tc>
          <w:tcPr>
            <w:tcW w:w="0" w:type="auto"/>
            <w:hideMark/>
          </w:tcPr>
          <w:p w14:paraId="430C4755"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N/A</w:t>
            </w:r>
          </w:p>
        </w:tc>
      </w:tr>
      <w:tr w:rsidR="00632B38" w:rsidRPr="00014558" w14:paraId="2A673A53" w14:textId="77777777" w:rsidTr="007759FC">
        <w:trPr>
          <w:trHeight w:val="410"/>
        </w:trPr>
        <w:tc>
          <w:tcPr>
            <w:tcW w:w="0" w:type="auto"/>
            <w:hideMark/>
          </w:tcPr>
          <w:p w14:paraId="6E5EFAA9"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Transaction Volume (ETH)</w:t>
            </w:r>
          </w:p>
        </w:tc>
        <w:tc>
          <w:tcPr>
            <w:tcW w:w="0" w:type="auto"/>
            <w:hideMark/>
          </w:tcPr>
          <w:p w14:paraId="4CC30A8C"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0.00038</w:t>
            </w:r>
          </w:p>
        </w:tc>
        <w:tc>
          <w:tcPr>
            <w:tcW w:w="0" w:type="auto"/>
            <w:hideMark/>
          </w:tcPr>
          <w:p w14:paraId="71787F16"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N/A</w:t>
            </w:r>
          </w:p>
        </w:tc>
        <w:tc>
          <w:tcPr>
            <w:tcW w:w="0" w:type="auto"/>
            <w:hideMark/>
          </w:tcPr>
          <w:p w14:paraId="36B07437" w14:textId="77777777" w:rsidR="00632B38" w:rsidRPr="00014558" w:rsidRDefault="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0.705</w:t>
            </w:r>
          </w:p>
        </w:tc>
      </w:tr>
    </w:tbl>
    <w:p w14:paraId="55353B8C" w14:textId="77777777" w:rsidR="006972C9" w:rsidRPr="00014558" w:rsidRDefault="006972C9" w:rsidP="00632B38">
      <w:pPr>
        <w:pStyle w:val="NormalWeb"/>
        <w:shd w:val="clear" w:color="auto" w:fill="FFFFFF"/>
        <w:spacing w:before="160" w:beforeAutospacing="0" w:after="160" w:afterAutospacing="0"/>
        <w:jc w:val="both"/>
        <w:rPr>
          <w:rFonts w:ascii="Arial" w:hAnsi="Arial" w:cs="Arial"/>
          <w:color w:val="0D0D0D"/>
          <w:shd w:val="clear" w:color="auto" w:fill="FFFFFF"/>
        </w:rPr>
      </w:pPr>
    </w:p>
    <w:p w14:paraId="763A48F1" w14:textId="77777777" w:rsidR="006972C9" w:rsidRPr="00014558" w:rsidRDefault="006972C9" w:rsidP="00632B38">
      <w:pPr>
        <w:pStyle w:val="NormalWeb"/>
        <w:shd w:val="clear" w:color="auto" w:fill="FFFFFF"/>
        <w:spacing w:before="160" w:beforeAutospacing="0" w:after="160" w:afterAutospacing="0"/>
        <w:jc w:val="both"/>
        <w:rPr>
          <w:rFonts w:ascii="Arial" w:hAnsi="Arial" w:cs="Arial"/>
          <w:color w:val="0D0D0D"/>
          <w:shd w:val="clear" w:color="auto" w:fill="FFFFFF"/>
        </w:rPr>
      </w:pPr>
    </w:p>
    <w:p w14:paraId="350D32A6" w14:textId="77777777" w:rsidR="006972C9" w:rsidRPr="00014558" w:rsidRDefault="003C111E" w:rsidP="006972C9">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lastRenderedPageBreak/>
        <w:t>The results (Table 7</w:t>
      </w:r>
      <w:r w:rsidR="006972C9" w:rsidRPr="00014558">
        <w:rPr>
          <w:rFonts w:ascii="Arial" w:hAnsi="Arial" w:cs="Arial"/>
          <w:color w:val="0D0D0D"/>
          <w:shd w:val="clear" w:color="auto" w:fill="FFFFFF"/>
        </w:rPr>
        <w:t>) indicate an extremely weak relationship (R² = 0.0003, p = 0.705), meaning that transaction size alone does not significantly influence fraud probability.</w:t>
      </w:r>
    </w:p>
    <w:p w14:paraId="565CCFC3" w14:textId="77777777" w:rsidR="00632B38" w:rsidRPr="00014558" w:rsidRDefault="00632B38" w:rsidP="00632B38">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These findings suggest that fraud in agri-token transactions is not necessarily volume-dependent. Instead, factors such as smart contract weaknesses and wallet activity patterns may play a more significant role in fraudulent occurrences.</w:t>
      </w:r>
    </w:p>
    <w:p w14:paraId="419B544A" w14:textId="77777777" w:rsidR="00B61F15" w:rsidRPr="00014558" w:rsidRDefault="00B61F15" w:rsidP="00B61F15">
      <w:pPr>
        <w:pStyle w:val="Heading1"/>
        <w:shd w:val="clear" w:color="auto" w:fill="FFFFFF"/>
        <w:spacing w:before="480" w:after="0"/>
        <w:jc w:val="both"/>
        <w:rPr>
          <w:sz w:val="24"/>
          <w:szCs w:val="24"/>
        </w:rPr>
      </w:pPr>
      <w:r w:rsidRPr="00014558">
        <w:rPr>
          <w:b/>
          <w:bCs/>
          <w:color w:val="0D0D0D"/>
          <w:sz w:val="24"/>
          <w:szCs w:val="24"/>
          <w:shd w:val="clear" w:color="auto" w:fill="FFFFFF"/>
        </w:rPr>
        <w:t>Assessing the Benefits and Challenges of Tokenization for Finance, Transparency, and Efficiency</w:t>
      </w:r>
    </w:p>
    <w:p w14:paraId="7EFD7CA9" w14:textId="77777777" w:rsidR="00B61F15" w:rsidRPr="00014558" w:rsidRDefault="00B61F15" w:rsidP="00B61F1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The application of blockchain tokenization in agricultural finance aims to improve efficiency, transparency, and accessibility while reducing transaction costs and approval delays. Traditional agricultural finance mechanisms involve high processing costs, slow loan approvals, and opacity in financial transactions. By converting agricultural assets into digital tokens, blockchain technology offers an alternative financing model with faster transaction execution, reduced intermediaries, and greater financial transparency. This study assesses the impact of blockchain-based tokenization on loan disbursement times, transaction costs, and financial transparency, comparing tokenized transactions to conventional agricultural finance.</w:t>
      </w:r>
    </w:p>
    <w:p w14:paraId="5DA4612B" w14:textId="77777777" w:rsidR="00B61F15" w:rsidRPr="00014558" w:rsidRDefault="00B61F15" w:rsidP="00B61F15">
      <w:pPr>
        <w:pStyle w:val="Heading3"/>
        <w:shd w:val="clear" w:color="auto" w:fill="FFFFFF"/>
        <w:spacing w:before="0" w:after="0"/>
        <w:jc w:val="both"/>
        <w:rPr>
          <w:sz w:val="24"/>
          <w:szCs w:val="24"/>
        </w:rPr>
      </w:pPr>
      <w:r w:rsidRPr="00014558">
        <w:rPr>
          <w:b/>
          <w:bCs/>
          <w:color w:val="0D0D0D"/>
          <w:sz w:val="24"/>
          <w:szCs w:val="24"/>
          <w:shd w:val="clear" w:color="auto" w:fill="FFFFFF"/>
        </w:rPr>
        <w:t>Efficiency Gains in Agri-Finance Transactions</w:t>
      </w:r>
    </w:p>
    <w:p w14:paraId="06309F8B" w14:textId="77777777" w:rsidR="00B61F15" w:rsidRPr="00014558" w:rsidRDefault="00B61F15" w:rsidP="00B61F1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Efficiency in agricultural finance is measured by loan disbursement times and transaction costs, both of which show notable improvements with blockchain adoption. </w:t>
      </w:r>
    </w:p>
    <w:p w14:paraId="126540B6" w14:textId="77777777" w:rsidR="00B61F15" w:rsidRPr="00014558" w:rsidRDefault="00B61F15" w:rsidP="000A2699">
      <w:pPr>
        <w:pStyle w:val="Heading3"/>
        <w:shd w:val="clear" w:color="auto" w:fill="FFFFFF"/>
        <w:spacing w:before="0" w:after="0"/>
        <w:jc w:val="both"/>
        <w:rPr>
          <w:sz w:val="24"/>
          <w:szCs w:val="24"/>
        </w:rPr>
      </w:pPr>
      <w:r w:rsidRPr="00014558">
        <w:rPr>
          <w:b/>
          <w:bCs/>
          <w:color w:val="0D0D0D"/>
          <w:sz w:val="24"/>
          <w:szCs w:val="24"/>
          <w:shd w:val="clear" w:color="auto" w:fill="FFFFFF"/>
        </w:rPr>
        <w:t xml:space="preserve">Table </w:t>
      </w:r>
      <w:r w:rsidR="003C111E" w:rsidRPr="00014558">
        <w:rPr>
          <w:b/>
          <w:bCs/>
          <w:color w:val="0D0D0D"/>
          <w:sz w:val="24"/>
          <w:szCs w:val="24"/>
          <w:shd w:val="clear" w:color="auto" w:fill="FFFFFF"/>
        </w:rPr>
        <w:t>8</w:t>
      </w:r>
      <w:r w:rsidR="000A2699" w:rsidRPr="00014558">
        <w:rPr>
          <w:b/>
          <w:bCs/>
          <w:color w:val="0D0D0D"/>
          <w:sz w:val="24"/>
          <w:szCs w:val="24"/>
          <w:shd w:val="clear" w:color="auto" w:fill="FFFFFF"/>
        </w:rPr>
        <w:t xml:space="preserve">: </w:t>
      </w:r>
      <w:r w:rsidRPr="00014558">
        <w:rPr>
          <w:i/>
          <w:iCs/>
          <w:color w:val="0D0D0D"/>
          <w:sz w:val="24"/>
          <w:szCs w:val="24"/>
          <w:shd w:val="clear" w:color="auto" w:fill="FFFFFF"/>
        </w:rPr>
        <w:t>Summary of Blockchain Impact on Financial Efficiency</w:t>
      </w:r>
    </w:p>
    <w:tbl>
      <w:tblPr>
        <w:tblStyle w:val="TableGrid"/>
        <w:tblW w:w="0" w:type="auto"/>
        <w:tblLook w:val="04A0" w:firstRow="1" w:lastRow="0" w:firstColumn="1" w:lastColumn="0" w:noHBand="0" w:noVBand="1"/>
      </w:tblPr>
      <w:tblGrid>
        <w:gridCol w:w="3884"/>
        <w:gridCol w:w="1817"/>
        <w:gridCol w:w="1617"/>
        <w:gridCol w:w="1536"/>
      </w:tblGrid>
      <w:tr w:rsidR="00B61F15" w:rsidRPr="00014558" w14:paraId="37B56B58" w14:textId="77777777" w:rsidTr="000A2699">
        <w:trPr>
          <w:trHeight w:val="410"/>
        </w:trPr>
        <w:tc>
          <w:tcPr>
            <w:tcW w:w="0" w:type="auto"/>
            <w:hideMark/>
          </w:tcPr>
          <w:p w14:paraId="517035D9" w14:textId="77777777" w:rsidR="00B61F15" w:rsidRPr="00014558" w:rsidRDefault="00B61F15">
            <w:pPr>
              <w:pStyle w:val="NormalWeb"/>
              <w:shd w:val="clear" w:color="auto" w:fill="FFFFFF"/>
              <w:spacing w:before="160" w:beforeAutospacing="0" w:after="160" w:afterAutospacing="0"/>
              <w:jc w:val="center"/>
              <w:rPr>
                <w:rFonts w:ascii="Arial" w:hAnsi="Arial" w:cs="Arial"/>
                <w:b/>
              </w:rPr>
            </w:pPr>
            <w:r w:rsidRPr="00014558">
              <w:rPr>
                <w:rFonts w:ascii="Arial" w:hAnsi="Arial" w:cs="Arial"/>
                <w:b/>
                <w:color w:val="0D0D0D"/>
                <w:shd w:val="clear" w:color="auto" w:fill="FFFFFF"/>
              </w:rPr>
              <w:t>Variable</w:t>
            </w:r>
          </w:p>
        </w:tc>
        <w:tc>
          <w:tcPr>
            <w:tcW w:w="0" w:type="auto"/>
            <w:hideMark/>
          </w:tcPr>
          <w:p w14:paraId="58CE945B" w14:textId="77777777" w:rsidR="00B61F15" w:rsidRPr="00014558" w:rsidRDefault="00B61F15">
            <w:pPr>
              <w:pStyle w:val="NormalWeb"/>
              <w:shd w:val="clear" w:color="auto" w:fill="FFFFFF"/>
              <w:spacing w:before="160" w:beforeAutospacing="0" w:after="160" w:afterAutospacing="0"/>
              <w:jc w:val="center"/>
              <w:rPr>
                <w:rFonts w:ascii="Arial" w:hAnsi="Arial" w:cs="Arial"/>
                <w:b/>
              </w:rPr>
            </w:pPr>
            <w:r w:rsidRPr="00014558">
              <w:rPr>
                <w:rFonts w:ascii="Arial" w:hAnsi="Arial" w:cs="Arial"/>
                <w:b/>
                <w:color w:val="0D0D0D"/>
                <w:shd w:val="clear" w:color="auto" w:fill="FFFFFF"/>
              </w:rPr>
              <w:t>Mean (Before)</w:t>
            </w:r>
          </w:p>
        </w:tc>
        <w:tc>
          <w:tcPr>
            <w:tcW w:w="0" w:type="auto"/>
            <w:hideMark/>
          </w:tcPr>
          <w:p w14:paraId="081E4EB0" w14:textId="77777777" w:rsidR="00B61F15" w:rsidRPr="00014558" w:rsidRDefault="00B61F15">
            <w:pPr>
              <w:pStyle w:val="NormalWeb"/>
              <w:shd w:val="clear" w:color="auto" w:fill="FFFFFF"/>
              <w:spacing w:before="160" w:beforeAutospacing="0" w:after="160" w:afterAutospacing="0"/>
              <w:jc w:val="center"/>
              <w:rPr>
                <w:rFonts w:ascii="Arial" w:hAnsi="Arial" w:cs="Arial"/>
                <w:b/>
              </w:rPr>
            </w:pPr>
            <w:r w:rsidRPr="00014558">
              <w:rPr>
                <w:rFonts w:ascii="Arial" w:hAnsi="Arial" w:cs="Arial"/>
                <w:b/>
                <w:color w:val="0D0D0D"/>
                <w:shd w:val="clear" w:color="auto" w:fill="FFFFFF"/>
              </w:rPr>
              <w:t>Mean (After)</w:t>
            </w:r>
          </w:p>
        </w:tc>
        <w:tc>
          <w:tcPr>
            <w:tcW w:w="0" w:type="auto"/>
            <w:hideMark/>
          </w:tcPr>
          <w:p w14:paraId="0DBD716F" w14:textId="77777777" w:rsidR="00B61F15" w:rsidRPr="00014558" w:rsidRDefault="00B61F15">
            <w:pPr>
              <w:pStyle w:val="NormalWeb"/>
              <w:shd w:val="clear" w:color="auto" w:fill="FFFFFF"/>
              <w:spacing w:before="160" w:beforeAutospacing="0" w:after="160" w:afterAutospacing="0"/>
              <w:jc w:val="center"/>
              <w:rPr>
                <w:rFonts w:ascii="Arial" w:hAnsi="Arial" w:cs="Arial"/>
                <w:b/>
              </w:rPr>
            </w:pPr>
            <w:r w:rsidRPr="00014558">
              <w:rPr>
                <w:rFonts w:ascii="Arial" w:hAnsi="Arial" w:cs="Arial"/>
                <w:b/>
                <w:color w:val="0D0D0D"/>
                <w:shd w:val="clear" w:color="auto" w:fill="FFFFFF"/>
              </w:rPr>
              <w:t>Change (%)</w:t>
            </w:r>
          </w:p>
        </w:tc>
      </w:tr>
      <w:tr w:rsidR="00B61F15" w:rsidRPr="00014558" w14:paraId="16B6C420" w14:textId="77777777" w:rsidTr="000A2699">
        <w:trPr>
          <w:trHeight w:val="410"/>
        </w:trPr>
        <w:tc>
          <w:tcPr>
            <w:tcW w:w="0" w:type="auto"/>
            <w:hideMark/>
          </w:tcPr>
          <w:p w14:paraId="45E3D567" w14:textId="77777777" w:rsidR="00B61F15" w:rsidRPr="00014558" w:rsidRDefault="00B61F15">
            <w:pPr>
              <w:pStyle w:val="NormalWeb"/>
              <w:shd w:val="clear" w:color="auto" w:fill="FFFFFF"/>
              <w:spacing w:before="160" w:beforeAutospacing="0" w:after="160" w:afterAutospacing="0"/>
              <w:jc w:val="both"/>
              <w:rPr>
                <w:rFonts w:ascii="Arial" w:hAnsi="Arial" w:cs="Arial"/>
                <w:b/>
              </w:rPr>
            </w:pPr>
            <w:r w:rsidRPr="00014558">
              <w:rPr>
                <w:rFonts w:ascii="Arial" w:hAnsi="Arial" w:cs="Arial"/>
                <w:b/>
                <w:color w:val="0D0D0D"/>
                <w:shd w:val="clear" w:color="auto" w:fill="FFFFFF"/>
              </w:rPr>
              <w:t>Loan Disbursement Time (Days)</w:t>
            </w:r>
          </w:p>
        </w:tc>
        <w:tc>
          <w:tcPr>
            <w:tcW w:w="0" w:type="auto"/>
            <w:hideMark/>
          </w:tcPr>
          <w:p w14:paraId="507EA05E"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14.87</w:t>
            </w:r>
          </w:p>
        </w:tc>
        <w:tc>
          <w:tcPr>
            <w:tcW w:w="0" w:type="auto"/>
            <w:hideMark/>
          </w:tcPr>
          <w:p w14:paraId="24DB08B9"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10.21</w:t>
            </w:r>
          </w:p>
        </w:tc>
        <w:tc>
          <w:tcPr>
            <w:tcW w:w="0" w:type="auto"/>
            <w:hideMark/>
          </w:tcPr>
          <w:p w14:paraId="01EA5B21"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-31.3%</w:t>
            </w:r>
          </w:p>
        </w:tc>
      </w:tr>
      <w:tr w:rsidR="00B61F15" w:rsidRPr="00014558" w14:paraId="6F31A2C2" w14:textId="77777777" w:rsidTr="000A2699">
        <w:trPr>
          <w:trHeight w:val="410"/>
        </w:trPr>
        <w:tc>
          <w:tcPr>
            <w:tcW w:w="0" w:type="auto"/>
            <w:hideMark/>
          </w:tcPr>
          <w:p w14:paraId="7C8ECFDF" w14:textId="77777777" w:rsidR="00B61F15" w:rsidRPr="00014558" w:rsidRDefault="00B61F15">
            <w:pPr>
              <w:pStyle w:val="NormalWeb"/>
              <w:shd w:val="clear" w:color="auto" w:fill="FFFFFF"/>
              <w:spacing w:before="160" w:beforeAutospacing="0" w:after="160" w:afterAutospacing="0"/>
              <w:jc w:val="both"/>
              <w:rPr>
                <w:rFonts w:ascii="Arial" w:hAnsi="Arial" w:cs="Arial"/>
                <w:b/>
              </w:rPr>
            </w:pPr>
            <w:r w:rsidRPr="00014558">
              <w:rPr>
                <w:rFonts w:ascii="Arial" w:hAnsi="Arial" w:cs="Arial"/>
                <w:b/>
                <w:color w:val="0D0D0D"/>
                <w:shd w:val="clear" w:color="auto" w:fill="FFFFFF"/>
              </w:rPr>
              <w:t>Transaction Costs (%)</w:t>
            </w:r>
          </w:p>
        </w:tc>
        <w:tc>
          <w:tcPr>
            <w:tcW w:w="0" w:type="auto"/>
            <w:hideMark/>
          </w:tcPr>
          <w:p w14:paraId="0DC9A376"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6.89</w:t>
            </w:r>
          </w:p>
        </w:tc>
        <w:tc>
          <w:tcPr>
            <w:tcW w:w="0" w:type="auto"/>
            <w:hideMark/>
          </w:tcPr>
          <w:p w14:paraId="0B90ACAE"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4.32</w:t>
            </w:r>
          </w:p>
        </w:tc>
        <w:tc>
          <w:tcPr>
            <w:tcW w:w="0" w:type="auto"/>
            <w:hideMark/>
          </w:tcPr>
          <w:p w14:paraId="483D3546"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-37.3%</w:t>
            </w:r>
          </w:p>
        </w:tc>
      </w:tr>
      <w:tr w:rsidR="00B61F15" w:rsidRPr="00014558" w14:paraId="5C83D030" w14:textId="77777777" w:rsidTr="000A2699">
        <w:trPr>
          <w:trHeight w:val="410"/>
        </w:trPr>
        <w:tc>
          <w:tcPr>
            <w:tcW w:w="0" w:type="auto"/>
            <w:hideMark/>
          </w:tcPr>
          <w:p w14:paraId="5E3DCEA2" w14:textId="77777777" w:rsidR="00B61F15" w:rsidRPr="00014558" w:rsidRDefault="00B61F15">
            <w:pPr>
              <w:pStyle w:val="NormalWeb"/>
              <w:shd w:val="clear" w:color="auto" w:fill="FFFFFF"/>
              <w:spacing w:before="160" w:beforeAutospacing="0" w:after="160" w:afterAutospacing="0"/>
              <w:jc w:val="both"/>
              <w:rPr>
                <w:rFonts w:ascii="Arial" w:hAnsi="Arial" w:cs="Arial"/>
                <w:b/>
              </w:rPr>
            </w:pPr>
            <w:r w:rsidRPr="00014558">
              <w:rPr>
                <w:rFonts w:ascii="Arial" w:hAnsi="Arial" w:cs="Arial"/>
                <w:b/>
                <w:color w:val="0D0D0D"/>
                <w:shd w:val="clear" w:color="auto" w:fill="FFFFFF"/>
              </w:rPr>
              <w:t>Transparency Index (0-100)</w:t>
            </w:r>
          </w:p>
        </w:tc>
        <w:tc>
          <w:tcPr>
            <w:tcW w:w="0" w:type="auto"/>
            <w:hideMark/>
          </w:tcPr>
          <w:p w14:paraId="042CF4E5"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48.65</w:t>
            </w:r>
          </w:p>
        </w:tc>
        <w:tc>
          <w:tcPr>
            <w:tcW w:w="0" w:type="auto"/>
            <w:hideMark/>
          </w:tcPr>
          <w:p w14:paraId="4BBBB913"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68.12</w:t>
            </w:r>
          </w:p>
        </w:tc>
        <w:tc>
          <w:tcPr>
            <w:tcW w:w="0" w:type="auto"/>
            <w:hideMark/>
          </w:tcPr>
          <w:p w14:paraId="7BB7FD78" w14:textId="77777777" w:rsidR="00B61F15" w:rsidRPr="00014558" w:rsidRDefault="00B61F15">
            <w:pPr>
              <w:pStyle w:val="NormalWeb"/>
              <w:shd w:val="clear" w:color="auto" w:fill="FFFFFF"/>
              <w:spacing w:before="160" w:beforeAutospacing="0" w:after="160" w:afterAutospacing="0"/>
              <w:jc w:val="both"/>
              <w:rPr>
                <w:rFonts w:ascii="Arial" w:hAnsi="Arial" w:cs="Arial"/>
              </w:rPr>
            </w:pPr>
            <w:r w:rsidRPr="00014558">
              <w:rPr>
                <w:rFonts w:ascii="Arial" w:hAnsi="Arial" w:cs="Arial"/>
                <w:color w:val="0D0D0D"/>
                <w:shd w:val="clear" w:color="auto" w:fill="FFFFFF"/>
              </w:rPr>
              <w:t>+40.0%</w:t>
            </w:r>
          </w:p>
        </w:tc>
      </w:tr>
    </w:tbl>
    <w:p w14:paraId="47D6BB58" w14:textId="77777777" w:rsidR="002C0AA4" w:rsidRPr="00014558" w:rsidRDefault="002C0AA4" w:rsidP="002C0AA4">
      <w:pPr>
        <w:pStyle w:val="NormalWeb"/>
        <w:shd w:val="clear" w:color="auto" w:fill="FFFFFF"/>
        <w:spacing w:before="0" w:beforeAutospacing="0" w:after="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Table </w:t>
      </w:r>
      <w:r w:rsidR="003C111E" w:rsidRPr="00014558">
        <w:rPr>
          <w:rFonts w:ascii="Arial" w:hAnsi="Arial" w:cs="Arial"/>
          <w:color w:val="0D0D0D"/>
          <w:shd w:val="clear" w:color="auto" w:fill="FFFFFF"/>
        </w:rPr>
        <w:t>8</w:t>
      </w:r>
      <w:r w:rsidRPr="00014558">
        <w:rPr>
          <w:rFonts w:ascii="Arial" w:hAnsi="Arial" w:cs="Arial"/>
          <w:color w:val="0D0D0D"/>
          <w:shd w:val="clear" w:color="auto" w:fill="FFFFFF"/>
        </w:rPr>
        <w:t xml:space="preserve"> presents the mean values of key financial efficiency metrics before and after tokenization. The results indicate a reduction in loan processing time and transaction costs, supporting the notion that blockchain streamlines financial operations.</w:t>
      </w:r>
    </w:p>
    <w:p w14:paraId="13DE0D1E" w14:textId="77777777" w:rsidR="002C0AA4" w:rsidRPr="00014558" w:rsidRDefault="002C0AA4" w:rsidP="002C0AA4">
      <w:pPr>
        <w:pStyle w:val="Heading3"/>
        <w:shd w:val="clear" w:color="auto" w:fill="FFFFFF"/>
        <w:spacing w:before="0" w:after="0"/>
        <w:jc w:val="both"/>
        <w:rPr>
          <w:b/>
          <w:bCs/>
          <w:color w:val="0D0D0D"/>
          <w:sz w:val="24"/>
          <w:szCs w:val="24"/>
          <w:shd w:val="clear" w:color="auto" w:fill="FFFFFF"/>
        </w:rPr>
      </w:pPr>
      <w:r w:rsidRPr="00014558">
        <w:rPr>
          <w:b/>
          <w:bCs/>
          <w:noProof/>
          <w:color w:val="0D0D0D"/>
          <w:sz w:val="24"/>
          <w:szCs w:val="24"/>
          <w:shd w:val="clear" w:color="auto" w:fill="FFFFFF"/>
          <w:lang w:val="en-US"/>
        </w:rPr>
        <w:lastRenderedPageBreak/>
        <w:drawing>
          <wp:inline distT="0" distB="0" distL="0" distR="0" wp14:anchorId="3A5C1CA0" wp14:editId="642052F4">
            <wp:extent cx="5734050" cy="37951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utput - 2025-02-19T155145.8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7438" cy="3797374"/>
                    </a:xfrm>
                    <a:prstGeom prst="rect">
                      <a:avLst/>
                    </a:prstGeom>
                  </pic:spPr>
                </pic:pic>
              </a:graphicData>
            </a:graphic>
          </wp:inline>
        </w:drawing>
      </w:r>
    </w:p>
    <w:p w14:paraId="48A9EBD3" w14:textId="77777777" w:rsidR="002C0AA4" w:rsidRPr="00014558" w:rsidRDefault="002C0AA4" w:rsidP="002C0AA4">
      <w:pPr>
        <w:pStyle w:val="Heading3"/>
        <w:shd w:val="clear" w:color="auto" w:fill="FFFFFF"/>
        <w:spacing w:before="0" w:after="0"/>
        <w:jc w:val="both"/>
        <w:rPr>
          <w:sz w:val="24"/>
          <w:szCs w:val="24"/>
        </w:rPr>
      </w:pPr>
      <w:r w:rsidRPr="00014558">
        <w:rPr>
          <w:bCs/>
          <w:color w:val="0D0D0D"/>
          <w:sz w:val="24"/>
          <w:szCs w:val="24"/>
          <w:shd w:val="clear" w:color="auto" w:fill="FFFFFF"/>
        </w:rPr>
        <w:t xml:space="preserve">Figure 6: </w:t>
      </w:r>
      <w:r w:rsidRPr="00014558">
        <w:rPr>
          <w:iCs/>
          <w:color w:val="0D0D0D"/>
          <w:sz w:val="24"/>
          <w:szCs w:val="24"/>
          <w:shd w:val="clear" w:color="auto" w:fill="FFFFFF"/>
        </w:rPr>
        <w:t>Slope Graph of Loan Disbursement Time Before and After Blockchain Adoption</w:t>
      </w:r>
    </w:p>
    <w:p w14:paraId="39C8D2C6" w14:textId="77777777" w:rsidR="00B61F15" w:rsidRPr="00014558" w:rsidRDefault="002C0AA4" w:rsidP="00B61F15">
      <w:pPr>
        <w:pStyle w:val="NormalWeb"/>
        <w:shd w:val="clear" w:color="auto" w:fill="FFFFFF"/>
        <w:spacing w:before="160" w:beforeAutospacing="0" w:after="0" w:afterAutospacing="0"/>
        <w:jc w:val="both"/>
        <w:rPr>
          <w:rFonts w:ascii="Arial" w:hAnsi="Arial" w:cs="Arial"/>
        </w:rPr>
      </w:pPr>
      <w:r w:rsidRPr="00014558">
        <w:rPr>
          <w:rFonts w:ascii="Arial" w:hAnsi="Arial" w:cs="Arial"/>
          <w:color w:val="0D0D0D"/>
          <w:shd w:val="clear" w:color="auto" w:fill="FFFFFF"/>
        </w:rPr>
        <w:t xml:space="preserve">Figure 6 </w:t>
      </w:r>
      <w:r w:rsidR="00B61F15" w:rsidRPr="00014558">
        <w:rPr>
          <w:rFonts w:ascii="Arial" w:hAnsi="Arial" w:cs="Arial"/>
          <w:color w:val="0D0D0D"/>
          <w:shd w:val="clear" w:color="auto" w:fill="FFFFFF"/>
        </w:rPr>
        <w:t>visually represents the improvement in loan disbursement time, where the average time to approve loans decreases from 14.87 days to 10.21 days in blockchain-enabled transactions. This suggests that tokenized finance significantly enhances operational efficiency by automating approvals through smart contracts.</w:t>
      </w:r>
    </w:p>
    <w:p w14:paraId="684AB697" w14:textId="77777777" w:rsidR="00B61F15" w:rsidRPr="00014558" w:rsidRDefault="00B61F15" w:rsidP="00B61F15">
      <w:pPr>
        <w:rPr>
          <w:sz w:val="24"/>
          <w:szCs w:val="24"/>
        </w:rPr>
      </w:pPr>
    </w:p>
    <w:p w14:paraId="154BB5B2" w14:textId="77777777" w:rsidR="00B61F15" w:rsidRPr="00014558" w:rsidRDefault="00B61F15" w:rsidP="00B61F15">
      <w:pPr>
        <w:pStyle w:val="Heading3"/>
        <w:shd w:val="clear" w:color="auto" w:fill="FFFFFF"/>
        <w:spacing w:before="0" w:after="0"/>
        <w:jc w:val="both"/>
        <w:rPr>
          <w:sz w:val="24"/>
          <w:szCs w:val="24"/>
        </w:rPr>
      </w:pPr>
      <w:r w:rsidRPr="00014558">
        <w:rPr>
          <w:b/>
          <w:bCs/>
          <w:color w:val="0D0D0D"/>
          <w:sz w:val="24"/>
          <w:szCs w:val="24"/>
          <w:shd w:val="clear" w:color="auto" w:fill="FFFFFF"/>
        </w:rPr>
        <w:t>Financial Transparency and Cost Reductions</w:t>
      </w:r>
    </w:p>
    <w:p w14:paraId="1486244A" w14:textId="77777777" w:rsidR="002C0AA4" w:rsidRPr="00014558" w:rsidRDefault="00B61F15" w:rsidP="00B61F15">
      <w:pPr>
        <w:pStyle w:val="NormalWeb"/>
        <w:shd w:val="clear" w:color="auto" w:fill="FFFFFF"/>
        <w:spacing w:before="0" w:beforeAutospacing="0" w:after="0" w:afterAutospacing="0"/>
        <w:jc w:val="both"/>
        <w:rPr>
          <w:rFonts w:ascii="Arial" w:hAnsi="Arial" w:cs="Arial"/>
          <w:color w:val="0D0D0D"/>
          <w:shd w:val="clear" w:color="auto" w:fill="FFFFFF"/>
        </w:rPr>
      </w:pPr>
      <w:r w:rsidRPr="00014558">
        <w:rPr>
          <w:rFonts w:ascii="Arial" w:hAnsi="Arial" w:cs="Arial"/>
          <w:color w:val="0D0D0D"/>
          <w:shd w:val="clear" w:color="auto" w:fill="FFFFFF"/>
        </w:rPr>
        <w:t xml:space="preserve">Blockchain’s immutable ledger system increases financial transparency, which is reflected in a 40% rise in the transparency index. </w:t>
      </w:r>
    </w:p>
    <w:p w14:paraId="792AEE51" w14:textId="77777777" w:rsidR="002C0AA4" w:rsidRPr="00014558" w:rsidRDefault="002C0AA4" w:rsidP="00B61F15">
      <w:pPr>
        <w:pStyle w:val="NormalWeb"/>
        <w:shd w:val="clear" w:color="auto" w:fill="FFFFFF"/>
        <w:spacing w:before="0" w:beforeAutospacing="0" w:after="0" w:afterAutospacing="0"/>
        <w:jc w:val="both"/>
        <w:rPr>
          <w:rFonts w:ascii="Arial" w:hAnsi="Arial" w:cs="Arial"/>
          <w:color w:val="0D0D0D"/>
          <w:shd w:val="clear" w:color="auto" w:fill="FFFFFF"/>
        </w:rPr>
      </w:pPr>
      <w:r w:rsidRPr="00014558">
        <w:rPr>
          <w:rFonts w:ascii="Arial" w:hAnsi="Arial" w:cs="Arial"/>
          <w:noProof/>
          <w:color w:val="0D0D0D"/>
          <w:shd w:val="clear" w:color="auto" w:fill="FFFFFF"/>
        </w:rPr>
        <w:lastRenderedPageBreak/>
        <w:drawing>
          <wp:inline distT="0" distB="0" distL="0" distR="0" wp14:anchorId="2780713F" wp14:editId="07FDD9D4">
            <wp:extent cx="4839099" cy="3057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tput - 2025-02-19T155126.13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41846" cy="3059261"/>
                    </a:xfrm>
                    <a:prstGeom prst="rect">
                      <a:avLst/>
                    </a:prstGeom>
                  </pic:spPr>
                </pic:pic>
              </a:graphicData>
            </a:graphic>
          </wp:inline>
        </w:drawing>
      </w:r>
    </w:p>
    <w:p w14:paraId="7F05858B" w14:textId="77777777" w:rsidR="002C0AA4" w:rsidRPr="00014558" w:rsidRDefault="002C0AA4" w:rsidP="002C0AA4">
      <w:pPr>
        <w:pStyle w:val="Heading3"/>
        <w:shd w:val="clear" w:color="auto" w:fill="FFFFFF"/>
        <w:spacing w:before="0" w:after="0"/>
        <w:jc w:val="both"/>
        <w:rPr>
          <w:sz w:val="24"/>
          <w:szCs w:val="24"/>
        </w:rPr>
      </w:pPr>
      <w:r w:rsidRPr="00014558">
        <w:rPr>
          <w:bCs/>
          <w:color w:val="0D0D0D"/>
          <w:sz w:val="24"/>
          <w:szCs w:val="24"/>
          <w:shd w:val="clear" w:color="auto" w:fill="FFFFFF"/>
        </w:rPr>
        <w:t xml:space="preserve">Figure 7: </w:t>
      </w:r>
      <w:r w:rsidRPr="00014558">
        <w:rPr>
          <w:iCs/>
          <w:color w:val="0D0D0D"/>
          <w:sz w:val="24"/>
          <w:szCs w:val="24"/>
          <w:shd w:val="clear" w:color="auto" w:fill="FFFFFF"/>
        </w:rPr>
        <w:t>Heatmap of Financial Efficiency Changes Pre- and Post-Blockchain Adoption</w:t>
      </w:r>
    </w:p>
    <w:p w14:paraId="11E129E6" w14:textId="77777777" w:rsidR="002C0AA4" w:rsidRPr="00014558" w:rsidRDefault="002C0AA4"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Figure 7</w:t>
      </w:r>
      <w:r w:rsidR="00B61F15" w:rsidRPr="00014558">
        <w:rPr>
          <w:rFonts w:ascii="Arial" w:hAnsi="Arial" w:cs="Arial"/>
          <w:color w:val="0D0D0D"/>
          <w:shd w:val="clear" w:color="auto" w:fill="FFFFFF"/>
        </w:rPr>
        <w:t xml:space="preserve"> visually demonstrates how financial efficiency metrics changed before and after blockchain adoption, emphasizing improvements in loan processing speed, transaction costs, and transparency.</w:t>
      </w:r>
      <w:r w:rsidRPr="00014558">
        <w:rPr>
          <w:rFonts w:ascii="Arial" w:hAnsi="Arial" w:cs="Arial"/>
        </w:rPr>
        <w:t xml:space="preserve"> </w:t>
      </w:r>
      <w:r w:rsidR="00B61F15" w:rsidRPr="00014558">
        <w:rPr>
          <w:rFonts w:ascii="Arial" w:hAnsi="Arial" w:cs="Arial"/>
          <w:color w:val="0D0D0D"/>
          <w:shd w:val="clear" w:color="auto" w:fill="FFFFFF"/>
        </w:rPr>
        <w:t xml:space="preserve">Moreover, the reduction in transaction costs (-37.3%) confirms that tokenized financial systems eliminate intermediary fees and enhance direct peer-to-peer lending mechanisms. </w:t>
      </w:r>
    </w:p>
    <w:p w14:paraId="06110E89" w14:textId="77777777" w:rsidR="00B61F15" w:rsidRPr="00014558" w:rsidRDefault="00B61F15" w:rsidP="00B61F15">
      <w:pPr>
        <w:rPr>
          <w:sz w:val="24"/>
          <w:szCs w:val="24"/>
        </w:rPr>
      </w:pPr>
    </w:p>
    <w:p w14:paraId="5767572A" w14:textId="77777777" w:rsidR="00B61F15" w:rsidRPr="00014558" w:rsidRDefault="00B61F15" w:rsidP="00B61F15">
      <w:pPr>
        <w:pStyle w:val="Heading3"/>
        <w:shd w:val="clear" w:color="auto" w:fill="FFFFFF"/>
        <w:spacing w:before="0" w:after="0"/>
        <w:jc w:val="both"/>
        <w:rPr>
          <w:sz w:val="24"/>
          <w:szCs w:val="24"/>
        </w:rPr>
      </w:pPr>
      <w:r w:rsidRPr="00014558">
        <w:rPr>
          <w:b/>
          <w:bCs/>
          <w:color w:val="0D0D0D"/>
          <w:sz w:val="24"/>
          <w:szCs w:val="24"/>
          <w:shd w:val="clear" w:color="auto" w:fill="FFFFFF"/>
        </w:rPr>
        <w:t>Impact of Tokenization on Financial Inclusion and Trust</w:t>
      </w:r>
    </w:p>
    <w:p w14:paraId="3287C558" w14:textId="77777777" w:rsidR="00B61F15" w:rsidRPr="00014558" w:rsidRDefault="00B61F15" w:rsidP="00B61F15">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 xml:space="preserve">A Difference-in-Differences (DiD) regression analysis was conducted to assess the statistical significance of blockchain’s impact on financial transparency. Table </w:t>
      </w:r>
      <w:r w:rsidR="000174A0" w:rsidRPr="00014558">
        <w:rPr>
          <w:rFonts w:ascii="Arial" w:hAnsi="Arial" w:cs="Arial"/>
          <w:color w:val="0D0D0D"/>
          <w:shd w:val="clear" w:color="auto" w:fill="FFFFFF"/>
        </w:rPr>
        <w:t>9</w:t>
      </w:r>
      <w:r w:rsidRPr="00014558">
        <w:rPr>
          <w:rFonts w:ascii="Arial" w:hAnsi="Arial" w:cs="Arial"/>
          <w:color w:val="0D0D0D"/>
          <w:shd w:val="clear" w:color="auto" w:fill="FFFFFF"/>
        </w:rPr>
        <w:t xml:space="preserve"> presents the regression results, indicating that the adoption of blockchain has a significant positive effect on transparency (p = 0.0017).</w:t>
      </w:r>
    </w:p>
    <w:p w14:paraId="1DAA87B4" w14:textId="77777777" w:rsidR="00B61F15" w:rsidRPr="00014558" w:rsidRDefault="00B61F15" w:rsidP="002C0AA4">
      <w:pPr>
        <w:pStyle w:val="Heading3"/>
        <w:shd w:val="clear" w:color="auto" w:fill="FFFFFF"/>
        <w:spacing w:before="0" w:after="0"/>
        <w:jc w:val="both"/>
        <w:rPr>
          <w:sz w:val="24"/>
          <w:szCs w:val="24"/>
        </w:rPr>
      </w:pPr>
      <w:r w:rsidRPr="00014558">
        <w:rPr>
          <w:bCs/>
          <w:color w:val="0D0D0D"/>
          <w:sz w:val="24"/>
          <w:szCs w:val="24"/>
          <w:shd w:val="clear" w:color="auto" w:fill="FFFFFF"/>
        </w:rPr>
        <w:t xml:space="preserve">Table </w:t>
      </w:r>
      <w:r w:rsidR="000174A0" w:rsidRPr="00014558">
        <w:rPr>
          <w:bCs/>
          <w:color w:val="0D0D0D"/>
          <w:sz w:val="24"/>
          <w:szCs w:val="24"/>
          <w:shd w:val="clear" w:color="auto" w:fill="FFFFFF"/>
        </w:rPr>
        <w:t>9</w:t>
      </w:r>
      <w:r w:rsidR="002C0AA4" w:rsidRPr="00014558">
        <w:rPr>
          <w:bCs/>
          <w:color w:val="0D0D0D"/>
          <w:sz w:val="24"/>
          <w:szCs w:val="24"/>
          <w:shd w:val="clear" w:color="auto" w:fill="FFFFFF"/>
        </w:rPr>
        <w:t xml:space="preserve">: </w:t>
      </w:r>
      <w:r w:rsidRPr="00014558">
        <w:rPr>
          <w:iCs/>
          <w:color w:val="0D0D0D"/>
          <w:sz w:val="24"/>
          <w:szCs w:val="24"/>
          <w:shd w:val="clear" w:color="auto" w:fill="FFFFFF"/>
        </w:rPr>
        <w:t>Difference-in-Differences (DiD) Regression Results for Transparency Impact</w:t>
      </w:r>
    </w:p>
    <w:tbl>
      <w:tblPr>
        <w:tblStyle w:val="TableGrid"/>
        <w:tblW w:w="9655" w:type="dxa"/>
        <w:tblLook w:val="04A0" w:firstRow="1" w:lastRow="0" w:firstColumn="1" w:lastColumn="0" w:noHBand="0" w:noVBand="1"/>
      </w:tblPr>
      <w:tblGrid>
        <w:gridCol w:w="4279"/>
        <w:gridCol w:w="2826"/>
        <w:gridCol w:w="2550"/>
      </w:tblGrid>
      <w:tr w:rsidR="00B61F15" w:rsidRPr="00014558" w14:paraId="0C0F739A" w14:textId="77777777" w:rsidTr="002C0AA4">
        <w:trPr>
          <w:trHeight w:val="336"/>
        </w:trPr>
        <w:tc>
          <w:tcPr>
            <w:tcW w:w="0" w:type="auto"/>
            <w:hideMark/>
          </w:tcPr>
          <w:p w14:paraId="3224C9DA" w14:textId="77777777" w:rsidR="00B61F15" w:rsidRPr="00014558" w:rsidRDefault="00B61F15" w:rsidP="002C0AA4">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Variable</w:t>
            </w:r>
          </w:p>
        </w:tc>
        <w:tc>
          <w:tcPr>
            <w:tcW w:w="0" w:type="auto"/>
            <w:hideMark/>
          </w:tcPr>
          <w:p w14:paraId="48607248" w14:textId="77777777" w:rsidR="00B61F15" w:rsidRPr="00014558" w:rsidRDefault="00B61F15" w:rsidP="002C0AA4">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Coefficient</w:t>
            </w:r>
          </w:p>
        </w:tc>
        <w:tc>
          <w:tcPr>
            <w:tcW w:w="0" w:type="auto"/>
            <w:hideMark/>
          </w:tcPr>
          <w:p w14:paraId="370D15F0" w14:textId="77777777" w:rsidR="00B61F15" w:rsidRPr="00014558" w:rsidRDefault="00B61F15" w:rsidP="002C0AA4">
            <w:pPr>
              <w:pStyle w:val="NormalWeb"/>
              <w:shd w:val="clear" w:color="auto" w:fill="FFFFFF"/>
              <w:spacing w:before="0" w:beforeAutospacing="0" w:after="0" w:afterAutospacing="0"/>
              <w:jc w:val="center"/>
              <w:rPr>
                <w:rFonts w:ascii="Arial" w:hAnsi="Arial" w:cs="Arial"/>
              </w:rPr>
            </w:pPr>
            <w:r w:rsidRPr="00014558">
              <w:rPr>
                <w:rFonts w:ascii="Arial" w:hAnsi="Arial" w:cs="Arial"/>
                <w:color w:val="0D0D0D"/>
                <w:shd w:val="clear" w:color="auto" w:fill="FFFFFF"/>
              </w:rPr>
              <w:t>P-Value</w:t>
            </w:r>
          </w:p>
        </w:tc>
      </w:tr>
      <w:tr w:rsidR="00B61F15" w:rsidRPr="00014558" w14:paraId="2762E23D" w14:textId="77777777" w:rsidTr="002C0AA4">
        <w:trPr>
          <w:trHeight w:val="336"/>
        </w:trPr>
        <w:tc>
          <w:tcPr>
            <w:tcW w:w="0" w:type="auto"/>
            <w:hideMark/>
          </w:tcPr>
          <w:p w14:paraId="47D2A580"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Intercept</w:t>
            </w:r>
          </w:p>
        </w:tc>
        <w:tc>
          <w:tcPr>
            <w:tcW w:w="0" w:type="auto"/>
            <w:hideMark/>
          </w:tcPr>
          <w:p w14:paraId="7723EF12"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36.27</w:t>
            </w:r>
          </w:p>
        </w:tc>
        <w:tc>
          <w:tcPr>
            <w:tcW w:w="0" w:type="auto"/>
            <w:hideMark/>
          </w:tcPr>
          <w:p w14:paraId="389781FF"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0.000012</w:t>
            </w:r>
          </w:p>
        </w:tc>
      </w:tr>
      <w:tr w:rsidR="00B61F15" w:rsidRPr="00014558" w14:paraId="0FA613F4" w14:textId="77777777" w:rsidTr="002C0AA4">
        <w:trPr>
          <w:trHeight w:val="336"/>
        </w:trPr>
        <w:tc>
          <w:tcPr>
            <w:tcW w:w="0" w:type="auto"/>
            <w:hideMark/>
          </w:tcPr>
          <w:p w14:paraId="178E0665"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Time Period</w:t>
            </w:r>
          </w:p>
        </w:tc>
        <w:tc>
          <w:tcPr>
            <w:tcW w:w="0" w:type="auto"/>
            <w:hideMark/>
          </w:tcPr>
          <w:p w14:paraId="3E980810"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25.61</w:t>
            </w:r>
          </w:p>
        </w:tc>
        <w:tc>
          <w:tcPr>
            <w:tcW w:w="0" w:type="auto"/>
            <w:hideMark/>
          </w:tcPr>
          <w:p w14:paraId="697A3091"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0.001717</w:t>
            </w:r>
          </w:p>
        </w:tc>
      </w:tr>
      <w:tr w:rsidR="00B61F15" w:rsidRPr="00014558" w14:paraId="3A9F4859" w14:textId="77777777" w:rsidTr="002C0AA4">
        <w:trPr>
          <w:trHeight w:val="336"/>
        </w:trPr>
        <w:tc>
          <w:tcPr>
            <w:tcW w:w="0" w:type="auto"/>
            <w:hideMark/>
          </w:tcPr>
          <w:p w14:paraId="715832FB"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Treatment Group</w:t>
            </w:r>
          </w:p>
        </w:tc>
        <w:tc>
          <w:tcPr>
            <w:tcW w:w="0" w:type="auto"/>
            <w:hideMark/>
          </w:tcPr>
          <w:p w14:paraId="5FA8C1FD"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15.33</w:t>
            </w:r>
          </w:p>
        </w:tc>
        <w:tc>
          <w:tcPr>
            <w:tcW w:w="0" w:type="auto"/>
            <w:hideMark/>
          </w:tcPr>
          <w:p w14:paraId="6826FC05"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0.058542</w:t>
            </w:r>
          </w:p>
        </w:tc>
      </w:tr>
      <w:tr w:rsidR="00B61F15" w:rsidRPr="00014558" w14:paraId="4A4E28B3" w14:textId="77777777" w:rsidTr="002C0AA4">
        <w:trPr>
          <w:trHeight w:val="336"/>
        </w:trPr>
        <w:tc>
          <w:tcPr>
            <w:tcW w:w="0" w:type="auto"/>
            <w:hideMark/>
          </w:tcPr>
          <w:p w14:paraId="0BA753D4"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Interaction</w:t>
            </w:r>
          </w:p>
        </w:tc>
        <w:tc>
          <w:tcPr>
            <w:tcW w:w="0" w:type="auto"/>
            <w:hideMark/>
          </w:tcPr>
          <w:p w14:paraId="2D47A929"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4.67</w:t>
            </w:r>
          </w:p>
        </w:tc>
        <w:tc>
          <w:tcPr>
            <w:tcW w:w="0" w:type="auto"/>
            <w:hideMark/>
          </w:tcPr>
          <w:p w14:paraId="313145C3" w14:textId="77777777" w:rsidR="00B61F15" w:rsidRPr="00014558" w:rsidRDefault="00B61F15" w:rsidP="002C0AA4">
            <w:pPr>
              <w:pStyle w:val="NormalWeb"/>
              <w:shd w:val="clear" w:color="auto" w:fill="FFFFFF"/>
              <w:spacing w:before="0" w:beforeAutospacing="0" w:after="0" w:afterAutospacing="0"/>
              <w:jc w:val="both"/>
              <w:rPr>
                <w:rFonts w:ascii="Arial" w:hAnsi="Arial" w:cs="Arial"/>
              </w:rPr>
            </w:pPr>
            <w:r w:rsidRPr="00014558">
              <w:rPr>
                <w:rFonts w:ascii="Arial" w:hAnsi="Arial" w:cs="Arial"/>
                <w:color w:val="0D0D0D"/>
                <w:shd w:val="clear" w:color="auto" w:fill="FFFFFF"/>
              </w:rPr>
              <w:t>0.841732</w:t>
            </w:r>
          </w:p>
        </w:tc>
      </w:tr>
    </w:tbl>
    <w:p w14:paraId="337C3338" w14:textId="77777777" w:rsidR="00B61F15" w:rsidRPr="00014558" w:rsidRDefault="00B61F15" w:rsidP="002C0AA4">
      <w:pPr>
        <w:pStyle w:val="NormalWeb"/>
        <w:shd w:val="clear" w:color="auto" w:fill="FFFFFF"/>
        <w:spacing w:before="160" w:beforeAutospacing="0" w:after="0" w:afterAutospacing="0"/>
        <w:textAlignment w:val="baseline"/>
        <w:rPr>
          <w:rFonts w:ascii="Arial" w:hAnsi="Arial" w:cs="Arial"/>
          <w:color w:val="0D0D0D"/>
        </w:rPr>
      </w:pPr>
      <w:r w:rsidRPr="00014558">
        <w:rPr>
          <w:rFonts w:ascii="Arial" w:hAnsi="Arial" w:cs="Arial"/>
          <w:color w:val="0D0D0D"/>
          <w:shd w:val="clear" w:color="auto" w:fill="FFFFFF"/>
        </w:rPr>
        <w:t>The positive coefficient for time period (25.61, p = 0.0017) suggests that financial transparency significantly improved after blockchain adoption.</w:t>
      </w:r>
      <w:r w:rsidR="002C0AA4" w:rsidRPr="00014558">
        <w:rPr>
          <w:rFonts w:ascii="Arial" w:hAnsi="Arial" w:cs="Arial"/>
          <w:color w:val="0D0D0D"/>
        </w:rPr>
        <w:t xml:space="preserve"> </w:t>
      </w:r>
      <w:r w:rsidRPr="00014558">
        <w:rPr>
          <w:rFonts w:ascii="Arial" w:hAnsi="Arial" w:cs="Arial"/>
          <w:color w:val="0D0D0D"/>
          <w:shd w:val="clear" w:color="auto" w:fill="FFFFFF"/>
        </w:rPr>
        <w:t>The treatment group coefficient (15.33, p = 0.0585) shows a moderate increase in transparency for tokenized transactions compared to non-tokenized ones.</w:t>
      </w:r>
      <w:r w:rsidR="002C0AA4" w:rsidRPr="00014558">
        <w:rPr>
          <w:rFonts w:ascii="Arial" w:hAnsi="Arial" w:cs="Arial"/>
          <w:color w:val="0D0D0D"/>
        </w:rPr>
        <w:t xml:space="preserve"> </w:t>
      </w:r>
      <w:r w:rsidRPr="00014558">
        <w:rPr>
          <w:rFonts w:ascii="Arial" w:hAnsi="Arial" w:cs="Arial"/>
          <w:color w:val="0D0D0D"/>
          <w:shd w:val="clear" w:color="auto" w:fill="FFFFFF"/>
        </w:rPr>
        <w:t>The interaction effect (4.67, p = 0.8417) is not statistically significant, indicating that other systemic factors beyond tokenization may also contribute to financial transparency improvements.</w:t>
      </w:r>
    </w:p>
    <w:p w14:paraId="3EC5BD2A" w14:textId="77777777" w:rsidR="00B61F15" w:rsidRPr="00014558" w:rsidRDefault="00B61F15" w:rsidP="00B61F15">
      <w:pPr>
        <w:pStyle w:val="NormalWeb"/>
        <w:shd w:val="clear" w:color="auto" w:fill="FFFFFF"/>
        <w:spacing w:before="160" w:beforeAutospacing="0" w:after="160" w:afterAutospacing="0"/>
        <w:jc w:val="both"/>
        <w:rPr>
          <w:rFonts w:ascii="Arial" w:hAnsi="Arial" w:cs="Arial"/>
          <w:color w:val="0D0D0D"/>
          <w:shd w:val="clear" w:color="auto" w:fill="FFFFFF"/>
        </w:rPr>
      </w:pPr>
      <w:r w:rsidRPr="00014558">
        <w:rPr>
          <w:rFonts w:ascii="Arial" w:hAnsi="Arial" w:cs="Arial"/>
          <w:color w:val="0D0D0D"/>
          <w:shd w:val="clear" w:color="auto" w:fill="FFFFFF"/>
        </w:rPr>
        <w:lastRenderedPageBreak/>
        <w:t>These findings suggest that while blockchain adoption plays a critical role in enhancing transparency, additional governance measures and regulatory frameworks are necessary to maximize its impact.</w:t>
      </w:r>
    </w:p>
    <w:p w14:paraId="42F6DB96" w14:textId="77777777" w:rsidR="006D752F" w:rsidRPr="00761295" w:rsidRDefault="006D752F" w:rsidP="00B61F15">
      <w:pPr>
        <w:pStyle w:val="NormalWeb"/>
        <w:shd w:val="clear" w:color="auto" w:fill="FFFFFF"/>
        <w:spacing w:before="160" w:beforeAutospacing="0" w:after="160" w:afterAutospacing="0"/>
        <w:jc w:val="both"/>
        <w:rPr>
          <w:rFonts w:ascii="Arial" w:hAnsi="Arial" w:cs="Arial"/>
          <w:b/>
          <w:color w:val="0D0D0D"/>
          <w:shd w:val="clear" w:color="auto" w:fill="FFFFFF"/>
        </w:rPr>
      </w:pPr>
      <w:r w:rsidRPr="00761295">
        <w:rPr>
          <w:rFonts w:ascii="Arial" w:hAnsi="Arial" w:cs="Arial"/>
          <w:b/>
          <w:color w:val="0D0D0D"/>
          <w:shd w:val="clear" w:color="auto" w:fill="FFFFFF"/>
        </w:rPr>
        <w:t xml:space="preserve">Discussion </w:t>
      </w:r>
    </w:p>
    <w:p w14:paraId="1352CF7A" w14:textId="77777777" w:rsidR="006D752F" w:rsidRPr="00014558" w:rsidRDefault="006D752F" w:rsidP="006D752F">
      <w:pPr>
        <w:shd w:val="clear" w:color="auto" w:fill="FFFFFF"/>
        <w:spacing w:before="160"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The results of this study provide a critical examination of the role of blockchain-based tokenization in agricultural finance, highlighting its potential benefits while addressing concerns related to fraud, cybersecurity risks, and financial efficiency. The findings reveal that while digital finance adoption alone does not significantly influence fraud occurrences in agri-finance, blockchain-based tokenization introduces a structural shift in financial security, efficiency, and transparency, thereby addressing some of the systemic inefficiencies inherent in traditional agricultural financial models. The analysis of financial accessibility, fraud, and cyber risks underscores that regions with higher agricultural loan penetration do not necessarily experience an increase in fraud cases, supporting the argument that fraud in agri-finance is not solely a function of access to financial resources but rather a product of weak regulatory oversight and systemic vulnerabilities (Kourtis et al., 2023). This aligns with earlier research by Bhatia et al. (2023), who contend that agricultural financial fraud often stems from opaque lending structures rather than the digital nature of transactions. Additionally, the weak correlation between cyber risk index and fraud cases suggests that higher cyber risks in agri-finance do not automatically translate into higher incidences of fraud, reinforcing the need for advanced security protocols that specifically target transaction manipulation and unauthorized asset transfers (Zscheischler et al., 2022).</w:t>
      </w:r>
    </w:p>
    <w:p w14:paraId="6AEE47D2" w14:textId="77777777" w:rsidR="006D752F" w:rsidRPr="00014558" w:rsidRDefault="006D752F" w:rsidP="006D752F">
      <w:pPr>
        <w:shd w:val="clear" w:color="auto" w:fill="FFFFFF"/>
        <w:spacing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A particularly striking observation is the statistically insignificant relationship between digital finance adoption and fraud occurrences. The regression analysis demonstrates that increased adoption of digital financial tools does not significantly alter fraud risks, thereby challenging the assumption that digitalization alone enhances financial security. This supports the argument by Mapanje et al. (2023) that while financial digitization fosters efficiency, it does not inherently mitigate fraud risks unless complemented by robust regulatory mechanisms and technological safeguards. The absence of a significant trend in the distribution of fraud cases across varying levels of digital finance adoption, as demonstrated in the hexbin visualization, further reinforces the notion that the primary drivers of financial fraud are governance-related rather than technological. This finding necessitates a shift in focus from mere digital finance adoption to the implementation of highly secure blockchain protocols that ensure transaction immutability, traceability, and fraud resistance (Hassan et al., 2023).</w:t>
      </w:r>
    </w:p>
    <w:p w14:paraId="52462E96" w14:textId="77777777" w:rsidR="006D752F" w:rsidRPr="00014558" w:rsidRDefault="006D752F" w:rsidP="006D752F">
      <w:pPr>
        <w:shd w:val="clear" w:color="auto" w:fill="FFFFFF"/>
        <w:spacing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 xml:space="preserve">Blockchain tokenization, in contrast, presents a tangible improvement in security and efficiency, particularly in transaction verification, fraud mitigation, and financial transparency. The statistical assessment of blockchain-enabled agri-token transactions reveals that transaction volume alone does not serve as a reliable predictor of fraudulent activities. This is evidenced by the weak logistic regression coefficient and high p-value, indicating that fraudulent activities in blockchain-based finance are likely influenced by wallet activity patterns and smart contract vulnerabilities rather than the size of individual transactions. This finding aligns with prior studies by Bourveau et al. (2024) and Pöhn et al. (2023), which emphasize that fraud in decentralized financial ecosystems is often linked to the exploitation of poorly coded smart contracts rather than direct financial </w:t>
      </w:r>
      <w:r w:rsidRPr="00014558">
        <w:rPr>
          <w:rFonts w:eastAsia="Times New Roman"/>
          <w:color w:val="0D0D0D"/>
          <w:sz w:val="24"/>
          <w:szCs w:val="24"/>
          <w:shd w:val="clear" w:color="auto" w:fill="FFFFFF"/>
          <w:lang w:val="en-US"/>
        </w:rPr>
        <w:lastRenderedPageBreak/>
        <w:t>transaction manipulation. The detection of fraudulent transactions predominantly within low-activity wallets, as illustrated in the hexbin plot, further supports the argument that fraudsters tend to exploit accounts with limited transaction history to evade detection, necessitating enhanced identity verification and transaction monitoring mechanisms within blockchain-based agricultural finance models (Ahmed et al., 2022).</w:t>
      </w:r>
    </w:p>
    <w:p w14:paraId="69760E86" w14:textId="77777777" w:rsidR="006D752F" w:rsidRPr="00014558" w:rsidRDefault="006D752F" w:rsidP="006D752F">
      <w:pPr>
        <w:shd w:val="clear" w:color="auto" w:fill="FFFFFF"/>
        <w:spacing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One of the most consequential findings relates to the efficiency gains achieved through tokenization. The Difference-in-Differences (DiD) analysis reveals a statistically significant improvement in transparency, reduced loan disbursement times, and lower transaction costs in blockchain-enabled agricultural finance. The observed 31.3% reduction in loan processing time and 37.3% decrease in transaction costs validate the assertion by Crandall (2023) that blockchain-based tokenization streamlines agricultural financing by eliminating intermediaries, enabling automated smart contract execution, and enhancing liquidity. The findings also support the claims made by Javaid et al. (2022), who argue that the decentralization of financial transactions enhances accessibility while ensuring cost-effectiveness. The observed 40% increase in financial transparency, as measured through the transparency index, further substantiates the argument that blockchain’s immutable ledger system fosters accountability and trust among financial stakeholders (Dashkevich et al., 2024). The slope graph depicting loan disbursement times before and after blockchain adoption visually reinforces these efficiency improvements, highlighting the role of smart contract automation in accelerating financial approvals and minimizing bureaucratic delays.</w:t>
      </w:r>
    </w:p>
    <w:p w14:paraId="7118294E" w14:textId="77777777" w:rsidR="006D752F" w:rsidRPr="00014558" w:rsidRDefault="006D752F" w:rsidP="006D752F">
      <w:pPr>
        <w:shd w:val="clear" w:color="auto" w:fill="FFFFFF"/>
        <w:spacing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While the benefits of tokenization in enhancing financial efficiency and transparency are well substantiated, the study also raises critical concerns regarding cybersecurity vulnerabilities and regulatory challenges. The non-significant interaction term in the DiD regression model (p = 0.8417) suggests that factors beyond blockchain adoption contribute to financial transparency improvements, highlighting the need for complementary regulatory measures. This supports the argument by Malik et al. (2024) that although blockchain reduces transactional opacity, achieving full transparency in agricultural finance necessitates external governance mechanisms and cross-industry collaboration. The persistence of smart contract vulnerabilities, particularly in low-transaction wallets, underscores the importance of rigorous smart contract audits, formal verification, and enhanced security protocols in mitigating reentrancy attacks and fraudulent asset transfers (Bodkhe et al., 2020).</w:t>
      </w:r>
    </w:p>
    <w:p w14:paraId="46F5947D" w14:textId="77777777" w:rsidR="006D752F" w:rsidRPr="00014558" w:rsidRDefault="006D752F" w:rsidP="006D752F">
      <w:pPr>
        <w:shd w:val="clear" w:color="auto" w:fill="FFFFFF"/>
        <w:spacing w:after="160" w:line="240" w:lineRule="auto"/>
        <w:jc w:val="both"/>
        <w:rPr>
          <w:rFonts w:eastAsia="Times New Roman"/>
          <w:sz w:val="24"/>
          <w:szCs w:val="24"/>
          <w:lang w:val="en-US"/>
        </w:rPr>
      </w:pPr>
      <w:r w:rsidRPr="00014558">
        <w:rPr>
          <w:rFonts w:eastAsia="Times New Roman"/>
          <w:color w:val="0D0D0D"/>
          <w:sz w:val="24"/>
          <w:szCs w:val="24"/>
          <w:shd w:val="clear" w:color="auto" w:fill="FFFFFF"/>
          <w:lang w:val="en-US"/>
        </w:rPr>
        <w:t xml:space="preserve">The findings collectively suggest that tokenization significantly enhances financial efficiency and transparency while reducing transaction costs and processing delays. However, ensuring the security of blockchain-based agricultural finance requires a multi-layered approach that integrates secure consensus mechanisms, decentralized identity verification, and robust oracle networks. The implementation of Proof-of-Stake (PoS) and Byzantine Fault Tolerance (BFT) mechanisms, as recommended by Alrowaily et al. (2023), could further strengthen blockchain security by reducing the risk of 51% attacks and network manipulation. Additionally, cross-verification mechanisms leveraging decentralized oracles would minimize the risks associated with data manipulation and fraudulent asset valuations (Shak &amp; Islam, 2022). The study’s findings reinforce the assertion that while blockchain-based tokenization offers transformative potential in agri-finance, its security and efficiency gains are contingent upon the implementation of advanced cybersecurity frameworks and regulatory oversight. </w:t>
      </w:r>
    </w:p>
    <w:p w14:paraId="564E62B0" w14:textId="77777777" w:rsidR="006D752F" w:rsidRPr="00014558" w:rsidRDefault="00761295" w:rsidP="00B61F15">
      <w:pPr>
        <w:pStyle w:val="NormalWeb"/>
        <w:shd w:val="clear" w:color="auto" w:fill="FFFFFF"/>
        <w:spacing w:before="160" w:beforeAutospacing="0" w:after="160" w:afterAutospacing="0"/>
        <w:jc w:val="both"/>
        <w:rPr>
          <w:rFonts w:ascii="Arial" w:hAnsi="Arial" w:cs="Arial"/>
          <w:b/>
        </w:rPr>
      </w:pPr>
      <w:r>
        <w:rPr>
          <w:rFonts w:ascii="Arial" w:hAnsi="Arial" w:cs="Arial"/>
          <w:b/>
        </w:rPr>
        <w:lastRenderedPageBreak/>
        <w:t>5.</w:t>
      </w:r>
      <w:r>
        <w:rPr>
          <w:rFonts w:ascii="Arial" w:hAnsi="Arial" w:cs="Arial"/>
          <w:b/>
        </w:rPr>
        <w:tab/>
      </w:r>
      <w:r w:rsidR="006D752F" w:rsidRPr="00014558">
        <w:rPr>
          <w:rFonts w:ascii="Arial" w:hAnsi="Arial" w:cs="Arial"/>
          <w:b/>
        </w:rPr>
        <w:t>Conclusion and Recommendation</w:t>
      </w:r>
    </w:p>
    <w:p w14:paraId="182CEDA1" w14:textId="77777777" w:rsidR="006D752F" w:rsidRPr="00014558" w:rsidRDefault="006D752F" w:rsidP="001A5E02">
      <w:pPr>
        <w:spacing w:before="100" w:beforeAutospacing="1" w:after="100" w:afterAutospacing="1" w:line="240" w:lineRule="auto"/>
        <w:rPr>
          <w:rFonts w:eastAsia="Times New Roman"/>
          <w:sz w:val="24"/>
          <w:szCs w:val="24"/>
          <w:lang w:val="en-US"/>
        </w:rPr>
      </w:pPr>
      <w:r w:rsidRPr="00014558">
        <w:rPr>
          <w:rFonts w:eastAsia="Times New Roman"/>
          <w:sz w:val="24"/>
          <w:szCs w:val="24"/>
          <w:lang w:val="en-US"/>
        </w:rPr>
        <w:t xml:space="preserve">The findings of this study establish that </w:t>
      </w:r>
      <w:r w:rsidRPr="00014558">
        <w:rPr>
          <w:rFonts w:eastAsia="Times New Roman"/>
          <w:bCs/>
          <w:sz w:val="24"/>
          <w:szCs w:val="24"/>
          <w:lang w:val="en-US"/>
        </w:rPr>
        <w:t>blockchain-based tokenization significantly enhances financial efficiency, transparency, and security in agricultural finance</w:t>
      </w:r>
      <w:r w:rsidRPr="00014558">
        <w:rPr>
          <w:rFonts w:eastAsia="Times New Roman"/>
          <w:sz w:val="24"/>
          <w:szCs w:val="24"/>
          <w:lang w:val="en-US"/>
        </w:rPr>
        <w:t xml:space="preserve">, reducing loan disbursement time, transaction costs, and fraud risks. However, its effectiveness is contingent on the </w:t>
      </w:r>
      <w:r w:rsidRPr="00014558">
        <w:rPr>
          <w:rFonts w:eastAsia="Times New Roman"/>
          <w:bCs/>
          <w:sz w:val="24"/>
          <w:szCs w:val="24"/>
          <w:lang w:val="en-US"/>
        </w:rPr>
        <w:t>implementation of strong cybersecurity measures, regulatory oversight, and secure smart contract protocols</w:t>
      </w:r>
      <w:r w:rsidRPr="00014558">
        <w:rPr>
          <w:rFonts w:eastAsia="Times New Roman"/>
          <w:sz w:val="24"/>
          <w:szCs w:val="24"/>
          <w:lang w:val="en-US"/>
        </w:rPr>
        <w:t xml:space="preserve">. While digital finance adoption alone does not directly influence fraud occurrence, </w:t>
      </w:r>
      <w:r w:rsidRPr="00014558">
        <w:rPr>
          <w:rFonts w:eastAsia="Times New Roman"/>
          <w:bCs/>
          <w:sz w:val="24"/>
          <w:szCs w:val="24"/>
          <w:lang w:val="en-US"/>
        </w:rPr>
        <w:t>tokenized financial models demonstrate superior resilience against fraudulent activities and inefficiencies</w:t>
      </w:r>
      <w:r w:rsidRPr="00014558">
        <w:rPr>
          <w:rFonts w:eastAsia="Times New Roman"/>
          <w:sz w:val="24"/>
          <w:szCs w:val="24"/>
          <w:lang w:val="en-US"/>
        </w:rPr>
        <w:t>.</w:t>
      </w:r>
    </w:p>
    <w:p w14:paraId="0EA4FE5A" w14:textId="77777777" w:rsidR="006D752F" w:rsidRPr="00014558" w:rsidRDefault="006D752F" w:rsidP="006D752F">
      <w:pPr>
        <w:numPr>
          <w:ilvl w:val="0"/>
          <w:numId w:val="11"/>
        </w:numPr>
        <w:spacing w:before="100" w:beforeAutospacing="1" w:after="100" w:afterAutospacing="1" w:line="240" w:lineRule="auto"/>
        <w:rPr>
          <w:rFonts w:eastAsia="Times New Roman"/>
          <w:sz w:val="24"/>
          <w:szCs w:val="24"/>
          <w:lang w:val="en-US"/>
        </w:rPr>
      </w:pPr>
      <w:r w:rsidRPr="00014558">
        <w:rPr>
          <w:rFonts w:eastAsia="Times New Roman"/>
          <w:bCs/>
          <w:sz w:val="24"/>
          <w:szCs w:val="24"/>
          <w:lang w:val="en-US"/>
        </w:rPr>
        <w:t>Adopt advanced smart contract auditing and security protocols</w:t>
      </w:r>
      <w:r w:rsidRPr="00014558">
        <w:rPr>
          <w:rFonts w:eastAsia="Times New Roman"/>
          <w:sz w:val="24"/>
          <w:szCs w:val="24"/>
          <w:lang w:val="en-US"/>
        </w:rPr>
        <w:t xml:space="preserve"> to mitigate vulnerabilities, including reentrancy attacks and oracle manipulation, ensuring fraud-proof tokenized transactions.</w:t>
      </w:r>
    </w:p>
    <w:p w14:paraId="6ABE7365" w14:textId="77777777" w:rsidR="006D752F" w:rsidRPr="00014558" w:rsidRDefault="006D752F" w:rsidP="006D752F">
      <w:pPr>
        <w:numPr>
          <w:ilvl w:val="0"/>
          <w:numId w:val="11"/>
        </w:numPr>
        <w:spacing w:before="100" w:beforeAutospacing="1" w:after="100" w:afterAutospacing="1" w:line="240" w:lineRule="auto"/>
        <w:rPr>
          <w:rFonts w:eastAsia="Times New Roman"/>
          <w:sz w:val="24"/>
          <w:szCs w:val="24"/>
          <w:lang w:val="en-US"/>
        </w:rPr>
      </w:pPr>
      <w:r w:rsidRPr="00014558">
        <w:rPr>
          <w:rFonts w:eastAsia="Times New Roman"/>
          <w:bCs/>
          <w:sz w:val="24"/>
          <w:szCs w:val="24"/>
          <w:lang w:val="en-US"/>
        </w:rPr>
        <w:t>Implement decentralized identity verification frameworks</w:t>
      </w:r>
      <w:r w:rsidRPr="00014558">
        <w:rPr>
          <w:rFonts w:eastAsia="Times New Roman"/>
          <w:sz w:val="24"/>
          <w:szCs w:val="24"/>
          <w:lang w:val="en-US"/>
        </w:rPr>
        <w:t xml:space="preserve"> to prevent Sybil attacks and enhance trust in blockchain-based agricultural finance models.</w:t>
      </w:r>
    </w:p>
    <w:p w14:paraId="275DEC71" w14:textId="77777777" w:rsidR="006D752F" w:rsidRPr="00014558" w:rsidRDefault="006D752F" w:rsidP="006D752F">
      <w:pPr>
        <w:numPr>
          <w:ilvl w:val="0"/>
          <w:numId w:val="11"/>
        </w:numPr>
        <w:spacing w:before="100" w:beforeAutospacing="1" w:after="100" w:afterAutospacing="1" w:line="240" w:lineRule="auto"/>
        <w:rPr>
          <w:rFonts w:eastAsia="Times New Roman"/>
          <w:sz w:val="24"/>
          <w:szCs w:val="24"/>
          <w:lang w:val="en-US"/>
        </w:rPr>
      </w:pPr>
      <w:r w:rsidRPr="00014558">
        <w:rPr>
          <w:rFonts w:eastAsia="Times New Roman"/>
          <w:bCs/>
          <w:sz w:val="24"/>
          <w:szCs w:val="24"/>
          <w:lang w:val="en-US"/>
        </w:rPr>
        <w:t>Enhance regulatory frameworks and governance structures</w:t>
      </w:r>
      <w:r w:rsidRPr="00014558">
        <w:rPr>
          <w:rFonts w:eastAsia="Times New Roman"/>
          <w:sz w:val="24"/>
          <w:szCs w:val="24"/>
          <w:lang w:val="en-US"/>
        </w:rPr>
        <w:t xml:space="preserve"> to ensure compliance, protect stakeholders, and foster responsible tokenization practices.</w:t>
      </w:r>
    </w:p>
    <w:p w14:paraId="59448377" w14:textId="77777777" w:rsidR="006D752F" w:rsidRPr="00014558" w:rsidRDefault="006D752F" w:rsidP="006D752F">
      <w:pPr>
        <w:numPr>
          <w:ilvl w:val="0"/>
          <w:numId w:val="11"/>
        </w:numPr>
        <w:spacing w:before="100" w:beforeAutospacing="1" w:after="100" w:afterAutospacing="1" w:line="240" w:lineRule="auto"/>
        <w:rPr>
          <w:rFonts w:eastAsia="Times New Roman"/>
          <w:sz w:val="24"/>
          <w:szCs w:val="24"/>
          <w:lang w:val="en-US"/>
        </w:rPr>
      </w:pPr>
      <w:r w:rsidRPr="00014558">
        <w:rPr>
          <w:rFonts w:eastAsia="Times New Roman"/>
          <w:bCs/>
          <w:sz w:val="24"/>
          <w:szCs w:val="24"/>
          <w:lang w:val="en-US"/>
        </w:rPr>
        <w:t>Integrate decentralized oracle networks and multi-source verification systems</w:t>
      </w:r>
      <w:r w:rsidRPr="00014558">
        <w:rPr>
          <w:rFonts w:eastAsia="Times New Roman"/>
          <w:sz w:val="24"/>
          <w:szCs w:val="24"/>
          <w:lang w:val="en-US"/>
        </w:rPr>
        <w:t xml:space="preserve"> to safeguard against data manipulation, ensuring accurate asset valuations and financial transparency.</w:t>
      </w:r>
    </w:p>
    <w:p w14:paraId="347452F5" w14:textId="77777777" w:rsidR="006D752F" w:rsidRPr="00014558" w:rsidRDefault="006D752F" w:rsidP="00B61F15">
      <w:pPr>
        <w:pStyle w:val="NormalWeb"/>
        <w:shd w:val="clear" w:color="auto" w:fill="FFFFFF"/>
        <w:spacing w:before="160" w:beforeAutospacing="0" w:after="160" w:afterAutospacing="0"/>
        <w:jc w:val="both"/>
        <w:rPr>
          <w:rFonts w:ascii="Arial" w:hAnsi="Arial" w:cs="Arial"/>
        </w:rPr>
      </w:pPr>
    </w:p>
    <w:p w14:paraId="6D9F5BF7" w14:textId="77777777" w:rsidR="00632B38" w:rsidRPr="00014558" w:rsidRDefault="00632B38" w:rsidP="003223D3">
      <w:pPr>
        <w:pStyle w:val="NormalWeb"/>
        <w:shd w:val="clear" w:color="auto" w:fill="FFFFFF"/>
        <w:spacing w:before="0" w:beforeAutospacing="0" w:after="160" w:afterAutospacing="0"/>
        <w:jc w:val="both"/>
        <w:rPr>
          <w:rFonts w:ascii="Arial" w:hAnsi="Arial" w:cs="Arial"/>
          <w:color w:val="0D0D0D"/>
          <w:shd w:val="clear" w:color="auto" w:fill="FFFFFF"/>
        </w:rPr>
      </w:pPr>
    </w:p>
    <w:p w14:paraId="15980034" w14:textId="77777777" w:rsidR="00632B38" w:rsidRPr="00014558" w:rsidRDefault="00632B38" w:rsidP="003223D3">
      <w:pPr>
        <w:pStyle w:val="NormalWeb"/>
        <w:shd w:val="clear" w:color="auto" w:fill="FFFFFF"/>
        <w:spacing w:before="0" w:beforeAutospacing="0" w:after="160" w:afterAutospacing="0"/>
        <w:jc w:val="both"/>
        <w:rPr>
          <w:rFonts w:ascii="Arial" w:hAnsi="Arial" w:cs="Arial"/>
          <w:b/>
          <w:color w:val="0D0D0D"/>
          <w:highlight w:val="white"/>
        </w:rPr>
      </w:pPr>
    </w:p>
    <w:p w14:paraId="034C8CE8" w14:textId="77777777" w:rsidR="001B78DB" w:rsidRPr="00014558" w:rsidRDefault="001B78D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color w:val="0D0D0D"/>
          <w:sz w:val="24"/>
          <w:szCs w:val="24"/>
          <w:highlight w:val="white"/>
        </w:rPr>
      </w:pPr>
    </w:p>
    <w:p w14:paraId="2AC654BC" w14:textId="77777777" w:rsidR="008E345C" w:rsidRPr="00014558" w:rsidRDefault="008E345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p>
    <w:p w14:paraId="15AD6979" w14:textId="77777777" w:rsidR="008E345C" w:rsidRPr="00014558" w:rsidRDefault="008E345C">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31" w:lineRule="auto"/>
        <w:jc w:val="both"/>
        <w:rPr>
          <w:rFonts w:eastAsia="Times New Roman"/>
          <w:color w:val="0D0D0D"/>
          <w:sz w:val="24"/>
          <w:szCs w:val="24"/>
          <w:highlight w:val="white"/>
        </w:rPr>
      </w:pPr>
    </w:p>
    <w:p w14:paraId="38B401C7" w14:textId="77777777" w:rsidR="008E345C" w:rsidRPr="00014558" w:rsidRDefault="008E345C">
      <w:pPr>
        <w:rPr>
          <w:sz w:val="24"/>
          <w:szCs w:val="24"/>
        </w:rPr>
      </w:pPr>
    </w:p>
    <w:p w14:paraId="6CB4F952" w14:textId="77777777" w:rsidR="001A5E02" w:rsidRPr="00014558" w:rsidRDefault="001A5E02">
      <w:pPr>
        <w:rPr>
          <w:b/>
          <w:sz w:val="24"/>
          <w:szCs w:val="24"/>
        </w:rPr>
      </w:pPr>
      <w:bookmarkStart w:id="7" w:name="_cd3beuc46lno" w:colFirst="0" w:colLast="0"/>
      <w:bookmarkEnd w:id="7"/>
      <w:r w:rsidRPr="00014558">
        <w:rPr>
          <w:b/>
          <w:sz w:val="24"/>
          <w:szCs w:val="24"/>
        </w:rPr>
        <w:br w:type="page"/>
      </w:r>
    </w:p>
    <w:p w14:paraId="75CDAA4F" w14:textId="77777777" w:rsidR="008E345C" w:rsidRPr="00014558" w:rsidRDefault="002E488D">
      <w:pPr>
        <w:pStyle w:val="Heading1"/>
        <w:keepNext w:val="0"/>
        <w:keepLines w:val="0"/>
        <w:spacing w:before="0" w:after="0" w:line="480" w:lineRule="auto"/>
        <w:jc w:val="center"/>
        <w:rPr>
          <w:b/>
          <w:sz w:val="24"/>
          <w:szCs w:val="24"/>
        </w:rPr>
      </w:pPr>
      <w:r w:rsidRPr="00014558">
        <w:rPr>
          <w:b/>
          <w:sz w:val="24"/>
          <w:szCs w:val="24"/>
        </w:rPr>
        <w:lastRenderedPageBreak/>
        <w:t>References</w:t>
      </w:r>
    </w:p>
    <w:p w14:paraId="6E0B8BB6" w14:textId="77777777" w:rsidR="008E345C" w:rsidRPr="00014558" w:rsidRDefault="002E488D" w:rsidP="00014558">
      <w:pPr>
        <w:spacing w:after="240"/>
        <w:ind w:left="720" w:hanging="720"/>
        <w:rPr>
          <w:sz w:val="24"/>
          <w:szCs w:val="24"/>
        </w:rPr>
      </w:pPr>
      <w:r w:rsidRPr="00014558">
        <w:rPr>
          <w:sz w:val="24"/>
          <w:szCs w:val="24"/>
        </w:rPr>
        <w:t xml:space="preserve">Adigwe, C. S., Olaniyi, O. O., Olabanji, S. O., Okunleye, O. J., Mayeke, N. R., &amp; Ajayi, S. A. (2024). Forecasting the Future: The Interplay of Artificial Intelligence, Innovation, and Competitiveness and its Effect on the Global Economy. </w:t>
      </w:r>
      <w:r w:rsidRPr="00014558">
        <w:rPr>
          <w:i/>
          <w:sz w:val="24"/>
          <w:szCs w:val="24"/>
        </w:rPr>
        <w:t>Asian Journal of Economics, Business and Accounting</w:t>
      </w:r>
      <w:r w:rsidRPr="00014558">
        <w:rPr>
          <w:sz w:val="24"/>
          <w:szCs w:val="24"/>
        </w:rPr>
        <w:t xml:space="preserve">, </w:t>
      </w:r>
      <w:r w:rsidRPr="00014558">
        <w:rPr>
          <w:i/>
          <w:sz w:val="24"/>
          <w:szCs w:val="24"/>
        </w:rPr>
        <w:t>24</w:t>
      </w:r>
      <w:r w:rsidRPr="00014558">
        <w:rPr>
          <w:sz w:val="24"/>
          <w:szCs w:val="24"/>
        </w:rPr>
        <w:t xml:space="preserve">(4), 126–146. </w:t>
      </w:r>
      <w:hyperlink r:id="rId20">
        <w:r w:rsidRPr="00014558">
          <w:rPr>
            <w:color w:val="1155CC"/>
            <w:sz w:val="24"/>
            <w:szCs w:val="24"/>
            <w:u w:val="single"/>
          </w:rPr>
          <w:t>https://doi.org/10.9734/ajeba/2024/v24i41269</w:t>
        </w:r>
      </w:hyperlink>
      <w:r w:rsidRPr="00014558">
        <w:rPr>
          <w:sz w:val="24"/>
          <w:szCs w:val="24"/>
        </w:rPr>
        <w:t xml:space="preserve"> </w:t>
      </w:r>
    </w:p>
    <w:p w14:paraId="4BFBBE6D" w14:textId="77777777" w:rsidR="008E345C" w:rsidRPr="00BF2862" w:rsidRDefault="002E488D" w:rsidP="00014558">
      <w:pPr>
        <w:spacing w:after="240"/>
        <w:ind w:left="720" w:hanging="720"/>
        <w:rPr>
          <w:sz w:val="24"/>
          <w:szCs w:val="24"/>
          <w:lang w:val="es-ES"/>
        </w:rPr>
      </w:pPr>
      <w:proofErr w:type="spellStart"/>
      <w:r w:rsidRPr="00BF2862">
        <w:rPr>
          <w:sz w:val="24"/>
          <w:szCs w:val="24"/>
          <w:lang w:val="es-ES"/>
        </w:rPr>
        <w:t>Agrotoken</w:t>
      </w:r>
      <w:proofErr w:type="spellEnd"/>
      <w:r w:rsidRPr="00BF2862">
        <w:rPr>
          <w:sz w:val="24"/>
          <w:szCs w:val="24"/>
          <w:lang w:val="es-ES"/>
        </w:rPr>
        <w:t xml:space="preserve">. (2022). </w:t>
      </w:r>
      <w:proofErr w:type="spellStart"/>
      <w:r w:rsidRPr="00BF2862">
        <w:rPr>
          <w:i/>
          <w:sz w:val="24"/>
          <w:szCs w:val="24"/>
          <w:lang w:val="es-ES"/>
        </w:rPr>
        <w:t>Agrotoken</w:t>
      </w:r>
      <w:proofErr w:type="spellEnd"/>
      <w:r w:rsidRPr="00BF2862">
        <w:rPr>
          <w:i/>
          <w:sz w:val="24"/>
          <w:szCs w:val="24"/>
          <w:lang w:val="es-ES"/>
        </w:rPr>
        <w:t xml:space="preserve"> - Una nueva dimensión de los agronegocios.</w:t>
      </w:r>
      <w:r w:rsidRPr="00BF2862">
        <w:rPr>
          <w:sz w:val="24"/>
          <w:szCs w:val="24"/>
          <w:lang w:val="es-ES"/>
        </w:rPr>
        <w:t xml:space="preserve"> Agrotoken.io. </w:t>
      </w:r>
      <w:hyperlink r:id="rId21">
        <w:r w:rsidRPr="00BF2862">
          <w:rPr>
            <w:color w:val="1155CC"/>
            <w:sz w:val="24"/>
            <w:szCs w:val="24"/>
            <w:u w:val="single"/>
            <w:lang w:val="es-ES"/>
          </w:rPr>
          <w:t>https://help.agrotoken.io/en/index.html</w:t>
        </w:r>
      </w:hyperlink>
      <w:r w:rsidRPr="00BF2862">
        <w:rPr>
          <w:sz w:val="24"/>
          <w:szCs w:val="24"/>
          <w:lang w:val="es-ES"/>
        </w:rPr>
        <w:t xml:space="preserve"> </w:t>
      </w:r>
    </w:p>
    <w:p w14:paraId="13C53870" w14:textId="77777777" w:rsidR="008E345C" w:rsidRPr="00014558" w:rsidRDefault="002E488D" w:rsidP="00014558">
      <w:pPr>
        <w:spacing w:after="240"/>
        <w:ind w:left="720" w:hanging="720"/>
        <w:rPr>
          <w:sz w:val="24"/>
          <w:szCs w:val="24"/>
        </w:rPr>
      </w:pPr>
      <w:r w:rsidRPr="00BF2862">
        <w:rPr>
          <w:sz w:val="24"/>
          <w:szCs w:val="24"/>
          <w:lang w:val="es-ES"/>
        </w:rPr>
        <w:t xml:space="preserve">Ahmed, A., Parveen, I., Abdullah, S., Ahmad, I., </w:t>
      </w:r>
      <w:proofErr w:type="spellStart"/>
      <w:r w:rsidRPr="00BF2862">
        <w:rPr>
          <w:sz w:val="24"/>
          <w:szCs w:val="24"/>
          <w:lang w:val="es-ES"/>
        </w:rPr>
        <w:t>Alturki</w:t>
      </w:r>
      <w:proofErr w:type="spellEnd"/>
      <w:r w:rsidRPr="00BF2862">
        <w:rPr>
          <w:sz w:val="24"/>
          <w:szCs w:val="24"/>
          <w:lang w:val="es-ES"/>
        </w:rPr>
        <w:t xml:space="preserve">, N., &amp; </w:t>
      </w:r>
      <w:proofErr w:type="spellStart"/>
      <w:r w:rsidRPr="00BF2862">
        <w:rPr>
          <w:sz w:val="24"/>
          <w:szCs w:val="24"/>
          <w:lang w:val="es-ES"/>
        </w:rPr>
        <w:t>Jamel</w:t>
      </w:r>
      <w:proofErr w:type="spellEnd"/>
      <w:r w:rsidRPr="00BF2862">
        <w:rPr>
          <w:sz w:val="24"/>
          <w:szCs w:val="24"/>
          <w:lang w:val="es-ES"/>
        </w:rPr>
        <w:t xml:space="preserve">, L. (2024). </w:t>
      </w:r>
      <w:r w:rsidRPr="00014558">
        <w:rPr>
          <w:sz w:val="24"/>
          <w:szCs w:val="24"/>
        </w:rPr>
        <w:t xml:space="preserve">Optimized Data Fusion with Scheduled Rest Periods for Enhanced Smart Agriculture via Blockchain Integration. </w:t>
      </w:r>
      <w:r w:rsidRPr="00014558">
        <w:rPr>
          <w:i/>
          <w:sz w:val="24"/>
          <w:szCs w:val="24"/>
        </w:rPr>
        <w:t>IEEE Access</w:t>
      </w:r>
      <w:r w:rsidRPr="00014558">
        <w:rPr>
          <w:sz w:val="24"/>
          <w:szCs w:val="24"/>
        </w:rPr>
        <w:t xml:space="preserve">, </w:t>
      </w:r>
      <w:r w:rsidRPr="00014558">
        <w:rPr>
          <w:i/>
          <w:sz w:val="24"/>
          <w:szCs w:val="24"/>
        </w:rPr>
        <w:t>12</w:t>
      </w:r>
      <w:r w:rsidRPr="00014558">
        <w:rPr>
          <w:sz w:val="24"/>
          <w:szCs w:val="24"/>
        </w:rPr>
        <w:t xml:space="preserve">, 15171–15193. </w:t>
      </w:r>
      <w:hyperlink r:id="rId22">
        <w:r w:rsidRPr="00014558">
          <w:rPr>
            <w:color w:val="1155CC"/>
            <w:sz w:val="24"/>
            <w:szCs w:val="24"/>
            <w:u w:val="single"/>
          </w:rPr>
          <w:t>https://doi.org/10.1109/access.2024.3357538</w:t>
        </w:r>
      </w:hyperlink>
      <w:r w:rsidRPr="00014558">
        <w:rPr>
          <w:sz w:val="24"/>
          <w:szCs w:val="24"/>
        </w:rPr>
        <w:t xml:space="preserve"> </w:t>
      </w:r>
    </w:p>
    <w:p w14:paraId="1012D631" w14:textId="77777777" w:rsidR="008E345C" w:rsidRPr="00014558" w:rsidRDefault="002E488D" w:rsidP="00014558">
      <w:pPr>
        <w:spacing w:after="240"/>
        <w:ind w:left="720" w:hanging="720"/>
        <w:rPr>
          <w:sz w:val="24"/>
          <w:szCs w:val="24"/>
        </w:rPr>
      </w:pPr>
      <w:r w:rsidRPr="00014558">
        <w:rPr>
          <w:sz w:val="24"/>
          <w:szCs w:val="24"/>
        </w:rPr>
        <w:t xml:space="preserve">Ahmed, Md. R., Islam, A. K. M. M., Shatabda, S., &amp; Islam, S. (2022). Blockchain-Based Identity Management System and Self-Sovereign Identity Ecosystem: A Comprehensive Survey. </w:t>
      </w:r>
      <w:r w:rsidRPr="00014558">
        <w:rPr>
          <w:i/>
          <w:sz w:val="24"/>
          <w:szCs w:val="24"/>
        </w:rPr>
        <w:t>IEEE Access</w:t>
      </w:r>
      <w:r w:rsidRPr="00014558">
        <w:rPr>
          <w:sz w:val="24"/>
          <w:szCs w:val="24"/>
        </w:rPr>
        <w:t xml:space="preserve">, </w:t>
      </w:r>
      <w:r w:rsidRPr="00014558">
        <w:rPr>
          <w:i/>
          <w:sz w:val="24"/>
          <w:szCs w:val="24"/>
        </w:rPr>
        <w:t>10</w:t>
      </w:r>
      <w:r w:rsidRPr="00014558">
        <w:rPr>
          <w:sz w:val="24"/>
          <w:szCs w:val="24"/>
        </w:rPr>
        <w:t xml:space="preserve">, 113436–113481. </w:t>
      </w:r>
      <w:hyperlink r:id="rId23">
        <w:r w:rsidRPr="00014558">
          <w:rPr>
            <w:color w:val="1155CC"/>
            <w:sz w:val="24"/>
            <w:szCs w:val="24"/>
            <w:u w:val="single"/>
          </w:rPr>
          <w:t>https://doi.org/10.1109/access.2022.3216643</w:t>
        </w:r>
      </w:hyperlink>
      <w:r w:rsidRPr="00014558">
        <w:rPr>
          <w:sz w:val="24"/>
          <w:szCs w:val="24"/>
        </w:rPr>
        <w:t xml:space="preserve"> </w:t>
      </w:r>
    </w:p>
    <w:p w14:paraId="3DAFBD70" w14:textId="77777777" w:rsidR="008E345C" w:rsidRPr="00BF2862" w:rsidRDefault="002E488D" w:rsidP="00014558">
      <w:pPr>
        <w:spacing w:after="240"/>
        <w:ind w:left="720" w:hanging="720"/>
        <w:rPr>
          <w:sz w:val="24"/>
          <w:szCs w:val="24"/>
          <w:lang w:val="es-ES"/>
        </w:rPr>
      </w:pPr>
      <w:proofErr w:type="gramStart"/>
      <w:r w:rsidRPr="00014558">
        <w:rPr>
          <w:sz w:val="24"/>
          <w:szCs w:val="24"/>
        </w:rPr>
        <w:t>Akiladevi ,</w:t>
      </w:r>
      <w:proofErr w:type="gramEnd"/>
      <w:r w:rsidRPr="00014558">
        <w:rPr>
          <w:sz w:val="24"/>
          <w:szCs w:val="24"/>
        </w:rPr>
        <w:t xml:space="preserve"> R., Sardha , S., &amp; Shruthi , R. (2024). Tokenization of Energy Assets: A Multichain Blockchain Approach. </w:t>
      </w:r>
      <w:r w:rsidRPr="00BF2862">
        <w:rPr>
          <w:i/>
          <w:sz w:val="24"/>
          <w:szCs w:val="24"/>
          <w:lang w:val="es-ES"/>
        </w:rPr>
        <w:t>IEEE</w:t>
      </w:r>
      <w:r w:rsidRPr="00BF2862">
        <w:rPr>
          <w:sz w:val="24"/>
          <w:szCs w:val="24"/>
          <w:lang w:val="es-ES"/>
        </w:rPr>
        <w:t xml:space="preserve">, 702–709. </w:t>
      </w:r>
      <w:hyperlink r:id="rId24">
        <w:r w:rsidRPr="00BF2862">
          <w:rPr>
            <w:color w:val="1155CC"/>
            <w:sz w:val="24"/>
            <w:szCs w:val="24"/>
            <w:u w:val="single"/>
            <w:lang w:val="es-ES"/>
          </w:rPr>
          <w:t>https://doi.org/10.1109/icmcsi61536.2024.00110</w:t>
        </w:r>
      </w:hyperlink>
      <w:r w:rsidRPr="00BF2862">
        <w:rPr>
          <w:sz w:val="24"/>
          <w:szCs w:val="24"/>
          <w:lang w:val="es-ES"/>
        </w:rPr>
        <w:t xml:space="preserve"> </w:t>
      </w:r>
    </w:p>
    <w:p w14:paraId="1A034EE7" w14:textId="77777777" w:rsidR="008E345C" w:rsidRPr="00014558" w:rsidRDefault="002E488D" w:rsidP="00014558">
      <w:pPr>
        <w:spacing w:after="240"/>
        <w:ind w:left="720" w:hanging="720"/>
        <w:rPr>
          <w:sz w:val="24"/>
          <w:szCs w:val="24"/>
        </w:rPr>
      </w:pPr>
      <w:r w:rsidRPr="00BF2862">
        <w:rPr>
          <w:sz w:val="24"/>
          <w:szCs w:val="24"/>
          <w:lang w:val="es-ES"/>
        </w:rPr>
        <w:t>Al-</w:t>
      </w:r>
      <w:proofErr w:type="spellStart"/>
      <w:r w:rsidRPr="00BF2862">
        <w:rPr>
          <w:sz w:val="24"/>
          <w:szCs w:val="24"/>
          <w:lang w:val="es-ES"/>
        </w:rPr>
        <w:t>E’mari</w:t>
      </w:r>
      <w:proofErr w:type="spellEnd"/>
      <w:r w:rsidRPr="00BF2862">
        <w:rPr>
          <w:sz w:val="24"/>
          <w:szCs w:val="24"/>
          <w:lang w:val="es-ES"/>
        </w:rPr>
        <w:t xml:space="preserve">, S., &amp; </w:t>
      </w:r>
      <w:proofErr w:type="spellStart"/>
      <w:r w:rsidRPr="00BF2862">
        <w:rPr>
          <w:sz w:val="24"/>
          <w:szCs w:val="24"/>
          <w:lang w:val="es-ES"/>
        </w:rPr>
        <w:t>Sanjalawe</w:t>
      </w:r>
      <w:proofErr w:type="spellEnd"/>
      <w:r w:rsidRPr="00BF2862">
        <w:rPr>
          <w:sz w:val="24"/>
          <w:szCs w:val="24"/>
          <w:lang w:val="es-ES"/>
        </w:rPr>
        <w:t xml:space="preserve">, Y. (2024). </w:t>
      </w:r>
      <w:r w:rsidRPr="00014558">
        <w:rPr>
          <w:sz w:val="24"/>
          <w:szCs w:val="24"/>
        </w:rPr>
        <w:t xml:space="preserve">A Review of </w:t>
      </w:r>
      <w:proofErr w:type="spellStart"/>
      <w:r w:rsidRPr="00014558">
        <w:rPr>
          <w:sz w:val="24"/>
          <w:szCs w:val="24"/>
        </w:rPr>
        <w:t>Reentrancy</w:t>
      </w:r>
      <w:proofErr w:type="spellEnd"/>
      <w:r w:rsidRPr="00014558">
        <w:rPr>
          <w:sz w:val="24"/>
          <w:szCs w:val="24"/>
        </w:rPr>
        <w:t xml:space="preserve"> Attack in Ethereum Smart Contracts. </w:t>
      </w:r>
      <w:r w:rsidRPr="00014558">
        <w:rPr>
          <w:i/>
          <w:sz w:val="24"/>
          <w:szCs w:val="24"/>
        </w:rPr>
        <w:t>Lecture Notes in Networks and Systems</w:t>
      </w:r>
      <w:r w:rsidRPr="00014558">
        <w:rPr>
          <w:sz w:val="24"/>
          <w:szCs w:val="24"/>
        </w:rPr>
        <w:t xml:space="preserve">, 53–70. </w:t>
      </w:r>
      <w:hyperlink r:id="rId25">
        <w:r w:rsidRPr="00014558">
          <w:rPr>
            <w:color w:val="1155CC"/>
            <w:sz w:val="24"/>
            <w:szCs w:val="24"/>
            <w:u w:val="single"/>
          </w:rPr>
          <w:t>https://doi.org/10.1007/978-981-97-2671-4_5</w:t>
        </w:r>
      </w:hyperlink>
      <w:r w:rsidRPr="00014558">
        <w:rPr>
          <w:sz w:val="24"/>
          <w:szCs w:val="24"/>
        </w:rPr>
        <w:t xml:space="preserve"> </w:t>
      </w:r>
    </w:p>
    <w:p w14:paraId="0BF6A5E6" w14:textId="77777777" w:rsidR="008E345C" w:rsidRPr="00014558" w:rsidRDefault="002E488D" w:rsidP="00014558">
      <w:pPr>
        <w:spacing w:after="240"/>
        <w:ind w:left="720" w:hanging="720"/>
        <w:rPr>
          <w:sz w:val="24"/>
          <w:szCs w:val="24"/>
        </w:rPr>
      </w:pPr>
      <w:r w:rsidRPr="00014558">
        <w:rPr>
          <w:sz w:val="24"/>
          <w:szCs w:val="24"/>
        </w:rPr>
        <w:t xml:space="preserve">Alamsyah, A., Kusuma, G. N. W., &amp; Ramadhani, D. P. (2024). A Review on Decentralized Finance Ecosystems. </w:t>
      </w:r>
      <w:r w:rsidRPr="00014558">
        <w:rPr>
          <w:i/>
          <w:sz w:val="24"/>
          <w:szCs w:val="24"/>
        </w:rPr>
        <w:t>Future Internet</w:t>
      </w:r>
      <w:r w:rsidRPr="00014558">
        <w:rPr>
          <w:sz w:val="24"/>
          <w:szCs w:val="24"/>
        </w:rPr>
        <w:t xml:space="preserve">, </w:t>
      </w:r>
      <w:r w:rsidRPr="00014558">
        <w:rPr>
          <w:i/>
          <w:sz w:val="24"/>
          <w:szCs w:val="24"/>
        </w:rPr>
        <w:t>16</w:t>
      </w:r>
      <w:r w:rsidRPr="00014558">
        <w:rPr>
          <w:sz w:val="24"/>
          <w:szCs w:val="24"/>
        </w:rPr>
        <w:t xml:space="preserve">(3), 76. </w:t>
      </w:r>
      <w:hyperlink r:id="rId26">
        <w:r w:rsidRPr="00014558">
          <w:rPr>
            <w:color w:val="1155CC"/>
            <w:sz w:val="24"/>
            <w:szCs w:val="24"/>
            <w:u w:val="single"/>
          </w:rPr>
          <w:t>https://doi.org/10.3390/fi16030076</w:t>
        </w:r>
      </w:hyperlink>
      <w:r w:rsidRPr="00014558">
        <w:rPr>
          <w:sz w:val="24"/>
          <w:szCs w:val="24"/>
        </w:rPr>
        <w:t xml:space="preserve"> </w:t>
      </w:r>
    </w:p>
    <w:p w14:paraId="104721F4" w14:textId="77777777" w:rsidR="008E345C" w:rsidRPr="00014558" w:rsidRDefault="002E488D" w:rsidP="00014558">
      <w:pPr>
        <w:spacing w:after="240"/>
        <w:ind w:left="720" w:hanging="720"/>
        <w:rPr>
          <w:sz w:val="24"/>
          <w:szCs w:val="24"/>
        </w:rPr>
      </w:pPr>
      <w:r w:rsidRPr="00014558">
        <w:rPr>
          <w:sz w:val="24"/>
          <w:szCs w:val="24"/>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014558">
        <w:rPr>
          <w:i/>
          <w:sz w:val="24"/>
          <w:szCs w:val="24"/>
        </w:rPr>
        <w:t>Asian Journal of Economics Business and Accounting</w:t>
      </w:r>
      <w:r w:rsidRPr="00014558">
        <w:rPr>
          <w:sz w:val="24"/>
          <w:szCs w:val="24"/>
        </w:rPr>
        <w:t xml:space="preserve">, </w:t>
      </w:r>
      <w:r w:rsidRPr="00014558">
        <w:rPr>
          <w:i/>
          <w:sz w:val="24"/>
          <w:szCs w:val="24"/>
        </w:rPr>
        <w:t>24</w:t>
      </w:r>
      <w:r w:rsidRPr="00014558">
        <w:rPr>
          <w:sz w:val="24"/>
          <w:szCs w:val="24"/>
        </w:rPr>
        <w:t xml:space="preserve">(11), 47–73. </w:t>
      </w:r>
      <w:hyperlink r:id="rId27">
        <w:r w:rsidRPr="00014558">
          <w:rPr>
            <w:color w:val="1155CC"/>
            <w:sz w:val="24"/>
            <w:szCs w:val="24"/>
            <w:u w:val="single"/>
          </w:rPr>
          <w:t>https://doi.org/10.9734/ajeba/2024/v24i111542</w:t>
        </w:r>
      </w:hyperlink>
      <w:r w:rsidRPr="00014558">
        <w:rPr>
          <w:sz w:val="24"/>
          <w:szCs w:val="24"/>
        </w:rPr>
        <w:t xml:space="preserve"> </w:t>
      </w:r>
    </w:p>
    <w:p w14:paraId="13EE465D" w14:textId="77777777" w:rsidR="008E345C" w:rsidRPr="00014558" w:rsidRDefault="002E488D" w:rsidP="00014558">
      <w:pPr>
        <w:spacing w:after="240"/>
        <w:ind w:left="720" w:hanging="720"/>
        <w:rPr>
          <w:sz w:val="24"/>
          <w:szCs w:val="24"/>
        </w:rPr>
      </w:pPr>
      <w:r w:rsidRPr="00BF2862">
        <w:rPr>
          <w:sz w:val="24"/>
          <w:szCs w:val="24"/>
          <w:lang w:val="es-ES"/>
        </w:rPr>
        <w:t xml:space="preserve">Alberto, C., Guevara, C., &amp; Guevara, D. (2024). </w:t>
      </w:r>
      <w:r w:rsidRPr="00014558">
        <w:rPr>
          <w:sz w:val="24"/>
          <w:szCs w:val="24"/>
        </w:rPr>
        <w:t xml:space="preserve">Financialization of Land in Peripheral Countries: Disciplining Agrarian Structures and Perpetuating Macroeconomic Vulnerabilities. </w:t>
      </w:r>
      <w:r w:rsidRPr="00014558">
        <w:rPr>
          <w:i/>
          <w:sz w:val="24"/>
          <w:szCs w:val="24"/>
        </w:rPr>
        <w:t>Review of Political Economy</w:t>
      </w:r>
      <w:r w:rsidRPr="00014558">
        <w:rPr>
          <w:sz w:val="24"/>
          <w:szCs w:val="24"/>
        </w:rPr>
        <w:t xml:space="preserve">, 1–28. </w:t>
      </w:r>
      <w:hyperlink r:id="rId28">
        <w:r w:rsidRPr="00014558">
          <w:rPr>
            <w:color w:val="1155CC"/>
            <w:sz w:val="24"/>
            <w:szCs w:val="24"/>
            <w:u w:val="single"/>
          </w:rPr>
          <w:t>https://doi.org/10.1080/09538259.2024.2421305</w:t>
        </w:r>
      </w:hyperlink>
      <w:r w:rsidRPr="00014558">
        <w:rPr>
          <w:sz w:val="24"/>
          <w:szCs w:val="24"/>
        </w:rPr>
        <w:t xml:space="preserve"> </w:t>
      </w:r>
    </w:p>
    <w:p w14:paraId="370E2485" w14:textId="77777777" w:rsidR="008E345C" w:rsidRPr="00014558" w:rsidRDefault="002E488D" w:rsidP="00014558">
      <w:pPr>
        <w:spacing w:after="240"/>
        <w:ind w:left="720" w:hanging="720"/>
        <w:rPr>
          <w:sz w:val="24"/>
          <w:szCs w:val="24"/>
        </w:rPr>
      </w:pPr>
      <w:r w:rsidRPr="00014558">
        <w:rPr>
          <w:sz w:val="24"/>
          <w:szCs w:val="24"/>
        </w:rPr>
        <w:lastRenderedPageBreak/>
        <w:t xml:space="preserve">Alrowaily, M. A., Alghamdi, M., Alkhazi, I., Hassanat, A. B., Saeed, M., &amp; Liu, C. Z. (2023). Modeling and Analysis of Proof-Based Strategies for Distributed Consensus in Blockchain-Based Peer-to-Peer Networks. </w:t>
      </w:r>
      <w:r w:rsidRPr="00014558">
        <w:rPr>
          <w:i/>
          <w:sz w:val="24"/>
          <w:szCs w:val="24"/>
        </w:rPr>
        <w:t>Sustainability</w:t>
      </w:r>
      <w:r w:rsidRPr="00014558">
        <w:rPr>
          <w:sz w:val="24"/>
          <w:szCs w:val="24"/>
        </w:rPr>
        <w:t xml:space="preserve">, </w:t>
      </w:r>
      <w:r w:rsidRPr="00014558">
        <w:rPr>
          <w:i/>
          <w:sz w:val="24"/>
          <w:szCs w:val="24"/>
        </w:rPr>
        <w:t>15</w:t>
      </w:r>
      <w:r w:rsidRPr="00014558">
        <w:rPr>
          <w:sz w:val="24"/>
          <w:szCs w:val="24"/>
        </w:rPr>
        <w:t xml:space="preserve">(2), 1478–1478. </w:t>
      </w:r>
      <w:hyperlink r:id="rId29">
        <w:r w:rsidRPr="00014558">
          <w:rPr>
            <w:color w:val="1155CC"/>
            <w:sz w:val="24"/>
            <w:szCs w:val="24"/>
            <w:u w:val="single"/>
          </w:rPr>
          <w:t>https://doi.org/10.3390/su15021478</w:t>
        </w:r>
      </w:hyperlink>
      <w:r w:rsidRPr="00014558">
        <w:rPr>
          <w:sz w:val="24"/>
          <w:szCs w:val="24"/>
        </w:rPr>
        <w:t xml:space="preserve"> </w:t>
      </w:r>
    </w:p>
    <w:p w14:paraId="349BC7C7" w14:textId="77777777" w:rsidR="008E345C" w:rsidRPr="00014558" w:rsidRDefault="002E488D" w:rsidP="00014558">
      <w:pPr>
        <w:spacing w:after="240"/>
        <w:ind w:left="720" w:hanging="720"/>
        <w:rPr>
          <w:sz w:val="24"/>
          <w:szCs w:val="24"/>
        </w:rPr>
      </w:pPr>
      <w:r w:rsidRPr="00014558">
        <w:rPr>
          <w:sz w:val="24"/>
          <w:szCs w:val="24"/>
        </w:rPr>
        <w:t xml:space="preserve">Ante, L. (2022). Liquidity Shocks, Token Returns and Market Capitalization in Decentralized Finance (DeFi) Markets. </w:t>
      </w:r>
      <w:r w:rsidRPr="00014558">
        <w:rPr>
          <w:i/>
          <w:sz w:val="24"/>
          <w:szCs w:val="24"/>
        </w:rPr>
        <w:t>SSRN Electronic Journal</w:t>
      </w:r>
      <w:r w:rsidRPr="00014558">
        <w:rPr>
          <w:sz w:val="24"/>
          <w:szCs w:val="24"/>
        </w:rPr>
        <w:t xml:space="preserve">. </w:t>
      </w:r>
      <w:hyperlink r:id="rId30">
        <w:r w:rsidRPr="00014558">
          <w:rPr>
            <w:color w:val="1155CC"/>
            <w:sz w:val="24"/>
            <w:szCs w:val="24"/>
            <w:u w:val="single"/>
          </w:rPr>
          <w:t>https://doi.org/10.2139/ssrn.4183105</w:t>
        </w:r>
      </w:hyperlink>
      <w:r w:rsidRPr="00014558">
        <w:rPr>
          <w:sz w:val="24"/>
          <w:szCs w:val="24"/>
        </w:rPr>
        <w:t xml:space="preserve"> </w:t>
      </w:r>
    </w:p>
    <w:p w14:paraId="574BDF61" w14:textId="77777777" w:rsidR="008E345C" w:rsidRPr="00014558" w:rsidRDefault="002E488D" w:rsidP="00014558">
      <w:pPr>
        <w:spacing w:after="240"/>
        <w:ind w:left="720" w:hanging="720"/>
        <w:rPr>
          <w:sz w:val="24"/>
          <w:szCs w:val="24"/>
        </w:rPr>
      </w:pPr>
      <w:r w:rsidRPr="00014558">
        <w:rPr>
          <w:sz w:val="24"/>
          <w:szCs w:val="24"/>
        </w:rPr>
        <w:t xml:space="preserve">Arigbabu, A. T., Olaniyi, O. O., Adigwe, C. S., Adebiyi, O. O., &amp; Ajayi, S. A. (2024). Data Governance in AI - Enabled Healthcare Systems: A Case of the Project Nightingale.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(5), 85–107. </w:t>
      </w:r>
      <w:hyperlink r:id="rId31">
        <w:r w:rsidRPr="00014558">
          <w:rPr>
            <w:color w:val="1155CC"/>
            <w:sz w:val="24"/>
            <w:szCs w:val="24"/>
            <w:u w:val="single"/>
          </w:rPr>
          <w:t>https://doi.org/10.9734/ajrcos/2024/v17i5441</w:t>
        </w:r>
      </w:hyperlink>
      <w:r w:rsidRPr="00014558">
        <w:rPr>
          <w:sz w:val="24"/>
          <w:szCs w:val="24"/>
        </w:rPr>
        <w:t xml:space="preserve"> </w:t>
      </w:r>
    </w:p>
    <w:p w14:paraId="14C56E06" w14:textId="77777777" w:rsidR="008E345C" w:rsidRPr="00014558" w:rsidRDefault="002E488D" w:rsidP="00014558">
      <w:pPr>
        <w:spacing w:after="240"/>
        <w:ind w:left="720" w:hanging="720"/>
        <w:rPr>
          <w:sz w:val="24"/>
          <w:szCs w:val="24"/>
        </w:rPr>
      </w:pPr>
      <w:r w:rsidRPr="00014558">
        <w:rPr>
          <w:sz w:val="24"/>
          <w:szCs w:val="24"/>
        </w:rPr>
        <w:t xml:space="preserve">Balogun, A. Y., Metibemu, O. C., Olutimehin, A. T., Ajayi, A. J., Babarinde, D. C., &amp; Olaniyi, O. O. (2025). The Ethical and Legal Implications of Shadow AI in Sensitive Industries: A Focus on Healthcare, Finance and Education.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(3), 1–22. </w:t>
      </w:r>
      <w:hyperlink r:id="rId32">
        <w:r w:rsidRPr="00014558">
          <w:rPr>
            <w:color w:val="1155CC"/>
            <w:sz w:val="24"/>
            <w:szCs w:val="24"/>
            <w:u w:val="single"/>
          </w:rPr>
          <w:t>https://doi.org/10.9734/jerr/2025/v27i31414</w:t>
        </w:r>
      </w:hyperlink>
      <w:r w:rsidRPr="00014558">
        <w:rPr>
          <w:sz w:val="24"/>
          <w:szCs w:val="24"/>
        </w:rPr>
        <w:t xml:space="preserve"> </w:t>
      </w:r>
    </w:p>
    <w:p w14:paraId="751A913A" w14:textId="77777777" w:rsidR="008E345C" w:rsidRPr="00BF2862" w:rsidRDefault="002E488D" w:rsidP="00014558">
      <w:pPr>
        <w:spacing w:after="240"/>
        <w:ind w:left="720" w:hanging="720"/>
        <w:rPr>
          <w:sz w:val="24"/>
          <w:szCs w:val="24"/>
          <w:lang w:val="es-ES"/>
        </w:rPr>
      </w:pPr>
      <w:proofErr w:type="spellStart"/>
      <w:r w:rsidRPr="00BF2862">
        <w:rPr>
          <w:sz w:val="24"/>
          <w:szCs w:val="24"/>
          <w:lang w:val="es-ES"/>
        </w:rPr>
        <w:t>Balogun</w:t>
      </w:r>
      <w:proofErr w:type="spellEnd"/>
      <w:r w:rsidRPr="00BF2862">
        <w:rPr>
          <w:sz w:val="24"/>
          <w:szCs w:val="24"/>
          <w:lang w:val="es-ES"/>
        </w:rPr>
        <w:t xml:space="preserve">, A. Y., Olaniyi, O. O., </w:t>
      </w:r>
      <w:proofErr w:type="spellStart"/>
      <w:r w:rsidRPr="00BF2862">
        <w:rPr>
          <w:sz w:val="24"/>
          <w:szCs w:val="24"/>
          <w:lang w:val="es-ES"/>
        </w:rPr>
        <w:t>Olisa</w:t>
      </w:r>
      <w:proofErr w:type="spellEnd"/>
      <w:r w:rsidRPr="00BF2862">
        <w:rPr>
          <w:sz w:val="24"/>
          <w:szCs w:val="24"/>
          <w:lang w:val="es-ES"/>
        </w:rPr>
        <w:t xml:space="preserve">, A. O., </w:t>
      </w:r>
      <w:proofErr w:type="spellStart"/>
      <w:r w:rsidRPr="00BF2862">
        <w:rPr>
          <w:sz w:val="24"/>
          <w:szCs w:val="24"/>
          <w:lang w:val="es-ES"/>
        </w:rPr>
        <w:t>Gbadebo</w:t>
      </w:r>
      <w:proofErr w:type="spellEnd"/>
      <w:r w:rsidRPr="00BF2862">
        <w:rPr>
          <w:sz w:val="24"/>
          <w:szCs w:val="24"/>
          <w:lang w:val="es-ES"/>
        </w:rPr>
        <w:t xml:space="preserve">, M. O., &amp; </w:t>
      </w:r>
      <w:proofErr w:type="spellStart"/>
      <w:r w:rsidRPr="00BF2862">
        <w:rPr>
          <w:sz w:val="24"/>
          <w:szCs w:val="24"/>
          <w:lang w:val="es-ES"/>
        </w:rPr>
        <w:t>Chinye</w:t>
      </w:r>
      <w:proofErr w:type="spellEnd"/>
      <w:r w:rsidRPr="00BF2862">
        <w:rPr>
          <w:sz w:val="24"/>
          <w:szCs w:val="24"/>
          <w:lang w:val="es-ES"/>
        </w:rPr>
        <w:t xml:space="preserve">, N. C. (2025). </w:t>
      </w:r>
      <w:r w:rsidRPr="00014558">
        <w:rPr>
          <w:sz w:val="24"/>
          <w:szCs w:val="24"/>
        </w:rPr>
        <w:t xml:space="preserve">Enhancing Incident Response Strategies in U.S. Healthcare Cybersecurity.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(2), 114–135. </w:t>
      </w:r>
      <w:hyperlink r:id="rId33">
        <w:r w:rsidRPr="00BF2862">
          <w:rPr>
            <w:color w:val="1155CC"/>
            <w:sz w:val="24"/>
            <w:szCs w:val="24"/>
            <w:u w:val="single"/>
            <w:lang w:val="es-ES"/>
          </w:rPr>
          <w:t>https://doi.org/10.9734/jerr/2025/v27i21399</w:t>
        </w:r>
      </w:hyperlink>
      <w:r w:rsidRPr="00BF2862">
        <w:rPr>
          <w:sz w:val="24"/>
          <w:szCs w:val="24"/>
          <w:lang w:val="es-ES"/>
        </w:rPr>
        <w:t xml:space="preserve"> </w:t>
      </w:r>
    </w:p>
    <w:p w14:paraId="17424EFD" w14:textId="77777777" w:rsidR="008E345C" w:rsidRPr="00BF2862" w:rsidRDefault="002E488D" w:rsidP="00014558">
      <w:pPr>
        <w:spacing w:after="240"/>
        <w:ind w:left="720" w:hanging="720"/>
        <w:rPr>
          <w:sz w:val="24"/>
          <w:szCs w:val="24"/>
          <w:lang w:val="fr-FR"/>
        </w:rPr>
      </w:pPr>
      <w:proofErr w:type="spellStart"/>
      <w:r w:rsidRPr="00BF2862">
        <w:rPr>
          <w:sz w:val="24"/>
          <w:szCs w:val="24"/>
          <w:lang w:val="es-ES"/>
        </w:rPr>
        <w:t>Benami</w:t>
      </w:r>
      <w:proofErr w:type="spellEnd"/>
      <w:r w:rsidRPr="00BF2862">
        <w:rPr>
          <w:sz w:val="24"/>
          <w:szCs w:val="24"/>
          <w:lang w:val="es-ES"/>
        </w:rPr>
        <w:t xml:space="preserve">, E., &amp; Carter, M. R. (2021). </w:t>
      </w:r>
      <w:r w:rsidRPr="00014558">
        <w:rPr>
          <w:sz w:val="24"/>
          <w:szCs w:val="24"/>
        </w:rPr>
        <w:t xml:space="preserve">Can digital technologies reshape rural microfinance? Implications for savings, credit, &amp; insurance. </w:t>
      </w:r>
      <w:r w:rsidRPr="00014558">
        <w:rPr>
          <w:i/>
          <w:sz w:val="24"/>
          <w:szCs w:val="24"/>
        </w:rPr>
        <w:t>Applied Economic Perspectives and Policy</w:t>
      </w:r>
      <w:r w:rsidRPr="00014558">
        <w:rPr>
          <w:sz w:val="24"/>
          <w:szCs w:val="24"/>
        </w:rPr>
        <w:t xml:space="preserve">, </w:t>
      </w:r>
      <w:r w:rsidRPr="00014558">
        <w:rPr>
          <w:i/>
          <w:sz w:val="24"/>
          <w:szCs w:val="24"/>
        </w:rPr>
        <w:t>43</w:t>
      </w:r>
      <w:r w:rsidRPr="00014558">
        <w:rPr>
          <w:sz w:val="24"/>
          <w:szCs w:val="24"/>
        </w:rPr>
        <w:t xml:space="preserve">(4). </w:t>
      </w:r>
      <w:hyperlink r:id="rId34">
        <w:r w:rsidRPr="00BF2862">
          <w:rPr>
            <w:color w:val="1155CC"/>
            <w:sz w:val="24"/>
            <w:szCs w:val="24"/>
            <w:u w:val="single"/>
            <w:lang w:val="fr-FR"/>
          </w:rPr>
          <w:t>https://doi.org/10.1002/aepp.13151</w:t>
        </w:r>
      </w:hyperlink>
      <w:r w:rsidRPr="00BF2862">
        <w:rPr>
          <w:sz w:val="24"/>
          <w:szCs w:val="24"/>
          <w:lang w:val="fr-FR"/>
        </w:rPr>
        <w:t xml:space="preserve"> </w:t>
      </w:r>
    </w:p>
    <w:p w14:paraId="65DD0F8F" w14:textId="77777777" w:rsidR="008E345C" w:rsidRPr="00014558" w:rsidRDefault="002E488D" w:rsidP="00014558">
      <w:pPr>
        <w:spacing w:after="240"/>
        <w:ind w:left="720" w:hanging="720"/>
        <w:rPr>
          <w:sz w:val="24"/>
          <w:szCs w:val="24"/>
        </w:rPr>
      </w:pPr>
      <w:r w:rsidRPr="00BF2862">
        <w:rPr>
          <w:sz w:val="24"/>
          <w:szCs w:val="24"/>
          <w:lang w:val="fr-FR"/>
        </w:rPr>
        <w:t xml:space="preserve">Bhatia, M. S., Chaudhuri, A., </w:t>
      </w:r>
      <w:proofErr w:type="spellStart"/>
      <w:r w:rsidRPr="00BF2862">
        <w:rPr>
          <w:sz w:val="24"/>
          <w:szCs w:val="24"/>
          <w:lang w:val="fr-FR"/>
        </w:rPr>
        <w:t>Kayikci</w:t>
      </w:r>
      <w:proofErr w:type="spellEnd"/>
      <w:r w:rsidRPr="00BF2862">
        <w:rPr>
          <w:sz w:val="24"/>
          <w:szCs w:val="24"/>
          <w:lang w:val="fr-FR"/>
        </w:rPr>
        <w:t xml:space="preserve">, Y., &amp; </w:t>
      </w:r>
      <w:proofErr w:type="spellStart"/>
      <w:r w:rsidRPr="00BF2862">
        <w:rPr>
          <w:sz w:val="24"/>
          <w:szCs w:val="24"/>
          <w:lang w:val="fr-FR"/>
        </w:rPr>
        <w:t>Treiblmaier</w:t>
      </w:r>
      <w:proofErr w:type="spellEnd"/>
      <w:r w:rsidRPr="00BF2862">
        <w:rPr>
          <w:sz w:val="24"/>
          <w:szCs w:val="24"/>
          <w:lang w:val="fr-FR"/>
        </w:rPr>
        <w:t xml:space="preserve">, H. (2023). </w:t>
      </w:r>
      <w:r w:rsidRPr="00014558">
        <w:rPr>
          <w:sz w:val="24"/>
          <w:szCs w:val="24"/>
        </w:rPr>
        <w:t xml:space="preserve">Implementation of blockchain-enabled supply chain finance solutions in the agricultural commodity supply chain: a transaction cost economics perspective. </w:t>
      </w:r>
      <w:r w:rsidRPr="00014558">
        <w:rPr>
          <w:i/>
          <w:sz w:val="24"/>
          <w:szCs w:val="24"/>
        </w:rPr>
        <w:t>Production Planning &amp; Control</w:t>
      </w:r>
      <w:r w:rsidRPr="00014558">
        <w:rPr>
          <w:sz w:val="24"/>
          <w:szCs w:val="24"/>
        </w:rPr>
        <w:t xml:space="preserve">, </w:t>
      </w:r>
      <w:r w:rsidRPr="00014558">
        <w:rPr>
          <w:i/>
          <w:sz w:val="24"/>
          <w:szCs w:val="24"/>
        </w:rPr>
        <w:t>35</w:t>
      </w:r>
      <w:r w:rsidRPr="00014558">
        <w:rPr>
          <w:sz w:val="24"/>
          <w:szCs w:val="24"/>
        </w:rPr>
        <w:t xml:space="preserve">(12), 1–15. </w:t>
      </w:r>
      <w:hyperlink r:id="rId35">
        <w:r w:rsidRPr="00014558">
          <w:rPr>
            <w:color w:val="1155CC"/>
            <w:sz w:val="24"/>
            <w:szCs w:val="24"/>
            <w:u w:val="single"/>
          </w:rPr>
          <w:t>https://doi.org/10.1080/09537287.2023.2180685</w:t>
        </w:r>
      </w:hyperlink>
      <w:r w:rsidRPr="00014558">
        <w:rPr>
          <w:sz w:val="24"/>
          <w:szCs w:val="24"/>
        </w:rPr>
        <w:t xml:space="preserve"> </w:t>
      </w:r>
    </w:p>
    <w:p w14:paraId="6CAABE02" w14:textId="77777777" w:rsidR="008E345C" w:rsidRPr="00014558" w:rsidRDefault="002E488D" w:rsidP="00014558">
      <w:pPr>
        <w:spacing w:after="240"/>
        <w:ind w:left="720" w:hanging="720"/>
        <w:rPr>
          <w:sz w:val="24"/>
          <w:szCs w:val="24"/>
        </w:rPr>
      </w:pPr>
      <w:r w:rsidRPr="00014558">
        <w:rPr>
          <w:sz w:val="24"/>
          <w:szCs w:val="24"/>
        </w:rPr>
        <w:t xml:space="preserve">Biswas, D., Jalali, H., Ansaripoor, A. H., &amp; De Giovanni, P. (2022). Traceability vs. sustainability in supply chains: The implications of blockchain. </w:t>
      </w:r>
      <w:r w:rsidRPr="00014558">
        <w:rPr>
          <w:i/>
          <w:sz w:val="24"/>
          <w:szCs w:val="24"/>
        </w:rPr>
        <w:t>European Journal of Operational Research</w:t>
      </w:r>
      <w:r w:rsidRPr="00014558">
        <w:rPr>
          <w:sz w:val="24"/>
          <w:szCs w:val="24"/>
        </w:rPr>
        <w:t xml:space="preserve">, </w:t>
      </w:r>
      <w:r w:rsidRPr="00014558">
        <w:rPr>
          <w:i/>
          <w:sz w:val="24"/>
          <w:szCs w:val="24"/>
        </w:rPr>
        <w:t>305</w:t>
      </w:r>
      <w:r w:rsidRPr="00014558">
        <w:rPr>
          <w:sz w:val="24"/>
          <w:szCs w:val="24"/>
        </w:rPr>
        <w:t xml:space="preserve">(1). </w:t>
      </w:r>
      <w:hyperlink r:id="rId36">
        <w:r w:rsidRPr="00014558">
          <w:rPr>
            <w:color w:val="1155CC"/>
            <w:sz w:val="24"/>
            <w:szCs w:val="24"/>
            <w:u w:val="single"/>
          </w:rPr>
          <w:t>https://doi.org/10.1016/j.ejor.2022.05.034</w:t>
        </w:r>
      </w:hyperlink>
      <w:r w:rsidRPr="00014558">
        <w:rPr>
          <w:sz w:val="24"/>
          <w:szCs w:val="24"/>
        </w:rPr>
        <w:t xml:space="preserve"> </w:t>
      </w:r>
    </w:p>
    <w:p w14:paraId="6D48437E" w14:textId="77777777" w:rsidR="008E345C" w:rsidRPr="00014558" w:rsidRDefault="002E488D" w:rsidP="00014558">
      <w:pPr>
        <w:spacing w:after="240"/>
        <w:ind w:left="720" w:hanging="720"/>
        <w:rPr>
          <w:sz w:val="24"/>
          <w:szCs w:val="24"/>
        </w:rPr>
      </w:pPr>
      <w:r w:rsidRPr="00014558">
        <w:rPr>
          <w:sz w:val="24"/>
          <w:szCs w:val="24"/>
        </w:rPr>
        <w:t>Blom</w:t>
      </w:r>
      <w:r w:rsidRPr="00014558">
        <w:rPr>
          <w:rFonts w:ascii="Cambria Math" w:hAnsi="Cambria Math" w:cs="Cambria Math"/>
          <w:sz w:val="24"/>
          <w:szCs w:val="24"/>
        </w:rPr>
        <w:t>‐</w:t>
      </w:r>
      <w:r w:rsidRPr="00014558">
        <w:rPr>
          <w:sz w:val="24"/>
          <w:szCs w:val="24"/>
        </w:rPr>
        <w:t xml:space="preserve">Hansen, J., Baekgaard, M., &amp; Serritzlew, S. (2020). How bureaucrats shape political decisions: The role of policy information. </w:t>
      </w:r>
      <w:r w:rsidRPr="00014558">
        <w:rPr>
          <w:i/>
          <w:sz w:val="24"/>
          <w:szCs w:val="24"/>
        </w:rPr>
        <w:t>Public Administration</w:t>
      </w:r>
      <w:r w:rsidRPr="00014558">
        <w:rPr>
          <w:sz w:val="24"/>
          <w:szCs w:val="24"/>
        </w:rPr>
        <w:t xml:space="preserve">, </w:t>
      </w:r>
      <w:r w:rsidRPr="00014558">
        <w:rPr>
          <w:i/>
          <w:sz w:val="24"/>
          <w:szCs w:val="24"/>
        </w:rPr>
        <w:t>99</w:t>
      </w:r>
      <w:r w:rsidRPr="00014558">
        <w:rPr>
          <w:sz w:val="24"/>
          <w:szCs w:val="24"/>
        </w:rPr>
        <w:t xml:space="preserve">(4). </w:t>
      </w:r>
      <w:hyperlink r:id="rId37">
        <w:r w:rsidRPr="00014558">
          <w:rPr>
            <w:color w:val="1155CC"/>
            <w:sz w:val="24"/>
            <w:szCs w:val="24"/>
            <w:u w:val="single"/>
          </w:rPr>
          <w:t>https://doi.org/10.1111/padm.12709</w:t>
        </w:r>
      </w:hyperlink>
      <w:r w:rsidRPr="00014558">
        <w:rPr>
          <w:sz w:val="24"/>
          <w:szCs w:val="24"/>
        </w:rPr>
        <w:t xml:space="preserve"> </w:t>
      </w:r>
    </w:p>
    <w:p w14:paraId="085220DA" w14:textId="77777777" w:rsidR="008E345C" w:rsidRPr="00014558" w:rsidRDefault="002E488D" w:rsidP="00014558">
      <w:pPr>
        <w:spacing w:after="240"/>
        <w:ind w:left="720" w:hanging="720"/>
        <w:rPr>
          <w:sz w:val="24"/>
          <w:szCs w:val="24"/>
        </w:rPr>
      </w:pPr>
      <w:r w:rsidRPr="00014558">
        <w:rPr>
          <w:sz w:val="24"/>
          <w:szCs w:val="24"/>
        </w:rPr>
        <w:lastRenderedPageBreak/>
        <w:t xml:space="preserve">Bodkhe, U., Tanwar, S., Bhattacharya, P., &amp; Kumar, N. (2020). Blockchain for precision irrigation: Opportunities and challenges. </w:t>
      </w:r>
      <w:r w:rsidRPr="00014558">
        <w:rPr>
          <w:i/>
          <w:sz w:val="24"/>
          <w:szCs w:val="24"/>
        </w:rPr>
        <w:t>Transactions on Emerging Telecommunications Technologies</w:t>
      </w:r>
      <w:r w:rsidRPr="00014558">
        <w:rPr>
          <w:sz w:val="24"/>
          <w:szCs w:val="24"/>
        </w:rPr>
        <w:t xml:space="preserve">, </w:t>
      </w:r>
      <w:r w:rsidRPr="00014558">
        <w:rPr>
          <w:i/>
          <w:sz w:val="24"/>
          <w:szCs w:val="24"/>
        </w:rPr>
        <w:t>33</w:t>
      </w:r>
      <w:r w:rsidRPr="00014558">
        <w:rPr>
          <w:sz w:val="24"/>
          <w:szCs w:val="24"/>
        </w:rPr>
        <w:t xml:space="preserve">(10). </w:t>
      </w:r>
      <w:hyperlink r:id="rId38">
        <w:r w:rsidRPr="00014558">
          <w:rPr>
            <w:color w:val="1155CC"/>
            <w:sz w:val="24"/>
            <w:szCs w:val="24"/>
            <w:u w:val="single"/>
          </w:rPr>
          <w:t>https://doi.org/10.1002/ett.4059</w:t>
        </w:r>
      </w:hyperlink>
      <w:r w:rsidRPr="00014558">
        <w:rPr>
          <w:sz w:val="24"/>
          <w:szCs w:val="24"/>
        </w:rPr>
        <w:t xml:space="preserve"> </w:t>
      </w:r>
    </w:p>
    <w:p w14:paraId="51C30A36" w14:textId="77777777" w:rsidR="008E345C" w:rsidRPr="00014558" w:rsidRDefault="002E488D" w:rsidP="00014558">
      <w:pPr>
        <w:spacing w:after="240"/>
        <w:ind w:left="720" w:hanging="720"/>
        <w:rPr>
          <w:sz w:val="24"/>
          <w:szCs w:val="24"/>
        </w:rPr>
      </w:pPr>
      <w:r w:rsidRPr="00014558">
        <w:rPr>
          <w:sz w:val="24"/>
          <w:szCs w:val="24"/>
        </w:rPr>
        <w:t xml:space="preserve">Bourveau, T., Brendel, J., &amp; Schoenfeld, J. (2024). Decentralized Finance (DeFi) assurance: early evidence. </w:t>
      </w:r>
      <w:r w:rsidRPr="00014558">
        <w:rPr>
          <w:i/>
          <w:sz w:val="24"/>
          <w:szCs w:val="24"/>
        </w:rPr>
        <w:t>Review of Accounting Studies</w:t>
      </w:r>
      <w:r w:rsidRPr="00014558">
        <w:rPr>
          <w:sz w:val="24"/>
          <w:szCs w:val="24"/>
        </w:rPr>
        <w:t xml:space="preserve">, </w:t>
      </w:r>
      <w:r w:rsidRPr="00014558">
        <w:rPr>
          <w:i/>
          <w:sz w:val="24"/>
          <w:szCs w:val="24"/>
        </w:rPr>
        <w:t>29</w:t>
      </w:r>
      <w:r w:rsidRPr="00014558">
        <w:rPr>
          <w:sz w:val="24"/>
          <w:szCs w:val="24"/>
        </w:rPr>
        <w:t xml:space="preserve">(3), 2209–2253. </w:t>
      </w:r>
      <w:hyperlink r:id="rId39">
        <w:r w:rsidRPr="00014558">
          <w:rPr>
            <w:color w:val="1155CC"/>
            <w:sz w:val="24"/>
            <w:szCs w:val="24"/>
            <w:u w:val="single"/>
          </w:rPr>
          <w:t>https://doi.org/10.1007/s11142-024-09834-8</w:t>
        </w:r>
      </w:hyperlink>
      <w:r w:rsidRPr="00014558">
        <w:rPr>
          <w:sz w:val="24"/>
          <w:szCs w:val="24"/>
        </w:rPr>
        <w:t xml:space="preserve"> </w:t>
      </w:r>
    </w:p>
    <w:p w14:paraId="426B8A3D" w14:textId="77777777" w:rsidR="008E345C" w:rsidRPr="00014558" w:rsidRDefault="002E488D" w:rsidP="00014558">
      <w:pPr>
        <w:spacing w:after="240"/>
        <w:ind w:left="720" w:hanging="720"/>
        <w:rPr>
          <w:sz w:val="24"/>
          <w:szCs w:val="24"/>
        </w:rPr>
      </w:pPr>
      <w:r w:rsidRPr="00014558">
        <w:rPr>
          <w:sz w:val="24"/>
          <w:szCs w:val="24"/>
        </w:rPr>
        <w:t xml:space="preserve">Business </w:t>
      </w:r>
      <w:proofErr w:type="gramStart"/>
      <w:r w:rsidRPr="00014558">
        <w:rPr>
          <w:sz w:val="24"/>
          <w:szCs w:val="24"/>
        </w:rPr>
        <w:t>Today .</w:t>
      </w:r>
      <w:proofErr w:type="gramEnd"/>
      <w:r w:rsidRPr="00014558">
        <w:rPr>
          <w:sz w:val="24"/>
          <w:szCs w:val="24"/>
        </w:rPr>
        <w:t xml:space="preserve"> (2022). </w:t>
      </w:r>
      <w:r w:rsidRPr="00014558">
        <w:rPr>
          <w:i/>
          <w:sz w:val="24"/>
          <w:szCs w:val="24"/>
        </w:rPr>
        <w:t xml:space="preserve">Asset Tokenisation Projected </w:t>
      </w:r>
      <w:proofErr w:type="gramStart"/>
      <w:r w:rsidRPr="00014558">
        <w:rPr>
          <w:i/>
          <w:sz w:val="24"/>
          <w:szCs w:val="24"/>
        </w:rPr>
        <w:t>To</w:t>
      </w:r>
      <w:proofErr w:type="gramEnd"/>
      <w:r w:rsidRPr="00014558">
        <w:rPr>
          <w:i/>
          <w:sz w:val="24"/>
          <w:szCs w:val="24"/>
        </w:rPr>
        <w:t xml:space="preserve"> Grow 50x Into US$16 Trillion Opportunity By 2030: Report</w:t>
      </w:r>
      <w:r w:rsidRPr="00014558">
        <w:rPr>
          <w:sz w:val="24"/>
          <w:szCs w:val="24"/>
        </w:rPr>
        <w:t xml:space="preserve">. BusinessToday. </w:t>
      </w:r>
      <w:hyperlink r:id="rId40">
        <w:r w:rsidRPr="00014558">
          <w:rPr>
            <w:color w:val="1155CC"/>
            <w:sz w:val="24"/>
            <w:szCs w:val="24"/>
            <w:u w:val="single"/>
          </w:rPr>
          <w:t>https://www.businesstoday.com.my/2022/09/12/asset-tokenisation-projected-to-grow-50x-into-us16-trillion-opportunity-by-2030-report/</w:t>
        </w:r>
      </w:hyperlink>
      <w:r w:rsidRPr="00014558">
        <w:rPr>
          <w:sz w:val="24"/>
          <w:szCs w:val="24"/>
        </w:rPr>
        <w:t xml:space="preserve"> </w:t>
      </w:r>
    </w:p>
    <w:p w14:paraId="32A33115" w14:textId="77777777" w:rsidR="008E345C" w:rsidRPr="00014558" w:rsidRDefault="002E488D" w:rsidP="00014558">
      <w:pPr>
        <w:spacing w:after="240"/>
        <w:ind w:left="720" w:hanging="720"/>
        <w:rPr>
          <w:sz w:val="24"/>
          <w:szCs w:val="24"/>
        </w:rPr>
      </w:pPr>
      <w:r w:rsidRPr="00014558">
        <w:rPr>
          <w:sz w:val="24"/>
          <w:szCs w:val="24"/>
        </w:rPr>
        <w:t xml:space="preserve">Carapella, F., Chuan, G., Gerszten, J., Hunter, C., &amp; Swem, N. (2023). Tokenization: Overview and Financial Stability Implications. </w:t>
      </w:r>
      <w:r w:rsidRPr="00014558">
        <w:rPr>
          <w:i/>
          <w:sz w:val="24"/>
          <w:szCs w:val="24"/>
        </w:rPr>
        <w:t>Finance and Economics Discussion Series</w:t>
      </w:r>
      <w:r w:rsidRPr="00014558">
        <w:rPr>
          <w:sz w:val="24"/>
          <w:szCs w:val="24"/>
        </w:rPr>
        <w:t xml:space="preserve">, </w:t>
      </w:r>
      <w:r w:rsidRPr="00014558">
        <w:rPr>
          <w:i/>
          <w:sz w:val="24"/>
          <w:szCs w:val="24"/>
        </w:rPr>
        <w:t>2023-060</w:t>
      </w:r>
      <w:r w:rsidRPr="00014558">
        <w:rPr>
          <w:sz w:val="24"/>
          <w:szCs w:val="24"/>
        </w:rPr>
        <w:t xml:space="preserve">, 1–29. </w:t>
      </w:r>
      <w:hyperlink r:id="rId41">
        <w:r w:rsidRPr="00014558">
          <w:rPr>
            <w:color w:val="1155CC"/>
            <w:sz w:val="24"/>
            <w:szCs w:val="24"/>
            <w:u w:val="single"/>
          </w:rPr>
          <w:t>https://doi.org/10.17016/feds.2023.060</w:t>
        </w:r>
      </w:hyperlink>
      <w:r w:rsidRPr="00014558">
        <w:rPr>
          <w:sz w:val="24"/>
          <w:szCs w:val="24"/>
        </w:rPr>
        <w:t xml:space="preserve"> </w:t>
      </w:r>
    </w:p>
    <w:p w14:paraId="399ED430" w14:textId="77777777" w:rsidR="008E345C" w:rsidRPr="00014558" w:rsidRDefault="002E488D" w:rsidP="00014558">
      <w:pPr>
        <w:spacing w:after="240"/>
        <w:ind w:left="720" w:hanging="720"/>
        <w:rPr>
          <w:sz w:val="24"/>
          <w:szCs w:val="24"/>
        </w:rPr>
      </w:pPr>
      <w:r w:rsidRPr="00014558">
        <w:rPr>
          <w:sz w:val="24"/>
          <w:szCs w:val="24"/>
        </w:rPr>
        <w:t xml:space="preserve">Chembakassery, A. I. (2024). Proof of Computational Power: An Innovative Consensus Algorithm for Blockchain Systems. </w:t>
      </w:r>
      <w:r w:rsidRPr="00014558">
        <w:rPr>
          <w:i/>
          <w:sz w:val="24"/>
          <w:szCs w:val="24"/>
        </w:rPr>
        <w:t>Lecture Notes in Electrical Engineering</w:t>
      </w:r>
      <w:r w:rsidRPr="00014558">
        <w:rPr>
          <w:sz w:val="24"/>
          <w:szCs w:val="24"/>
        </w:rPr>
        <w:t xml:space="preserve">, </w:t>
      </w:r>
      <w:r w:rsidRPr="00014558">
        <w:rPr>
          <w:i/>
          <w:sz w:val="24"/>
          <w:szCs w:val="24"/>
        </w:rPr>
        <w:t>1195</w:t>
      </w:r>
      <w:r w:rsidRPr="00014558">
        <w:rPr>
          <w:sz w:val="24"/>
          <w:szCs w:val="24"/>
        </w:rPr>
        <w:t xml:space="preserve">, 417–432. </w:t>
      </w:r>
      <w:hyperlink r:id="rId42">
        <w:r w:rsidRPr="00014558">
          <w:rPr>
            <w:color w:val="1155CC"/>
            <w:sz w:val="24"/>
            <w:szCs w:val="24"/>
            <w:u w:val="single"/>
          </w:rPr>
          <w:t>https://doi.org/10.1007/978-981-97-3442-9_29</w:t>
        </w:r>
      </w:hyperlink>
      <w:r w:rsidRPr="00014558">
        <w:rPr>
          <w:sz w:val="24"/>
          <w:szCs w:val="24"/>
        </w:rPr>
        <w:t xml:space="preserve"> </w:t>
      </w:r>
    </w:p>
    <w:p w14:paraId="1D3EFBF3" w14:textId="77777777" w:rsidR="008E345C" w:rsidRPr="00014558" w:rsidRDefault="002E488D" w:rsidP="00014558">
      <w:pPr>
        <w:spacing w:after="240"/>
        <w:ind w:left="720" w:hanging="720"/>
        <w:rPr>
          <w:sz w:val="24"/>
          <w:szCs w:val="24"/>
        </w:rPr>
      </w:pPr>
      <w:r w:rsidRPr="00014558">
        <w:rPr>
          <w:sz w:val="24"/>
          <w:szCs w:val="24"/>
        </w:rPr>
        <w:t xml:space="preserve">Ciriello, R. F. (2021). Tokenized index funds: A blockchain-based concept and a multidisciplinary research framework. </w:t>
      </w:r>
      <w:r w:rsidRPr="00014558">
        <w:rPr>
          <w:i/>
          <w:sz w:val="24"/>
          <w:szCs w:val="24"/>
        </w:rPr>
        <w:t>International Journal of Information Management</w:t>
      </w:r>
      <w:r w:rsidRPr="00014558">
        <w:rPr>
          <w:sz w:val="24"/>
          <w:szCs w:val="24"/>
        </w:rPr>
        <w:t xml:space="preserve">, </w:t>
      </w:r>
      <w:r w:rsidRPr="00014558">
        <w:rPr>
          <w:i/>
          <w:sz w:val="24"/>
          <w:szCs w:val="24"/>
        </w:rPr>
        <w:t>61</w:t>
      </w:r>
      <w:r w:rsidRPr="00014558">
        <w:rPr>
          <w:sz w:val="24"/>
          <w:szCs w:val="24"/>
        </w:rPr>
        <w:t xml:space="preserve">, 102400. </w:t>
      </w:r>
      <w:hyperlink r:id="rId43">
        <w:r w:rsidRPr="00014558">
          <w:rPr>
            <w:color w:val="1155CC"/>
            <w:sz w:val="24"/>
            <w:szCs w:val="24"/>
            <w:u w:val="single"/>
          </w:rPr>
          <w:t>https://doi.org/10.1016/j.ijinfomgt.2021.102400</w:t>
        </w:r>
      </w:hyperlink>
      <w:r w:rsidRPr="00014558">
        <w:rPr>
          <w:sz w:val="24"/>
          <w:szCs w:val="24"/>
        </w:rPr>
        <w:t xml:space="preserve"> </w:t>
      </w:r>
    </w:p>
    <w:p w14:paraId="145449D5" w14:textId="77777777" w:rsidR="008E345C" w:rsidRPr="00014558" w:rsidRDefault="002E488D" w:rsidP="00014558">
      <w:pPr>
        <w:spacing w:after="240"/>
        <w:ind w:left="720" w:hanging="720"/>
        <w:rPr>
          <w:sz w:val="24"/>
          <w:szCs w:val="24"/>
        </w:rPr>
      </w:pPr>
      <w:r w:rsidRPr="00014558">
        <w:rPr>
          <w:sz w:val="24"/>
          <w:szCs w:val="24"/>
        </w:rPr>
        <w:t xml:space="preserve">Crandall, J. (2023). Living on the block: How equitable is tokenized equity? </w:t>
      </w:r>
      <w:r w:rsidRPr="00014558">
        <w:rPr>
          <w:i/>
          <w:sz w:val="24"/>
          <w:szCs w:val="24"/>
        </w:rPr>
        <w:t>Big Data &amp; Society</w:t>
      </w:r>
      <w:r w:rsidRPr="00014558">
        <w:rPr>
          <w:sz w:val="24"/>
          <w:szCs w:val="24"/>
        </w:rPr>
        <w:t xml:space="preserve">, </w:t>
      </w:r>
      <w:r w:rsidRPr="00014558">
        <w:rPr>
          <w:i/>
          <w:sz w:val="24"/>
          <w:szCs w:val="24"/>
        </w:rPr>
        <w:t>10</w:t>
      </w:r>
      <w:r w:rsidRPr="00014558">
        <w:rPr>
          <w:sz w:val="24"/>
          <w:szCs w:val="24"/>
        </w:rPr>
        <w:t xml:space="preserve">(2). </w:t>
      </w:r>
      <w:hyperlink r:id="rId44">
        <w:r w:rsidRPr="00014558">
          <w:rPr>
            <w:color w:val="1155CC"/>
            <w:sz w:val="24"/>
            <w:szCs w:val="24"/>
            <w:u w:val="single"/>
          </w:rPr>
          <w:t>https://doi.org/10.1177/20539517231208455</w:t>
        </w:r>
      </w:hyperlink>
      <w:r w:rsidRPr="00014558">
        <w:rPr>
          <w:sz w:val="24"/>
          <w:szCs w:val="24"/>
        </w:rPr>
        <w:t xml:space="preserve"> </w:t>
      </w:r>
    </w:p>
    <w:p w14:paraId="00A13ED5" w14:textId="77777777" w:rsidR="008E345C" w:rsidRPr="00014558" w:rsidRDefault="002E488D" w:rsidP="00014558">
      <w:pPr>
        <w:spacing w:after="240"/>
        <w:ind w:left="720" w:hanging="720"/>
        <w:rPr>
          <w:sz w:val="24"/>
          <w:szCs w:val="24"/>
        </w:rPr>
      </w:pPr>
      <w:r w:rsidRPr="00014558">
        <w:rPr>
          <w:sz w:val="24"/>
          <w:szCs w:val="24"/>
        </w:rPr>
        <w:t xml:space="preserve">Daah, C., Qureshi, A., Awan, I., &amp; Konur, S. (2024). Enhancing Zero Trust Models in the Financial Industry through Blockchain Integration: A Proposed Framework. </w:t>
      </w:r>
      <w:r w:rsidRPr="00014558">
        <w:rPr>
          <w:i/>
          <w:sz w:val="24"/>
          <w:szCs w:val="24"/>
        </w:rPr>
        <w:t>Electronics</w:t>
      </w:r>
      <w:r w:rsidRPr="00014558">
        <w:rPr>
          <w:sz w:val="24"/>
          <w:szCs w:val="24"/>
        </w:rPr>
        <w:t xml:space="preserve">, </w:t>
      </w:r>
      <w:r w:rsidRPr="00014558">
        <w:rPr>
          <w:i/>
          <w:sz w:val="24"/>
          <w:szCs w:val="24"/>
        </w:rPr>
        <w:t>13</w:t>
      </w:r>
      <w:r w:rsidRPr="00014558">
        <w:rPr>
          <w:sz w:val="24"/>
          <w:szCs w:val="24"/>
        </w:rPr>
        <w:t xml:space="preserve">(5), 865. </w:t>
      </w:r>
      <w:hyperlink r:id="rId45">
        <w:r w:rsidRPr="00014558">
          <w:rPr>
            <w:color w:val="1155CC"/>
            <w:sz w:val="24"/>
            <w:szCs w:val="24"/>
            <w:u w:val="single"/>
          </w:rPr>
          <w:t>https://doi.org/10.3390/electronics13050865</w:t>
        </w:r>
      </w:hyperlink>
      <w:r w:rsidRPr="00014558">
        <w:rPr>
          <w:sz w:val="24"/>
          <w:szCs w:val="24"/>
        </w:rPr>
        <w:t xml:space="preserve"> </w:t>
      </w:r>
    </w:p>
    <w:p w14:paraId="44F42BAC" w14:textId="77777777" w:rsidR="008E345C" w:rsidRPr="00BF2862" w:rsidRDefault="002E488D" w:rsidP="00014558">
      <w:pPr>
        <w:spacing w:after="240"/>
        <w:ind w:left="720" w:hanging="720"/>
        <w:rPr>
          <w:sz w:val="24"/>
          <w:szCs w:val="24"/>
          <w:lang w:val="fr-FR"/>
        </w:rPr>
      </w:pPr>
      <w:r w:rsidRPr="00014558">
        <w:rPr>
          <w:sz w:val="24"/>
          <w:szCs w:val="24"/>
        </w:rPr>
        <w:t xml:space="preserve">Dashkevich, N., Counsell, S., &amp; Destefanis, G. (2024). Blockchain Financial Statements: Innovating Financial Reporting, Accounting, and Liquidity Management. </w:t>
      </w:r>
      <w:r w:rsidRPr="00BF2862">
        <w:rPr>
          <w:i/>
          <w:sz w:val="24"/>
          <w:szCs w:val="24"/>
          <w:lang w:val="fr-FR"/>
        </w:rPr>
        <w:t>Future Internet</w:t>
      </w:r>
      <w:r w:rsidRPr="00BF2862">
        <w:rPr>
          <w:sz w:val="24"/>
          <w:szCs w:val="24"/>
          <w:lang w:val="fr-FR"/>
        </w:rPr>
        <w:t xml:space="preserve">, </w:t>
      </w:r>
      <w:r w:rsidRPr="00BF2862">
        <w:rPr>
          <w:i/>
          <w:sz w:val="24"/>
          <w:szCs w:val="24"/>
          <w:lang w:val="fr-FR"/>
        </w:rPr>
        <w:t>16</w:t>
      </w:r>
      <w:r w:rsidRPr="00BF2862">
        <w:rPr>
          <w:sz w:val="24"/>
          <w:szCs w:val="24"/>
          <w:lang w:val="fr-FR"/>
        </w:rPr>
        <w:t xml:space="preserve">(7), 244. </w:t>
      </w:r>
      <w:hyperlink r:id="rId46">
        <w:r w:rsidRPr="00BF2862">
          <w:rPr>
            <w:color w:val="1155CC"/>
            <w:sz w:val="24"/>
            <w:szCs w:val="24"/>
            <w:u w:val="single"/>
            <w:lang w:val="fr-FR"/>
          </w:rPr>
          <w:t>https://doi.org/10.3390/fi16070244</w:t>
        </w:r>
      </w:hyperlink>
      <w:r w:rsidRPr="00BF2862">
        <w:rPr>
          <w:sz w:val="24"/>
          <w:szCs w:val="24"/>
          <w:lang w:val="fr-FR"/>
        </w:rPr>
        <w:t xml:space="preserve"> </w:t>
      </w:r>
    </w:p>
    <w:p w14:paraId="663C4B76" w14:textId="77777777" w:rsidR="008E345C" w:rsidRPr="00014558" w:rsidRDefault="002E488D" w:rsidP="00014558">
      <w:pPr>
        <w:spacing w:after="240"/>
        <w:ind w:left="720" w:hanging="720"/>
        <w:rPr>
          <w:sz w:val="24"/>
          <w:szCs w:val="24"/>
        </w:rPr>
      </w:pPr>
      <w:proofErr w:type="spellStart"/>
      <w:r w:rsidRPr="00BF2862">
        <w:rPr>
          <w:sz w:val="24"/>
          <w:szCs w:val="24"/>
          <w:lang w:val="fr-FR"/>
        </w:rPr>
        <w:t>Diro</w:t>
      </w:r>
      <w:proofErr w:type="spellEnd"/>
      <w:r w:rsidRPr="00BF2862">
        <w:rPr>
          <w:sz w:val="24"/>
          <w:szCs w:val="24"/>
          <w:lang w:val="fr-FR"/>
        </w:rPr>
        <w:t xml:space="preserve">, A., Zhou, L., Saini, A., </w:t>
      </w:r>
      <w:proofErr w:type="spellStart"/>
      <w:r w:rsidRPr="00BF2862">
        <w:rPr>
          <w:sz w:val="24"/>
          <w:szCs w:val="24"/>
          <w:lang w:val="fr-FR"/>
        </w:rPr>
        <w:t>Kaisar</w:t>
      </w:r>
      <w:proofErr w:type="spellEnd"/>
      <w:r w:rsidRPr="00BF2862">
        <w:rPr>
          <w:sz w:val="24"/>
          <w:szCs w:val="24"/>
          <w:lang w:val="fr-FR"/>
        </w:rPr>
        <w:t xml:space="preserve">, S., &amp; </w:t>
      </w:r>
      <w:proofErr w:type="spellStart"/>
      <w:r w:rsidRPr="00BF2862">
        <w:rPr>
          <w:sz w:val="24"/>
          <w:szCs w:val="24"/>
          <w:lang w:val="fr-FR"/>
        </w:rPr>
        <w:t>Hiep</w:t>
      </w:r>
      <w:proofErr w:type="spellEnd"/>
      <w:r w:rsidRPr="00BF2862">
        <w:rPr>
          <w:sz w:val="24"/>
          <w:szCs w:val="24"/>
          <w:lang w:val="fr-FR"/>
        </w:rPr>
        <w:t xml:space="preserve">, P. C. (2024). </w:t>
      </w:r>
      <w:r w:rsidRPr="00014558">
        <w:rPr>
          <w:sz w:val="24"/>
          <w:szCs w:val="24"/>
        </w:rPr>
        <w:t xml:space="preserve">Leveraging zero knowledge proofs for blockchain-based identity sharing: A survey of advancements, challenges and opportunities. </w:t>
      </w:r>
      <w:r w:rsidRPr="00014558">
        <w:rPr>
          <w:i/>
          <w:sz w:val="24"/>
          <w:szCs w:val="24"/>
        </w:rPr>
        <w:t>Journal of Information Security and Applications</w:t>
      </w:r>
      <w:r w:rsidRPr="00014558">
        <w:rPr>
          <w:sz w:val="24"/>
          <w:szCs w:val="24"/>
        </w:rPr>
        <w:t xml:space="preserve">, </w:t>
      </w:r>
      <w:r w:rsidRPr="00014558">
        <w:rPr>
          <w:i/>
          <w:sz w:val="24"/>
          <w:szCs w:val="24"/>
        </w:rPr>
        <w:t>80</w:t>
      </w:r>
      <w:r w:rsidRPr="00014558">
        <w:rPr>
          <w:sz w:val="24"/>
          <w:szCs w:val="24"/>
        </w:rPr>
        <w:t xml:space="preserve">, 103678–103678. </w:t>
      </w:r>
      <w:hyperlink r:id="rId47">
        <w:r w:rsidRPr="00014558">
          <w:rPr>
            <w:color w:val="1155CC"/>
            <w:sz w:val="24"/>
            <w:szCs w:val="24"/>
            <w:u w:val="single"/>
          </w:rPr>
          <w:t>https://doi.org/10.1016/j.jisa.2023.103678</w:t>
        </w:r>
      </w:hyperlink>
      <w:r w:rsidRPr="00014558">
        <w:rPr>
          <w:sz w:val="24"/>
          <w:szCs w:val="24"/>
        </w:rPr>
        <w:t xml:space="preserve"> </w:t>
      </w:r>
    </w:p>
    <w:p w14:paraId="3227DB57" w14:textId="77777777" w:rsidR="008E345C" w:rsidRPr="00BF2862" w:rsidRDefault="002E488D" w:rsidP="00014558">
      <w:pPr>
        <w:spacing w:after="240"/>
        <w:ind w:left="720" w:hanging="720"/>
        <w:rPr>
          <w:sz w:val="24"/>
          <w:szCs w:val="24"/>
          <w:lang w:val="es-ES"/>
        </w:rPr>
      </w:pPr>
      <w:r w:rsidRPr="00014558">
        <w:rPr>
          <w:sz w:val="24"/>
          <w:szCs w:val="24"/>
        </w:rPr>
        <w:lastRenderedPageBreak/>
        <w:t xml:space="preserve">Dong, S., Abbas, K., Li, M. Y., &amp; Kamruzzaman, J. (2023). Blockchain technology and application: an overview. </w:t>
      </w:r>
      <w:proofErr w:type="spellStart"/>
      <w:r w:rsidRPr="00BF2862">
        <w:rPr>
          <w:i/>
          <w:sz w:val="24"/>
          <w:szCs w:val="24"/>
          <w:lang w:val="es-ES"/>
        </w:rPr>
        <w:t>PeerJ</w:t>
      </w:r>
      <w:proofErr w:type="spellEnd"/>
      <w:r w:rsidRPr="00BF2862">
        <w:rPr>
          <w:sz w:val="24"/>
          <w:szCs w:val="24"/>
          <w:lang w:val="es-ES"/>
        </w:rPr>
        <w:t xml:space="preserve">, </w:t>
      </w:r>
      <w:r w:rsidRPr="00BF2862">
        <w:rPr>
          <w:i/>
          <w:sz w:val="24"/>
          <w:szCs w:val="24"/>
          <w:lang w:val="es-ES"/>
        </w:rPr>
        <w:t>9</w:t>
      </w:r>
      <w:r w:rsidRPr="00BF2862">
        <w:rPr>
          <w:sz w:val="24"/>
          <w:szCs w:val="24"/>
          <w:lang w:val="es-ES"/>
        </w:rPr>
        <w:t xml:space="preserve">(1), e1705–e1705. </w:t>
      </w:r>
      <w:hyperlink r:id="rId48">
        <w:r w:rsidRPr="00BF2862">
          <w:rPr>
            <w:color w:val="1155CC"/>
            <w:sz w:val="24"/>
            <w:szCs w:val="24"/>
            <w:u w:val="single"/>
            <w:lang w:val="es-ES"/>
          </w:rPr>
          <w:t>https://doi.org/10.7717/peerj-cs.1705</w:t>
        </w:r>
      </w:hyperlink>
      <w:r w:rsidRPr="00BF2862">
        <w:rPr>
          <w:sz w:val="24"/>
          <w:szCs w:val="24"/>
          <w:lang w:val="es-ES"/>
        </w:rPr>
        <w:t xml:space="preserve"> </w:t>
      </w:r>
    </w:p>
    <w:p w14:paraId="3E165A8B" w14:textId="77777777" w:rsidR="008E345C" w:rsidRPr="00BF2862" w:rsidRDefault="002E488D" w:rsidP="00014558">
      <w:pPr>
        <w:spacing w:after="240"/>
        <w:ind w:left="720" w:hanging="720"/>
        <w:rPr>
          <w:sz w:val="24"/>
          <w:szCs w:val="24"/>
          <w:lang w:val="fr-FR"/>
        </w:rPr>
      </w:pPr>
      <w:r w:rsidRPr="00BF2862">
        <w:rPr>
          <w:sz w:val="24"/>
          <w:szCs w:val="24"/>
          <w:lang w:val="es-ES"/>
        </w:rPr>
        <w:t xml:space="preserve">dos Santos, R. B., </w:t>
      </w:r>
      <w:proofErr w:type="spellStart"/>
      <w:r w:rsidRPr="00BF2862">
        <w:rPr>
          <w:sz w:val="24"/>
          <w:szCs w:val="24"/>
          <w:lang w:val="es-ES"/>
        </w:rPr>
        <w:t>Torrisi</w:t>
      </w:r>
      <w:proofErr w:type="spellEnd"/>
      <w:r w:rsidRPr="00BF2862">
        <w:rPr>
          <w:sz w:val="24"/>
          <w:szCs w:val="24"/>
          <w:lang w:val="es-ES"/>
        </w:rPr>
        <w:t xml:space="preserve">, N. M., &amp; </w:t>
      </w:r>
      <w:proofErr w:type="spellStart"/>
      <w:r w:rsidRPr="00BF2862">
        <w:rPr>
          <w:sz w:val="24"/>
          <w:szCs w:val="24"/>
          <w:lang w:val="es-ES"/>
        </w:rPr>
        <w:t>Pantoni</w:t>
      </w:r>
      <w:proofErr w:type="spellEnd"/>
      <w:r w:rsidRPr="00BF2862">
        <w:rPr>
          <w:sz w:val="24"/>
          <w:szCs w:val="24"/>
          <w:lang w:val="es-ES"/>
        </w:rPr>
        <w:t xml:space="preserve">, R. P. (2021). </w:t>
      </w:r>
      <w:r w:rsidRPr="00014558">
        <w:rPr>
          <w:sz w:val="24"/>
          <w:szCs w:val="24"/>
        </w:rPr>
        <w:t xml:space="preserve">Third Party Certification of Agri-Food Supply Chain Using Smart Contracts and Blockchain Tokens. </w:t>
      </w:r>
      <w:proofErr w:type="spellStart"/>
      <w:r w:rsidRPr="00BF2862">
        <w:rPr>
          <w:i/>
          <w:sz w:val="24"/>
          <w:szCs w:val="24"/>
          <w:lang w:val="fr-FR"/>
        </w:rPr>
        <w:t>Sensors</w:t>
      </w:r>
      <w:proofErr w:type="spellEnd"/>
      <w:r w:rsidRPr="00BF2862">
        <w:rPr>
          <w:sz w:val="24"/>
          <w:szCs w:val="24"/>
          <w:lang w:val="fr-FR"/>
        </w:rPr>
        <w:t xml:space="preserve">, </w:t>
      </w:r>
      <w:r w:rsidRPr="00BF2862">
        <w:rPr>
          <w:i/>
          <w:sz w:val="24"/>
          <w:szCs w:val="24"/>
          <w:lang w:val="fr-FR"/>
        </w:rPr>
        <w:t>21</w:t>
      </w:r>
      <w:r w:rsidRPr="00BF2862">
        <w:rPr>
          <w:sz w:val="24"/>
          <w:szCs w:val="24"/>
          <w:lang w:val="fr-FR"/>
        </w:rPr>
        <w:t xml:space="preserve">(16), 5307. </w:t>
      </w:r>
      <w:hyperlink r:id="rId49">
        <w:r w:rsidRPr="00BF2862">
          <w:rPr>
            <w:color w:val="1155CC"/>
            <w:sz w:val="24"/>
            <w:szCs w:val="24"/>
            <w:u w:val="single"/>
            <w:lang w:val="fr-FR"/>
          </w:rPr>
          <w:t>https://doi.org/10.3390/s21165307</w:t>
        </w:r>
      </w:hyperlink>
      <w:r w:rsidRPr="00BF2862">
        <w:rPr>
          <w:sz w:val="24"/>
          <w:szCs w:val="24"/>
          <w:lang w:val="fr-FR"/>
        </w:rPr>
        <w:t xml:space="preserve"> </w:t>
      </w:r>
    </w:p>
    <w:p w14:paraId="7A9C5A56" w14:textId="77777777" w:rsidR="008E345C" w:rsidRPr="00014558" w:rsidRDefault="002E488D" w:rsidP="00014558">
      <w:pPr>
        <w:spacing w:after="240"/>
        <w:ind w:left="720" w:hanging="720"/>
        <w:rPr>
          <w:sz w:val="24"/>
          <w:szCs w:val="24"/>
        </w:rPr>
      </w:pPr>
      <w:proofErr w:type="spellStart"/>
      <w:r w:rsidRPr="00BF2862">
        <w:rPr>
          <w:sz w:val="24"/>
          <w:szCs w:val="24"/>
          <w:lang w:val="fr-FR"/>
        </w:rPr>
        <w:t>Doshi</w:t>
      </w:r>
      <w:proofErr w:type="spellEnd"/>
      <w:r w:rsidRPr="00BF2862">
        <w:rPr>
          <w:sz w:val="24"/>
          <w:szCs w:val="24"/>
          <w:lang w:val="fr-FR"/>
        </w:rPr>
        <w:t xml:space="preserve">, S., </w:t>
      </w:r>
      <w:proofErr w:type="spellStart"/>
      <w:r w:rsidRPr="00BF2862">
        <w:rPr>
          <w:sz w:val="24"/>
          <w:szCs w:val="24"/>
          <w:lang w:val="fr-FR"/>
        </w:rPr>
        <w:t>Jangir</w:t>
      </w:r>
      <w:proofErr w:type="spellEnd"/>
      <w:r w:rsidRPr="00BF2862">
        <w:rPr>
          <w:sz w:val="24"/>
          <w:szCs w:val="24"/>
          <w:lang w:val="fr-FR"/>
        </w:rPr>
        <w:t xml:space="preserve">, S., &amp; Gohil, P. (2024). </w:t>
      </w:r>
      <w:r w:rsidRPr="00014558">
        <w:rPr>
          <w:sz w:val="24"/>
          <w:szCs w:val="24"/>
        </w:rPr>
        <w:t xml:space="preserve">Role of Blockchain Technology in Enhancing Supplychain Traceability, Transparency and Efficiency. </w:t>
      </w:r>
      <w:r w:rsidRPr="00014558">
        <w:rPr>
          <w:i/>
          <w:sz w:val="24"/>
          <w:szCs w:val="24"/>
        </w:rPr>
        <w:t>Journal of Experimental Agriculture International</w:t>
      </w:r>
      <w:r w:rsidRPr="00014558">
        <w:rPr>
          <w:sz w:val="24"/>
          <w:szCs w:val="24"/>
        </w:rPr>
        <w:t xml:space="preserve">, </w:t>
      </w:r>
      <w:r w:rsidRPr="00014558">
        <w:rPr>
          <w:i/>
          <w:sz w:val="24"/>
          <w:szCs w:val="24"/>
        </w:rPr>
        <w:t>46</w:t>
      </w:r>
      <w:r w:rsidRPr="00014558">
        <w:rPr>
          <w:sz w:val="24"/>
          <w:szCs w:val="24"/>
        </w:rPr>
        <w:t xml:space="preserve">(5), 636–653. </w:t>
      </w:r>
      <w:hyperlink r:id="rId50">
        <w:r w:rsidRPr="00014558">
          <w:rPr>
            <w:color w:val="1155CC"/>
            <w:sz w:val="24"/>
            <w:szCs w:val="24"/>
            <w:u w:val="single"/>
          </w:rPr>
          <w:t>https://doi.org/10.9734/jeai/2024/v46i52419</w:t>
        </w:r>
      </w:hyperlink>
      <w:r w:rsidRPr="00014558">
        <w:rPr>
          <w:sz w:val="24"/>
          <w:szCs w:val="24"/>
        </w:rPr>
        <w:t xml:space="preserve"> </w:t>
      </w:r>
    </w:p>
    <w:p w14:paraId="5B429F42" w14:textId="77777777" w:rsidR="008E345C" w:rsidRPr="00014558" w:rsidRDefault="002E488D" w:rsidP="00014558">
      <w:pPr>
        <w:spacing w:after="240"/>
        <w:ind w:left="720" w:hanging="720"/>
        <w:rPr>
          <w:sz w:val="24"/>
          <w:szCs w:val="24"/>
        </w:rPr>
      </w:pPr>
      <w:r w:rsidRPr="00014558">
        <w:rPr>
          <w:sz w:val="24"/>
          <w:szCs w:val="24"/>
        </w:rPr>
        <w:t xml:space="preserve">Eswaran, U., Eswaran, V., Eswaran, V., &amp; Murali, K. (2024). Security, Risk Management, and Ethical AI in the Future of DeFi. </w:t>
      </w:r>
      <w:r w:rsidRPr="00014558">
        <w:rPr>
          <w:i/>
          <w:sz w:val="24"/>
          <w:szCs w:val="24"/>
        </w:rPr>
        <w:t>Advances in Finance, Accounting, and Economics</w:t>
      </w:r>
      <w:r w:rsidRPr="00014558">
        <w:rPr>
          <w:sz w:val="24"/>
          <w:szCs w:val="24"/>
        </w:rPr>
        <w:t xml:space="preserve">, 49–90. </w:t>
      </w:r>
      <w:hyperlink r:id="rId51">
        <w:r w:rsidRPr="00014558">
          <w:rPr>
            <w:color w:val="1155CC"/>
            <w:sz w:val="24"/>
            <w:szCs w:val="24"/>
            <w:u w:val="single"/>
          </w:rPr>
          <w:t>https://doi.org/10.4018/979-8-3693-6321-8.ch003</w:t>
        </w:r>
      </w:hyperlink>
      <w:r w:rsidRPr="00014558">
        <w:rPr>
          <w:sz w:val="24"/>
          <w:szCs w:val="24"/>
        </w:rPr>
        <w:t xml:space="preserve"> </w:t>
      </w:r>
    </w:p>
    <w:p w14:paraId="25E4974C" w14:textId="77777777" w:rsidR="008E345C" w:rsidRPr="00014558" w:rsidRDefault="002E488D" w:rsidP="00014558">
      <w:pPr>
        <w:spacing w:after="240"/>
        <w:ind w:left="720" w:hanging="720"/>
        <w:rPr>
          <w:sz w:val="24"/>
          <w:szCs w:val="24"/>
        </w:rPr>
      </w:pPr>
      <w:r w:rsidRPr="00014558">
        <w:rPr>
          <w:sz w:val="24"/>
          <w:szCs w:val="24"/>
        </w:rPr>
        <w:t xml:space="preserve">Fabuyi, J. A., Olaniyi, O. O., Olateju, O. O., Aideyan, N. T., &amp; Olaniyi, F. G. (2024). Deepfake Regulations and Their Impact on Content Creation in the Entertainment Industry. </w:t>
      </w:r>
      <w:r w:rsidRPr="00014558">
        <w:rPr>
          <w:i/>
          <w:sz w:val="24"/>
          <w:szCs w:val="24"/>
        </w:rPr>
        <w:t>Archives of Current Research International</w:t>
      </w:r>
      <w:r w:rsidRPr="00014558">
        <w:rPr>
          <w:sz w:val="24"/>
          <w:szCs w:val="24"/>
        </w:rPr>
        <w:t xml:space="preserve">, </w:t>
      </w:r>
      <w:r w:rsidRPr="00014558">
        <w:rPr>
          <w:i/>
          <w:sz w:val="24"/>
          <w:szCs w:val="24"/>
        </w:rPr>
        <w:t>24</w:t>
      </w:r>
      <w:r w:rsidRPr="00014558">
        <w:rPr>
          <w:sz w:val="24"/>
          <w:szCs w:val="24"/>
        </w:rPr>
        <w:t xml:space="preserve">(12), 52–74. </w:t>
      </w:r>
      <w:hyperlink r:id="rId52">
        <w:r w:rsidRPr="00014558">
          <w:rPr>
            <w:color w:val="1155CC"/>
            <w:sz w:val="24"/>
            <w:szCs w:val="24"/>
            <w:u w:val="single"/>
          </w:rPr>
          <w:t>https://doi.org/10.9734/acri/2024/v24i12997</w:t>
        </w:r>
      </w:hyperlink>
      <w:r w:rsidRPr="00014558">
        <w:rPr>
          <w:sz w:val="24"/>
          <w:szCs w:val="24"/>
        </w:rPr>
        <w:t xml:space="preserve"> </w:t>
      </w:r>
    </w:p>
    <w:p w14:paraId="4D8CFCCD" w14:textId="77777777" w:rsidR="008E345C" w:rsidRPr="00014558" w:rsidRDefault="002E488D" w:rsidP="00014558">
      <w:pPr>
        <w:spacing w:after="240"/>
        <w:ind w:left="720" w:hanging="720"/>
        <w:rPr>
          <w:sz w:val="24"/>
          <w:szCs w:val="24"/>
        </w:rPr>
      </w:pPr>
      <w:r w:rsidRPr="00014558">
        <w:rPr>
          <w:sz w:val="24"/>
          <w:szCs w:val="24"/>
        </w:rPr>
        <w:t xml:space="preserve">Garcia-Teruel, R. M., &amp; Simón-Moreno, H. (2021). The digital tokenization of property rights. A comparative perspective. </w:t>
      </w:r>
      <w:r w:rsidRPr="00014558">
        <w:rPr>
          <w:i/>
          <w:sz w:val="24"/>
          <w:szCs w:val="24"/>
        </w:rPr>
        <w:t>Computer Law &amp; Security Review</w:t>
      </w:r>
      <w:r w:rsidRPr="00014558">
        <w:rPr>
          <w:sz w:val="24"/>
          <w:szCs w:val="24"/>
        </w:rPr>
        <w:t xml:space="preserve">, </w:t>
      </w:r>
      <w:r w:rsidRPr="00014558">
        <w:rPr>
          <w:i/>
          <w:sz w:val="24"/>
          <w:szCs w:val="24"/>
        </w:rPr>
        <w:t>41</w:t>
      </w:r>
      <w:r w:rsidRPr="00014558">
        <w:rPr>
          <w:sz w:val="24"/>
          <w:szCs w:val="24"/>
        </w:rPr>
        <w:t xml:space="preserve">, 105543. </w:t>
      </w:r>
      <w:hyperlink r:id="rId53">
        <w:r w:rsidRPr="00014558">
          <w:rPr>
            <w:color w:val="1155CC"/>
            <w:sz w:val="24"/>
            <w:szCs w:val="24"/>
            <w:u w:val="single"/>
          </w:rPr>
          <w:t>https://doi.org/10.1016/j.clsr.2021.105543</w:t>
        </w:r>
      </w:hyperlink>
      <w:r w:rsidRPr="00014558">
        <w:rPr>
          <w:sz w:val="24"/>
          <w:szCs w:val="24"/>
        </w:rPr>
        <w:t xml:space="preserve"> </w:t>
      </w:r>
    </w:p>
    <w:p w14:paraId="34CB152C" w14:textId="77777777" w:rsidR="008E345C" w:rsidRPr="00014558" w:rsidRDefault="002E488D" w:rsidP="00014558">
      <w:pPr>
        <w:spacing w:after="240"/>
        <w:ind w:left="720" w:hanging="720"/>
        <w:rPr>
          <w:sz w:val="24"/>
          <w:szCs w:val="24"/>
        </w:rPr>
      </w:pPr>
      <w:proofErr w:type="spellStart"/>
      <w:r w:rsidRPr="00BF2862">
        <w:rPr>
          <w:sz w:val="24"/>
          <w:szCs w:val="24"/>
          <w:lang w:val="es-ES"/>
        </w:rPr>
        <w:t>Gbadebo</w:t>
      </w:r>
      <w:proofErr w:type="spellEnd"/>
      <w:r w:rsidRPr="00BF2862">
        <w:rPr>
          <w:sz w:val="24"/>
          <w:szCs w:val="24"/>
          <w:lang w:val="es-ES"/>
        </w:rPr>
        <w:t xml:space="preserve">, M. O., Salako, A. O., </w:t>
      </w:r>
      <w:proofErr w:type="spellStart"/>
      <w:r w:rsidRPr="00BF2862">
        <w:rPr>
          <w:sz w:val="24"/>
          <w:szCs w:val="24"/>
          <w:lang w:val="es-ES"/>
        </w:rPr>
        <w:t>Selesi</w:t>
      </w:r>
      <w:proofErr w:type="spellEnd"/>
      <w:r w:rsidRPr="00BF2862">
        <w:rPr>
          <w:sz w:val="24"/>
          <w:szCs w:val="24"/>
          <w:lang w:val="es-ES"/>
        </w:rPr>
        <w:t xml:space="preserve">-Aina, O., </w:t>
      </w:r>
      <w:proofErr w:type="spellStart"/>
      <w:r w:rsidRPr="00BF2862">
        <w:rPr>
          <w:sz w:val="24"/>
          <w:szCs w:val="24"/>
          <w:lang w:val="es-ES"/>
        </w:rPr>
        <w:t>Ogungbemi</w:t>
      </w:r>
      <w:proofErr w:type="spellEnd"/>
      <w:r w:rsidRPr="00BF2862">
        <w:rPr>
          <w:sz w:val="24"/>
          <w:szCs w:val="24"/>
          <w:lang w:val="es-ES"/>
        </w:rPr>
        <w:t xml:space="preserve">, O. S., Olateju, O. O., &amp; Olaniyi, O. O. (2024). </w:t>
      </w:r>
      <w:r w:rsidRPr="00014558">
        <w:rPr>
          <w:sz w:val="24"/>
          <w:szCs w:val="24"/>
        </w:rPr>
        <w:t xml:space="preserve">Augmenting Data Privacy Protocols and Enacting Regulatory Frameworks for Cryptocurrencies via Advanced Blockchain Methodologies and Artificial Intelligence.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(11), 7–27. </w:t>
      </w:r>
      <w:hyperlink r:id="rId54">
        <w:r w:rsidRPr="00014558">
          <w:rPr>
            <w:color w:val="1155CC"/>
            <w:sz w:val="24"/>
            <w:szCs w:val="24"/>
            <w:u w:val="single"/>
          </w:rPr>
          <w:t>https://doi.org/10.9734/jerr/2024/v26i111311</w:t>
        </w:r>
      </w:hyperlink>
      <w:r w:rsidRPr="00014558">
        <w:rPr>
          <w:sz w:val="24"/>
          <w:szCs w:val="24"/>
        </w:rPr>
        <w:t xml:space="preserve"> </w:t>
      </w:r>
    </w:p>
    <w:p w14:paraId="6DF80482" w14:textId="77777777" w:rsidR="008E345C" w:rsidRPr="00014558" w:rsidRDefault="002E488D" w:rsidP="00014558">
      <w:pPr>
        <w:spacing w:after="240"/>
        <w:ind w:left="720" w:hanging="720"/>
        <w:rPr>
          <w:sz w:val="24"/>
          <w:szCs w:val="24"/>
        </w:rPr>
      </w:pPr>
      <w:proofErr w:type="spellStart"/>
      <w:r w:rsidRPr="00BF2862">
        <w:rPr>
          <w:sz w:val="24"/>
          <w:szCs w:val="24"/>
          <w:lang w:val="fr-FR"/>
        </w:rPr>
        <w:t>Guelida</w:t>
      </w:r>
      <w:proofErr w:type="spellEnd"/>
      <w:r w:rsidRPr="00BF2862">
        <w:rPr>
          <w:sz w:val="24"/>
          <w:szCs w:val="24"/>
          <w:lang w:val="fr-FR"/>
        </w:rPr>
        <w:t xml:space="preserve">, O., Jai </w:t>
      </w:r>
      <w:proofErr w:type="spellStart"/>
      <w:r w:rsidRPr="00BF2862">
        <w:rPr>
          <w:sz w:val="24"/>
          <w:szCs w:val="24"/>
          <w:lang w:val="fr-FR"/>
        </w:rPr>
        <w:t>Andaloussi</w:t>
      </w:r>
      <w:proofErr w:type="spellEnd"/>
      <w:r w:rsidRPr="00BF2862">
        <w:rPr>
          <w:sz w:val="24"/>
          <w:szCs w:val="24"/>
          <w:lang w:val="fr-FR"/>
        </w:rPr>
        <w:t xml:space="preserve">, S., &amp; </w:t>
      </w:r>
      <w:proofErr w:type="spellStart"/>
      <w:r w:rsidRPr="00BF2862">
        <w:rPr>
          <w:sz w:val="24"/>
          <w:szCs w:val="24"/>
          <w:lang w:val="fr-FR"/>
        </w:rPr>
        <w:t>Ouchetto</w:t>
      </w:r>
      <w:proofErr w:type="spellEnd"/>
      <w:r w:rsidRPr="00BF2862">
        <w:rPr>
          <w:sz w:val="24"/>
          <w:szCs w:val="24"/>
          <w:lang w:val="fr-FR"/>
        </w:rPr>
        <w:t xml:space="preserve">, O. (2024). </w:t>
      </w:r>
      <w:r w:rsidRPr="00014558">
        <w:rPr>
          <w:sz w:val="24"/>
          <w:szCs w:val="24"/>
        </w:rPr>
        <w:t xml:space="preserve">Smart Contracts in Finance and Banking Systems in the Era of Industry 5.0: A Systematic Review. </w:t>
      </w:r>
      <w:r w:rsidRPr="00014558">
        <w:rPr>
          <w:i/>
          <w:sz w:val="24"/>
          <w:szCs w:val="24"/>
        </w:rPr>
        <w:t>Studies in Systems, Decision and Control</w:t>
      </w:r>
      <w:r w:rsidRPr="00014558">
        <w:rPr>
          <w:sz w:val="24"/>
          <w:szCs w:val="24"/>
        </w:rPr>
        <w:t xml:space="preserve">, </w:t>
      </w:r>
      <w:r w:rsidRPr="00014558">
        <w:rPr>
          <w:i/>
          <w:sz w:val="24"/>
          <w:szCs w:val="24"/>
        </w:rPr>
        <w:t>565</w:t>
      </w:r>
      <w:r w:rsidRPr="00014558">
        <w:rPr>
          <w:sz w:val="24"/>
          <w:szCs w:val="24"/>
        </w:rPr>
        <w:t xml:space="preserve">, 317–346. </w:t>
      </w:r>
      <w:hyperlink r:id="rId55">
        <w:r w:rsidRPr="00014558">
          <w:rPr>
            <w:color w:val="1155CC"/>
            <w:sz w:val="24"/>
            <w:szCs w:val="24"/>
            <w:u w:val="single"/>
          </w:rPr>
          <w:t>https://doi.org/10.1007/978-3-031-70996-8_16</w:t>
        </w:r>
      </w:hyperlink>
      <w:r w:rsidRPr="00014558">
        <w:rPr>
          <w:sz w:val="24"/>
          <w:szCs w:val="24"/>
        </w:rPr>
        <w:t xml:space="preserve"> </w:t>
      </w:r>
    </w:p>
    <w:p w14:paraId="5ED1F306" w14:textId="77777777" w:rsidR="008E345C" w:rsidRPr="00014558" w:rsidRDefault="002E488D" w:rsidP="00014558">
      <w:pPr>
        <w:spacing w:after="240"/>
        <w:ind w:left="720" w:hanging="720"/>
        <w:rPr>
          <w:sz w:val="24"/>
          <w:szCs w:val="24"/>
        </w:rPr>
      </w:pPr>
      <w:r w:rsidRPr="00014558">
        <w:rPr>
          <w:sz w:val="24"/>
          <w:szCs w:val="24"/>
        </w:rPr>
        <w:t xml:space="preserve">Harvey, C. R., &amp; Rabetti, D. (2024). International business and decentralized finance. </w:t>
      </w:r>
      <w:r w:rsidRPr="00014558">
        <w:rPr>
          <w:i/>
          <w:sz w:val="24"/>
          <w:szCs w:val="24"/>
        </w:rPr>
        <w:t>Journal of International Business Studies</w:t>
      </w:r>
      <w:r w:rsidRPr="00014558">
        <w:rPr>
          <w:sz w:val="24"/>
          <w:szCs w:val="24"/>
        </w:rPr>
        <w:t xml:space="preserve">, </w:t>
      </w:r>
      <w:r w:rsidRPr="00014558">
        <w:rPr>
          <w:i/>
          <w:sz w:val="24"/>
          <w:szCs w:val="24"/>
        </w:rPr>
        <w:t>55</w:t>
      </w:r>
      <w:r w:rsidRPr="00014558">
        <w:rPr>
          <w:sz w:val="24"/>
          <w:szCs w:val="24"/>
        </w:rPr>
        <w:t xml:space="preserve">. </w:t>
      </w:r>
      <w:hyperlink r:id="rId56">
        <w:r w:rsidRPr="00014558">
          <w:rPr>
            <w:color w:val="1155CC"/>
            <w:sz w:val="24"/>
            <w:szCs w:val="24"/>
            <w:u w:val="single"/>
          </w:rPr>
          <w:t>https://doi.org/10.1057/s41267-024-00705-7</w:t>
        </w:r>
      </w:hyperlink>
      <w:r w:rsidRPr="00014558">
        <w:rPr>
          <w:sz w:val="24"/>
          <w:szCs w:val="24"/>
        </w:rPr>
        <w:t xml:space="preserve"> </w:t>
      </w:r>
    </w:p>
    <w:p w14:paraId="37651A80" w14:textId="77777777" w:rsidR="008E345C" w:rsidRPr="00014558" w:rsidRDefault="002E488D" w:rsidP="00014558">
      <w:pPr>
        <w:spacing w:after="240"/>
        <w:ind w:left="720" w:hanging="720"/>
        <w:rPr>
          <w:sz w:val="24"/>
          <w:szCs w:val="24"/>
        </w:rPr>
      </w:pPr>
      <w:r w:rsidRPr="00014558">
        <w:rPr>
          <w:sz w:val="24"/>
          <w:szCs w:val="24"/>
        </w:rPr>
        <w:lastRenderedPageBreak/>
        <w:t xml:space="preserve">Hassan, A., Makhdoom, I., Iqbal, W., Ahmad, A., &amp; Raza, A. (2023). From trust to truth: Advancements in mitigating the Blockchain Oracle problem. </w:t>
      </w:r>
      <w:r w:rsidRPr="00014558">
        <w:rPr>
          <w:i/>
          <w:sz w:val="24"/>
          <w:szCs w:val="24"/>
        </w:rPr>
        <w:t>Journal of Network and Computer Applications</w:t>
      </w:r>
      <w:r w:rsidRPr="00014558">
        <w:rPr>
          <w:sz w:val="24"/>
          <w:szCs w:val="24"/>
        </w:rPr>
        <w:t xml:space="preserve">, </w:t>
      </w:r>
      <w:r w:rsidRPr="00014558">
        <w:rPr>
          <w:i/>
          <w:sz w:val="24"/>
          <w:szCs w:val="24"/>
        </w:rPr>
        <w:t>217</w:t>
      </w:r>
      <w:r w:rsidRPr="00014558">
        <w:rPr>
          <w:sz w:val="24"/>
          <w:szCs w:val="24"/>
        </w:rPr>
        <w:t xml:space="preserve">, 103672. </w:t>
      </w:r>
      <w:hyperlink r:id="rId57">
        <w:r w:rsidRPr="00014558">
          <w:rPr>
            <w:color w:val="1155CC"/>
            <w:sz w:val="24"/>
            <w:szCs w:val="24"/>
            <w:u w:val="single"/>
          </w:rPr>
          <w:t>https://doi.org/10.1016/j.jnca.2023.103672</w:t>
        </w:r>
      </w:hyperlink>
      <w:r w:rsidRPr="00014558">
        <w:rPr>
          <w:sz w:val="24"/>
          <w:szCs w:val="24"/>
        </w:rPr>
        <w:t xml:space="preserve"> </w:t>
      </w:r>
    </w:p>
    <w:p w14:paraId="3CB67ADD" w14:textId="77777777" w:rsidR="008E345C" w:rsidRPr="00014558" w:rsidRDefault="002E488D" w:rsidP="00014558">
      <w:pPr>
        <w:spacing w:after="240"/>
        <w:ind w:left="720" w:hanging="720"/>
        <w:rPr>
          <w:sz w:val="24"/>
          <w:szCs w:val="24"/>
        </w:rPr>
      </w:pPr>
      <w:r w:rsidRPr="00014558">
        <w:rPr>
          <w:sz w:val="24"/>
          <w:szCs w:val="24"/>
        </w:rPr>
        <w:t xml:space="preserve">Iqbal, M., Chiarelli, A., &amp; Matulevičius, R. (2024). Bridging Two Worlds: Framework for Secure Implementation of Blockchain Oracles. </w:t>
      </w:r>
      <w:r w:rsidRPr="00014558">
        <w:rPr>
          <w:i/>
          <w:sz w:val="24"/>
          <w:szCs w:val="24"/>
        </w:rPr>
        <w:t>2024 IEEE International Conference on Software Analysis, Evolution and Reengineering - Companion (SANER-C)</w:t>
      </w:r>
      <w:r w:rsidRPr="00014558">
        <w:rPr>
          <w:sz w:val="24"/>
          <w:szCs w:val="24"/>
        </w:rPr>
        <w:t xml:space="preserve">, 12–22. </w:t>
      </w:r>
      <w:hyperlink r:id="rId58">
        <w:r w:rsidRPr="00014558">
          <w:rPr>
            <w:color w:val="1155CC"/>
            <w:sz w:val="24"/>
            <w:szCs w:val="24"/>
            <w:u w:val="single"/>
          </w:rPr>
          <w:t>https://doi.org/10.1109/saner-c62648.2024.00008</w:t>
        </w:r>
      </w:hyperlink>
      <w:r w:rsidRPr="00014558">
        <w:rPr>
          <w:sz w:val="24"/>
          <w:szCs w:val="24"/>
        </w:rPr>
        <w:t xml:space="preserve"> </w:t>
      </w:r>
    </w:p>
    <w:p w14:paraId="3F944C5F" w14:textId="77777777" w:rsidR="008E345C" w:rsidRPr="00014558" w:rsidRDefault="002E488D" w:rsidP="00014558">
      <w:pPr>
        <w:spacing w:after="240"/>
        <w:ind w:left="720" w:hanging="720"/>
        <w:rPr>
          <w:sz w:val="24"/>
          <w:szCs w:val="24"/>
        </w:rPr>
      </w:pPr>
      <w:r w:rsidRPr="00014558">
        <w:rPr>
          <w:sz w:val="24"/>
          <w:szCs w:val="24"/>
        </w:rPr>
        <w:t xml:space="preserve">Javaid, M., Haleem, A., Singh, R. P., Suman, R., &amp; Khan, S. (2022). A review of Blockchain Technology applications for financial services. </w:t>
      </w:r>
      <w:r w:rsidRPr="00014558">
        <w:rPr>
          <w:i/>
          <w:sz w:val="24"/>
          <w:szCs w:val="24"/>
        </w:rPr>
        <w:t>BenchCouncil Transactions on Benchmarks, Standards and Evaluations</w:t>
      </w:r>
      <w:r w:rsidRPr="00014558">
        <w:rPr>
          <w:sz w:val="24"/>
          <w:szCs w:val="24"/>
        </w:rPr>
        <w:t xml:space="preserve">, </w:t>
      </w:r>
      <w:r w:rsidRPr="00014558">
        <w:rPr>
          <w:i/>
          <w:sz w:val="24"/>
          <w:szCs w:val="24"/>
        </w:rPr>
        <w:t>2</w:t>
      </w:r>
      <w:r w:rsidRPr="00014558">
        <w:rPr>
          <w:sz w:val="24"/>
          <w:szCs w:val="24"/>
        </w:rPr>
        <w:t xml:space="preserve">(3). Sciencedirect. </w:t>
      </w:r>
      <w:hyperlink r:id="rId59">
        <w:r w:rsidRPr="00014558">
          <w:rPr>
            <w:color w:val="1155CC"/>
            <w:sz w:val="24"/>
            <w:szCs w:val="24"/>
            <w:u w:val="single"/>
          </w:rPr>
          <w:t>https://doi.org/10.1016/j.tbench.2022.100073</w:t>
        </w:r>
      </w:hyperlink>
      <w:r w:rsidRPr="00014558">
        <w:rPr>
          <w:sz w:val="24"/>
          <w:szCs w:val="24"/>
        </w:rPr>
        <w:t xml:space="preserve"> </w:t>
      </w:r>
    </w:p>
    <w:p w14:paraId="3742BB6B" w14:textId="77777777" w:rsidR="008E345C" w:rsidRPr="00014558" w:rsidRDefault="002E488D" w:rsidP="00014558">
      <w:pPr>
        <w:spacing w:after="240"/>
        <w:ind w:left="720" w:hanging="720"/>
        <w:rPr>
          <w:sz w:val="24"/>
          <w:szCs w:val="24"/>
        </w:rPr>
      </w:pPr>
      <w:r w:rsidRPr="00014558">
        <w:rPr>
          <w:sz w:val="24"/>
          <w:szCs w:val="24"/>
        </w:rPr>
        <w:t xml:space="preserve">Jejeniwa, T. O., Mhlongo, N. Z., &amp; Jejeniwa, T. O. (2024). AI SOLUTIONS FOR DEVELOPMENTAL ECONOMICS: OPPORTUNITIES AND CHALLENGES IN FINANCIAL INCLUSION AND POVERTY ALLEVIATION. </w:t>
      </w:r>
      <w:r w:rsidRPr="00014558">
        <w:rPr>
          <w:i/>
          <w:sz w:val="24"/>
          <w:szCs w:val="24"/>
        </w:rPr>
        <w:t>International Journal of Advanced Economics</w:t>
      </w:r>
      <w:r w:rsidRPr="00014558">
        <w:rPr>
          <w:sz w:val="24"/>
          <w:szCs w:val="24"/>
        </w:rPr>
        <w:t xml:space="preserve">, </w:t>
      </w:r>
      <w:r w:rsidRPr="00014558">
        <w:rPr>
          <w:i/>
          <w:sz w:val="24"/>
          <w:szCs w:val="24"/>
        </w:rPr>
        <w:t>6</w:t>
      </w:r>
      <w:r w:rsidRPr="00014558">
        <w:rPr>
          <w:sz w:val="24"/>
          <w:szCs w:val="24"/>
        </w:rPr>
        <w:t xml:space="preserve">(4), 108–123. </w:t>
      </w:r>
      <w:hyperlink r:id="rId60">
        <w:r w:rsidRPr="00014558">
          <w:rPr>
            <w:color w:val="1155CC"/>
            <w:sz w:val="24"/>
            <w:szCs w:val="24"/>
            <w:u w:val="single"/>
          </w:rPr>
          <w:t>https://doi.org/10.51594/ijae.v6i4.1073</w:t>
        </w:r>
      </w:hyperlink>
      <w:r w:rsidRPr="00014558">
        <w:rPr>
          <w:sz w:val="24"/>
          <w:szCs w:val="24"/>
        </w:rPr>
        <w:t xml:space="preserve"> </w:t>
      </w:r>
    </w:p>
    <w:p w14:paraId="161CC8B9" w14:textId="77777777" w:rsidR="008E345C" w:rsidRPr="00014558" w:rsidRDefault="002E488D" w:rsidP="00014558">
      <w:pPr>
        <w:spacing w:after="240"/>
        <w:ind w:left="720" w:hanging="720"/>
        <w:rPr>
          <w:sz w:val="24"/>
          <w:szCs w:val="24"/>
        </w:rPr>
      </w:pPr>
      <w:r w:rsidRPr="00014558">
        <w:rPr>
          <w:sz w:val="24"/>
          <w:szCs w:val="24"/>
        </w:rPr>
        <w:t xml:space="preserve">Joeaneke, P. C., Val, O. O., Olaniyi, O. O., Ogungbemi, O. S., Olisa, A. O., &amp; Akinola, O. I. (2024). Protecting Autonomous UAVs from GPS Spoofing and Jamming: A Comparative Analysis of Detection and Mitigation Techniques.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(10), 71–92. </w:t>
      </w:r>
      <w:hyperlink r:id="rId61">
        <w:r w:rsidRPr="00014558">
          <w:rPr>
            <w:color w:val="1155CC"/>
            <w:sz w:val="24"/>
            <w:szCs w:val="24"/>
            <w:u w:val="single"/>
          </w:rPr>
          <w:t>https://doi.org/10.9734/jerr/2024/v26i101291</w:t>
        </w:r>
      </w:hyperlink>
      <w:r w:rsidRPr="00014558">
        <w:rPr>
          <w:sz w:val="24"/>
          <w:szCs w:val="24"/>
        </w:rPr>
        <w:t xml:space="preserve"> </w:t>
      </w:r>
    </w:p>
    <w:p w14:paraId="694D144E" w14:textId="77777777" w:rsidR="008E345C" w:rsidRPr="00014558" w:rsidRDefault="002E488D" w:rsidP="00014558">
      <w:pPr>
        <w:spacing w:after="240"/>
        <w:ind w:left="720" w:hanging="720"/>
        <w:rPr>
          <w:sz w:val="24"/>
          <w:szCs w:val="24"/>
        </w:rPr>
      </w:pPr>
      <w:r w:rsidRPr="00014558">
        <w:rPr>
          <w:sz w:val="24"/>
          <w:szCs w:val="24"/>
        </w:rPr>
        <w:t xml:space="preserve">John-Otumu, A. M., Ikerionwu, C., Olaniyi, O. O., Dokun, O., Eze, U. F., &amp; Nwokonkwo, O. C. (2024). Advancing COVID-19 Prediction with Deep Learning Models: A Review. </w:t>
      </w:r>
      <w:r w:rsidRPr="00014558">
        <w:rPr>
          <w:i/>
          <w:sz w:val="24"/>
          <w:szCs w:val="24"/>
        </w:rPr>
        <w:t>2024 International Conference on Science, Engineering and Business for Driving Sustainable Development Goals (SEB4SDG), Omu-Aran, Nigeria, 2024</w:t>
      </w:r>
      <w:r w:rsidRPr="00014558">
        <w:rPr>
          <w:sz w:val="24"/>
          <w:szCs w:val="24"/>
        </w:rPr>
        <w:t xml:space="preserve">, 1–5. </w:t>
      </w:r>
      <w:hyperlink r:id="rId62">
        <w:r w:rsidRPr="00014558">
          <w:rPr>
            <w:color w:val="1155CC"/>
            <w:sz w:val="24"/>
            <w:szCs w:val="24"/>
            <w:u w:val="single"/>
          </w:rPr>
          <w:t>https://doi.org/10.1109/seb4sdg60871.2024.10630186</w:t>
        </w:r>
      </w:hyperlink>
      <w:r w:rsidRPr="00014558">
        <w:rPr>
          <w:sz w:val="24"/>
          <w:szCs w:val="24"/>
        </w:rPr>
        <w:t xml:space="preserve"> </w:t>
      </w:r>
    </w:p>
    <w:p w14:paraId="4D10EFE4" w14:textId="77777777" w:rsidR="008E345C" w:rsidRPr="00014558" w:rsidRDefault="002E488D" w:rsidP="00014558">
      <w:pPr>
        <w:spacing w:after="240"/>
        <w:ind w:left="720" w:hanging="720"/>
        <w:rPr>
          <w:sz w:val="24"/>
          <w:szCs w:val="24"/>
        </w:rPr>
      </w:pPr>
      <w:r w:rsidRPr="00014558">
        <w:rPr>
          <w:sz w:val="24"/>
          <w:szCs w:val="24"/>
        </w:rPr>
        <w:t xml:space="preserve">Joseph, S. A. (2024). Balancing Data Privacy and Compliance in Blockchain-Based Financial Systems.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(9), 169–189. </w:t>
      </w:r>
      <w:hyperlink r:id="rId63">
        <w:r w:rsidRPr="00014558">
          <w:rPr>
            <w:color w:val="1155CC"/>
            <w:sz w:val="24"/>
            <w:szCs w:val="24"/>
            <w:u w:val="single"/>
          </w:rPr>
          <w:t>https://doi.org/10.9734/jerr/2024/v26i91271</w:t>
        </w:r>
      </w:hyperlink>
      <w:r w:rsidRPr="00014558">
        <w:rPr>
          <w:sz w:val="24"/>
          <w:szCs w:val="24"/>
        </w:rPr>
        <w:t xml:space="preserve"> </w:t>
      </w:r>
    </w:p>
    <w:p w14:paraId="1DCFEBD3" w14:textId="77777777" w:rsidR="008E345C" w:rsidRPr="00014558" w:rsidRDefault="002E488D" w:rsidP="00014558">
      <w:pPr>
        <w:spacing w:after="240"/>
        <w:ind w:left="720" w:hanging="720"/>
        <w:rPr>
          <w:sz w:val="24"/>
          <w:szCs w:val="24"/>
        </w:rPr>
      </w:pPr>
      <w:r w:rsidRPr="00014558">
        <w:rPr>
          <w:sz w:val="24"/>
          <w:szCs w:val="24"/>
        </w:rPr>
        <w:t xml:space="preserve">Joshi, R. (2024). </w:t>
      </w:r>
      <w:r w:rsidRPr="00014558">
        <w:rPr>
          <w:i/>
          <w:sz w:val="24"/>
          <w:szCs w:val="24"/>
        </w:rPr>
        <w:t>Blockchain in Agriculture: Use Cases, Challenges and Solutions</w:t>
      </w:r>
      <w:r w:rsidRPr="00014558">
        <w:rPr>
          <w:sz w:val="24"/>
          <w:szCs w:val="24"/>
        </w:rPr>
        <w:t xml:space="preserve">. A3Logics. </w:t>
      </w:r>
      <w:hyperlink r:id="rId64">
        <w:r w:rsidRPr="00014558">
          <w:rPr>
            <w:color w:val="1155CC"/>
            <w:sz w:val="24"/>
            <w:szCs w:val="24"/>
            <w:u w:val="single"/>
          </w:rPr>
          <w:t>https://www.a3logics.com/blog/blockchain-in-agriculture/</w:t>
        </w:r>
      </w:hyperlink>
      <w:r w:rsidRPr="00014558">
        <w:rPr>
          <w:sz w:val="24"/>
          <w:szCs w:val="24"/>
        </w:rPr>
        <w:t xml:space="preserve"> </w:t>
      </w:r>
    </w:p>
    <w:p w14:paraId="4C96CA01" w14:textId="77777777" w:rsidR="008E345C" w:rsidRPr="00014558" w:rsidRDefault="002E488D" w:rsidP="00014558">
      <w:pPr>
        <w:spacing w:after="240"/>
        <w:ind w:left="720" w:hanging="720"/>
        <w:rPr>
          <w:sz w:val="24"/>
          <w:szCs w:val="24"/>
        </w:rPr>
      </w:pPr>
      <w:r w:rsidRPr="00014558">
        <w:rPr>
          <w:sz w:val="24"/>
          <w:szCs w:val="24"/>
        </w:rPr>
        <w:t xml:space="preserve">Kanna, P. R., &amp; Santhi, P. (2024). Exploring the landscape of network security: a comparative analysis of attack detection strategies. </w:t>
      </w:r>
      <w:r w:rsidRPr="00014558">
        <w:rPr>
          <w:i/>
          <w:sz w:val="24"/>
          <w:szCs w:val="24"/>
        </w:rPr>
        <w:t xml:space="preserve">Journal of Ambient </w:t>
      </w:r>
      <w:r w:rsidRPr="00014558">
        <w:rPr>
          <w:i/>
          <w:sz w:val="24"/>
          <w:szCs w:val="24"/>
        </w:rPr>
        <w:lastRenderedPageBreak/>
        <w:t>Intelligence &amp; Humanized Computing/Journal of Ambient Intelligence and Humanized Computing</w:t>
      </w:r>
      <w:r w:rsidRPr="00014558">
        <w:rPr>
          <w:sz w:val="24"/>
          <w:szCs w:val="24"/>
        </w:rPr>
        <w:t xml:space="preserve">, </w:t>
      </w:r>
      <w:r w:rsidRPr="00014558">
        <w:rPr>
          <w:i/>
          <w:sz w:val="24"/>
          <w:szCs w:val="24"/>
        </w:rPr>
        <w:t>15</w:t>
      </w:r>
      <w:r w:rsidRPr="00014558">
        <w:rPr>
          <w:sz w:val="24"/>
          <w:szCs w:val="24"/>
        </w:rPr>
        <w:t xml:space="preserve">. </w:t>
      </w:r>
      <w:hyperlink r:id="rId65">
        <w:r w:rsidRPr="00014558">
          <w:rPr>
            <w:color w:val="1155CC"/>
            <w:sz w:val="24"/>
            <w:szCs w:val="24"/>
            <w:u w:val="single"/>
          </w:rPr>
          <w:t>https://doi.org/10.1007/s12652-024-04794-y</w:t>
        </w:r>
      </w:hyperlink>
      <w:r w:rsidRPr="00014558">
        <w:rPr>
          <w:sz w:val="24"/>
          <w:szCs w:val="24"/>
        </w:rPr>
        <w:t xml:space="preserve"> </w:t>
      </w:r>
    </w:p>
    <w:p w14:paraId="4FD065B9" w14:textId="77777777" w:rsidR="008E345C" w:rsidRPr="00014558" w:rsidRDefault="002E488D" w:rsidP="00014558">
      <w:pPr>
        <w:spacing w:after="240"/>
        <w:ind w:left="720" w:hanging="720"/>
        <w:rPr>
          <w:sz w:val="24"/>
          <w:szCs w:val="24"/>
        </w:rPr>
      </w:pPr>
      <w:r w:rsidRPr="00014558">
        <w:rPr>
          <w:sz w:val="24"/>
          <w:szCs w:val="24"/>
        </w:rPr>
        <w:t xml:space="preserve">Kaur, G., Lashkari, A. H., Sharafaldin, I., &amp; Lashkari, Z. H. (2023). Smart Contracts and DeFi Security and Threats. </w:t>
      </w:r>
      <w:r w:rsidRPr="00014558">
        <w:rPr>
          <w:i/>
          <w:sz w:val="24"/>
          <w:szCs w:val="24"/>
        </w:rPr>
        <w:t>Springer EBooks</w:t>
      </w:r>
      <w:r w:rsidRPr="00014558">
        <w:rPr>
          <w:sz w:val="24"/>
          <w:szCs w:val="24"/>
        </w:rPr>
        <w:t xml:space="preserve">, 91–111. </w:t>
      </w:r>
      <w:hyperlink r:id="rId66">
        <w:r w:rsidRPr="00014558">
          <w:rPr>
            <w:color w:val="1155CC"/>
            <w:sz w:val="24"/>
            <w:szCs w:val="24"/>
            <w:u w:val="single"/>
          </w:rPr>
          <w:t>https://doi.org/10.1007/978-3-031-23340-1_5</w:t>
        </w:r>
      </w:hyperlink>
      <w:r w:rsidRPr="00014558">
        <w:rPr>
          <w:sz w:val="24"/>
          <w:szCs w:val="24"/>
        </w:rPr>
        <w:t xml:space="preserve"> </w:t>
      </w:r>
    </w:p>
    <w:p w14:paraId="08DB507D" w14:textId="77777777" w:rsidR="008E345C" w:rsidRPr="00014558" w:rsidRDefault="002E488D" w:rsidP="00014558">
      <w:pPr>
        <w:spacing w:after="240"/>
        <w:ind w:left="720" w:hanging="720"/>
        <w:rPr>
          <w:sz w:val="24"/>
          <w:szCs w:val="24"/>
        </w:rPr>
      </w:pPr>
      <w:r w:rsidRPr="00014558">
        <w:rPr>
          <w:sz w:val="24"/>
          <w:szCs w:val="24"/>
        </w:rPr>
        <w:t xml:space="preserve">Khan, R. A., Khan, S. U., Khan, H. U., &amp; Ilyas, M. (2022). Systematic Literature Review on Security Risks and its Practices in Secure Software Development. </w:t>
      </w:r>
      <w:r w:rsidRPr="00014558">
        <w:rPr>
          <w:i/>
          <w:sz w:val="24"/>
          <w:szCs w:val="24"/>
        </w:rPr>
        <w:t>IEEE Access</w:t>
      </w:r>
      <w:r w:rsidRPr="00014558">
        <w:rPr>
          <w:sz w:val="24"/>
          <w:szCs w:val="24"/>
        </w:rPr>
        <w:t xml:space="preserve">, </w:t>
      </w:r>
      <w:r w:rsidRPr="00014558">
        <w:rPr>
          <w:i/>
          <w:sz w:val="24"/>
          <w:szCs w:val="24"/>
        </w:rPr>
        <w:t>10</w:t>
      </w:r>
      <w:r w:rsidRPr="00014558">
        <w:rPr>
          <w:sz w:val="24"/>
          <w:szCs w:val="24"/>
        </w:rPr>
        <w:t xml:space="preserve">, 5456–5481. </w:t>
      </w:r>
      <w:hyperlink r:id="rId67">
        <w:r w:rsidRPr="00014558">
          <w:rPr>
            <w:color w:val="1155CC"/>
            <w:sz w:val="24"/>
            <w:szCs w:val="24"/>
            <w:u w:val="single"/>
          </w:rPr>
          <w:t>https://doi.org/10.1109/access.2022.3140181</w:t>
        </w:r>
      </w:hyperlink>
      <w:r w:rsidRPr="00014558">
        <w:rPr>
          <w:sz w:val="24"/>
          <w:szCs w:val="24"/>
        </w:rPr>
        <w:t xml:space="preserve"> </w:t>
      </w:r>
    </w:p>
    <w:p w14:paraId="60AB7C90" w14:textId="77777777" w:rsidR="008E345C" w:rsidRPr="00014558" w:rsidRDefault="002E488D" w:rsidP="00014558">
      <w:pPr>
        <w:spacing w:after="240"/>
        <w:ind w:left="720" w:hanging="720"/>
        <w:rPr>
          <w:sz w:val="24"/>
          <w:szCs w:val="24"/>
        </w:rPr>
      </w:pPr>
      <w:r w:rsidRPr="00014558">
        <w:rPr>
          <w:sz w:val="24"/>
          <w:szCs w:val="24"/>
        </w:rPr>
        <w:t xml:space="preserve">Khanna, A. (2024). Introduction to Cybersecurity. </w:t>
      </w:r>
      <w:r w:rsidRPr="00014558">
        <w:rPr>
          <w:i/>
          <w:sz w:val="24"/>
          <w:szCs w:val="24"/>
        </w:rPr>
        <w:t>Securing an Enterprise</w:t>
      </w:r>
      <w:r w:rsidRPr="00014558">
        <w:rPr>
          <w:sz w:val="24"/>
          <w:szCs w:val="24"/>
        </w:rPr>
        <w:t xml:space="preserve">, 3–18. </w:t>
      </w:r>
      <w:hyperlink r:id="rId68">
        <w:r w:rsidRPr="00014558">
          <w:rPr>
            <w:color w:val="1155CC"/>
            <w:sz w:val="24"/>
            <w:szCs w:val="24"/>
            <w:u w:val="single"/>
          </w:rPr>
          <w:t>https://doi.org/10.1007/979-8-8688-1029-9_1</w:t>
        </w:r>
      </w:hyperlink>
      <w:r w:rsidRPr="00014558">
        <w:rPr>
          <w:sz w:val="24"/>
          <w:szCs w:val="24"/>
        </w:rPr>
        <w:t xml:space="preserve"> </w:t>
      </w:r>
    </w:p>
    <w:p w14:paraId="2DD68026" w14:textId="77777777" w:rsidR="008E345C" w:rsidRPr="00014558" w:rsidRDefault="002E488D" w:rsidP="00014558">
      <w:pPr>
        <w:spacing w:after="240"/>
        <w:ind w:left="720" w:hanging="720"/>
        <w:rPr>
          <w:sz w:val="24"/>
          <w:szCs w:val="24"/>
        </w:rPr>
      </w:pPr>
      <w:r w:rsidRPr="00014558">
        <w:rPr>
          <w:sz w:val="24"/>
          <w:szCs w:val="24"/>
        </w:rPr>
        <w:t xml:space="preserve">Kolade, T. M., Aideyan, N. T., Oyekunle, S. M., Ogungbemi, O. S., &amp; Olaniyi, O. O. (2024). Artificial Intelligence and Information Governance: Strengthening Global Security, through Compliance Frameworks, and Data Security.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(12), 36–57. </w:t>
      </w:r>
      <w:hyperlink r:id="rId69">
        <w:r w:rsidRPr="00014558">
          <w:rPr>
            <w:color w:val="1155CC"/>
            <w:sz w:val="24"/>
            <w:szCs w:val="24"/>
            <w:u w:val="single"/>
          </w:rPr>
          <w:t>https://doi.org/10.9734/ajrcos/2024/v17i12528</w:t>
        </w:r>
      </w:hyperlink>
      <w:r w:rsidRPr="00014558">
        <w:rPr>
          <w:sz w:val="24"/>
          <w:szCs w:val="24"/>
        </w:rPr>
        <w:t xml:space="preserve"> </w:t>
      </w:r>
    </w:p>
    <w:p w14:paraId="18FEF17F" w14:textId="77777777" w:rsidR="008E345C" w:rsidRPr="00014558" w:rsidRDefault="002E488D" w:rsidP="00014558">
      <w:pPr>
        <w:spacing w:after="240"/>
        <w:ind w:left="720" w:hanging="720"/>
        <w:rPr>
          <w:sz w:val="24"/>
          <w:szCs w:val="24"/>
        </w:rPr>
      </w:pPr>
      <w:proofErr w:type="spellStart"/>
      <w:r w:rsidRPr="00BF2862">
        <w:rPr>
          <w:sz w:val="24"/>
          <w:szCs w:val="24"/>
          <w:lang w:val="es-ES"/>
        </w:rPr>
        <w:t>Kolade</w:t>
      </w:r>
      <w:proofErr w:type="spellEnd"/>
      <w:r w:rsidRPr="00BF2862">
        <w:rPr>
          <w:sz w:val="24"/>
          <w:szCs w:val="24"/>
          <w:lang w:val="es-ES"/>
        </w:rPr>
        <w:t xml:space="preserve">, T. M., </w:t>
      </w:r>
      <w:proofErr w:type="spellStart"/>
      <w:r w:rsidRPr="00BF2862">
        <w:rPr>
          <w:sz w:val="24"/>
          <w:szCs w:val="24"/>
          <w:lang w:val="es-ES"/>
        </w:rPr>
        <w:t>Obioha</w:t>
      </w:r>
      <w:proofErr w:type="spellEnd"/>
      <w:r w:rsidRPr="00BF2862">
        <w:rPr>
          <w:sz w:val="24"/>
          <w:szCs w:val="24"/>
          <w:lang w:val="es-ES"/>
        </w:rPr>
        <w:t xml:space="preserve">-Val, O. A., </w:t>
      </w:r>
      <w:proofErr w:type="spellStart"/>
      <w:r w:rsidRPr="00BF2862">
        <w:rPr>
          <w:sz w:val="24"/>
          <w:szCs w:val="24"/>
          <w:lang w:val="es-ES"/>
        </w:rPr>
        <w:t>Balogun</w:t>
      </w:r>
      <w:proofErr w:type="spellEnd"/>
      <w:r w:rsidRPr="00BF2862">
        <w:rPr>
          <w:sz w:val="24"/>
          <w:szCs w:val="24"/>
          <w:lang w:val="es-ES"/>
        </w:rPr>
        <w:t xml:space="preserve">, A. Y., </w:t>
      </w:r>
      <w:proofErr w:type="spellStart"/>
      <w:r w:rsidRPr="00BF2862">
        <w:rPr>
          <w:sz w:val="24"/>
          <w:szCs w:val="24"/>
          <w:lang w:val="es-ES"/>
        </w:rPr>
        <w:t>Gbadebo</w:t>
      </w:r>
      <w:proofErr w:type="spellEnd"/>
      <w:r w:rsidRPr="00BF2862">
        <w:rPr>
          <w:sz w:val="24"/>
          <w:szCs w:val="24"/>
          <w:lang w:val="es-ES"/>
        </w:rPr>
        <w:t xml:space="preserve">, M. O., &amp; Olaniyi, O. O. (2025). </w:t>
      </w:r>
      <w:r w:rsidRPr="00014558">
        <w:rPr>
          <w:sz w:val="24"/>
          <w:szCs w:val="24"/>
        </w:rPr>
        <w:t xml:space="preserve">AI-Driven Open Source Intelligence in Cyber Defense: A Double-edged Sword for National Security. </w:t>
      </w:r>
      <w:r w:rsidRPr="00014558">
        <w:rPr>
          <w:i/>
          <w:sz w:val="24"/>
          <w:szCs w:val="24"/>
        </w:rPr>
        <w:t>Asian Journal of Research in Computer Science</w:t>
      </w:r>
      <w:r w:rsidRPr="00014558">
        <w:rPr>
          <w:sz w:val="24"/>
          <w:szCs w:val="24"/>
        </w:rPr>
        <w:t xml:space="preserve">, </w:t>
      </w:r>
      <w:r w:rsidRPr="00014558">
        <w:rPr>
          <w:i/>
          <w:sz w:val="24"/>
          <w:szCs w:val="24"/>
        </w:rPr>
        <w:t>18</w:t>
      </w:r>
      <w:r w:rsidRPr="00014558">
        <w:rPr>
          <w:sz w:val="24"/>
          <w:szCs w:val="24"/>
        </w:rPr>
        <w:t xml:space="preserve">(1), 133–153. </w:t>
      </w:r>
      <w:hyperlink r:id="rId70">
        <w:r w:rsidRPr="00014558">
          <w:rPr>
            <w:color w:val="1155CC"/>
            <w:sz w:val="24"/>
            <w:szCs w:val="24"/>
            <w:u w:val="single"/>
          </w:rPr>
          <w:t>https://doi.org/10.9734/ajrcos/2025/v18i1554</w:t>
        </w:r>
      </w:hyperlink>
      <w:r w:rsidRPr="00014558">
        <w:rPr>
          <w:sz w:val="24"/>
          <w:szCs w:val="24"/>
        </w:rPr>
        <w:t xml:space="preserve"> </w:t>
      </w:r>
    </w:p>
    <w:p w14:paraId="078357C0" w14:textId="77777777" w:rsidR="008E345C" w:rsidRPr="00014558" w:rsidRDefault="002E488D" w:rsidP="00014558">
      <w:pPr>
        <w:spacing w:after="240"/>
        <w:ind w:left="720" w:hanging="720"/>
        <w:rPr>
          <w:sz w:val="24"/>
          <w:szCs w:val="24"/>
        </w:rPr>
      </w:pPr>
      <w:r w:rsidRPr="00014558">
        <w:rPr>
          <w:sz w:val="24"/>
          <w:szCs w:val="24"/>
        </w:rPr>
        <w:t xml:space="preserve">Kourtis, M.-A., Batistatos, M., Xylouris, G., Oikonomakis, A., Santorinaios, D., Zarakovitis, C., &amp; Chochliouros, I. (2023). Energy Efficiency in Agriculture through Tokenization of 5G and Edge Applications. </w:t>
      </w:r>
      <w:r w:rsidRPr="00014558">
        <w:rPr>
          <w:i/>
          <w:sz w:val="24"/>
          <w:szCs w:val="24"/>
        </w:rPr>
        <w:t>Energies</w:t>
      </w:r>
      <w:r w:rsidRPr="00014558">
        <w:rPr>
          <w:sz w:val="24"/>
          <w:szCs w:val="24"/>
        </w:rPr>
        <w:t xml:space="preserve">, </w:t>
      </w:r>
      <w:r w:rsidRPr="00014558">
        <w:rPr>
          <w:i/>
          <w:sz w:val="24"/>
          <w:szCs w:val="24"/>
        </w:rPr>
        <w:t>16</w:t>
      </w:r>
      <w:r w:rsidRPr="00014558">
        <w:rPr>
          <w:sz w:val="24"/>
          <w:szCs w:val="24"/>
        </w:rPr>
        <w:t xml:space="preserve">(13), 5182–5182. </w:t>
      </w:r>
      <w:hyperlink r:id="rId71">
        <w:r w:rsidRPr="00014558">
          <w:rPr>
            <w:color w:val="1155CC"/>
            <w:sz w:val="24"/>
            <w:szCs w:val="24"/>
            <w:u w:val="single"/>
          </w:rPr>
          <w:t>https://doi.org/10.3390/en16135182</w:t>
        </w:r>
      </w:hyperlink>
      <w:r w:rsidRPr="00014558">
        <w:rPr>
          <w:sz w:val="24"/>
          <w:szCs w:val="24"/>
        </w:rPr>
        <w:t xml:space="preserve"> </w:t>
      </w:r>
    </w:p>
    <w:p w14:paraId="54CA2695" w14:textId="77777777" w:rsidR="008E345C" w:rsidRPr="00BF2862" w:rsidRDefault="002E488D" w:rsidP="00014558">
      <w:pPr>
        <w:spacing w:after="240"/>
        <w:ind w:left="720" w:hanging="720"/>
        <w:rPr>
          <w:sz w:val="24"/>
          <w:szCs w:val="24"/>
          <w:lang w:val="fr-FR"/>
        </w:rPr>
      </w:pPr>
      <w:r w:rsidRPr="00014558">
        <w:rPr>
          <w:sz w:val="24"/>
          <w:szCs w:val="24"/>
        </w:rPr>
        <w:t xml:space="preserve">Lecomte, T. (2018). </w:t>
      </w:r>
      <w:r w:rsidRPr="00014558">
        <w:rPr>
          <w:i/>
          <w:sz w:val="24"/>
          <w:szCs w:val="24"/>
        </w:rPr>
        <w:t xml:space="preserve">TREE </w:t>
      </w:r>
      <w:proofErr w:type="gramStart"/>
      <w:r w:rsidRPr="00014558">
        <w:rPr>
          <w:i/>
          <w:sz w:val="24"/>
          <w:szCs w:val="24"/>
        </w:rPr>
        <w:t>Token :</w:t>
      </w:r>
      <w:proofErr w:type="gramEnd"/>
      <w:r w:rsidRPr="00014558">
        <w:rPr>
          <w:i/>
          <w:sz w:val="24"/>
          <w:szCs w:val="24"/>
        </w:rPr>
        <w:t xml:space="preserve"> A crypto-impact fund for forestry &amp; climate</w:t>
      </w:r>
      <w:r w:rsidRPr="00014558">
        <w:rPr>
          <w:sz w:val="24"/>
          <w:szCs w:val="24"/>
        </w:rPr>
        <w:t xml:space="preserve">. </w:t>
      </w:r>
      <w:r w:rsidRPr="00BF2862">
        <w:rPr>
          <w:sz w:val="24"/>
          <w:szCs w:val="24"/>
          <w:lang w:val="fr-FR"/>
        </w:rPr>
        <w:t xml:space="preserve">Mit.edu. </w:t>
      </w:r>
      <w:hyperlink r:id="rId72">
        <w:r w:rsidRPr="00BF2862">
          <w:rPr>
            <w:color w:val="1155CC"/>
            <w:sz w:val="24"/>
            <w:szCs w:val="24"/>
            <w:u w:val="single"/>
            <w:lang w:val="fr-FR"/>
          </w:rPr>
          <w:t>https://solve.mit.edu/solutions/3002</w:t>
        </w:r>
      </w:hyperlink>
      <w:r w:rsidRPr="00BF2862">
        <w:rPr>
          <w:sz w:val="24"/>
          <w:szCs w:val="24"/>
          <w:lang w:val="fr-FR"/>
        </w:rPr>
        <w:t xml:space="preserve"> </w:t>
      </w:r>
    </w:p>
    <w:p w14:paraId="6A37070E" w14:textId="77777777" w:rsidR="008E345C" w:rsidRPr="00014558" w:rsidRDefault="002E488D" w:rsidP="00014558">
      <w:pPr>
        <w:spacing w:after="240"/>
        <w:ind w:left="720" w:hanging="720"/>
        <w:rPr>
          <w:sz w:val="24"/>
          <w:szCs w:val="24"/>
        </w:rPr>
      </w:pPr>
      <w:r w:rsidRPr="00BF2862">
        <w:rPr>
          <w:sz w:val="24"/>
          <w:szCs w:val="24"/>
          <w:lang w:val="fr-FR"/>
        </w:rPr>
        <w:t xml:space="preserve">Liang, C., &amp; Shah, T. (2023). </w:t>
      </w:r>
      <w:r w:rsidRPr="00014558">
        <w:rPr>
          <w:sz w:val="24"/>
          <w:szCs w:val="24"/>
        </w:rPr>
        <w:t xml:space="preserve">IoT in Agriculture: The Future of Precision Monitoring and Data-Driven Farming. </w:t>
      </w:r>
      <w:r w:rsidRPr="00014558">
        <w:rPr>
          <w:i/>
          <w:sz w:val="24"/>
          <w:szCs w:val="24"/>
        </w:rPr>
        <w:t>Eigenpub Review of Science and Technology</w:t>
      </w:r>
      <w:r w:rsidRPr="00014558">
        <w:rPr>
          <w:sz w:val="24"/>
          <w:szCs w:val="24"/>
        </w:rPr>
        <w:t xml:space="preserve">, </w:t>
      </w:r>
      <w:r w:rsidRPr="00014558">
        <w:rPr>
          <w:i/>
          <w:sz w:val="24"/>
          <w:szCs w:val="24"/>
        </w:rPr>
        <w:t>7</w:t>
      </w:r>
      <w:r w:rsidRPr="00014558">
        <w:rPr>
          <w:sz w:val="24"/>
          <w:szCs w:val="24"/>
        </w:rPr>
        <w:t xml:space="preserve">(1), 85–104. </w:t>
      </w:r>
      <w:hyperlink r:id="rId73">
        <w:r w:rsidRPr="00014558">
          <w:rPr>
            <w:color w:val="1155CC"/>
            <w:sz w:val="24"/>
            <w:szCs w:val="24"/>
            <w:u w:val="single"/>
          </w:rPr>
          <w:t>https://studies.eigenpub.com/index.php/erst/article/view/11</w:t>
        </w:r>
      </w:hyperlink>
      <w:r w:rsidRPr="00014558">
        <w:rPr>
          <w:sz w:val="24"/>
          <w:szCs w:val="24"/>
        </w:rPr>
        <w:t xml:space="preserve"> </w:t>
      </w:r>
    </w:p>
    <w:p w14:paraId="5C1697A0" w14:textId="77777777" w:rsidR="008E345C" w:rsidRPr="00014558" w:rsidRDefault="002E488D" w:rsidP="00014558">
      <w:pPr>
        <w:spacing w:after="240"/>
        <w:ind w:left="720" w:hanging="720"/>
        <w:rPr>
          <w:sz w:val="24"/>
          <w:szCs w:val="24"/>
        </w:rPr>
      </w:pPr>
      <w:r w:rsidRPr="00014558">
        <w:rPr>
          <w:sz w:val="24"/>
          <w:szCs w:val="24"/>
        </w:rPr>
        <w:t xml:space="preserve">Liu, Y., He, J., Li, X., Chen, J., Liu, X., Peng, S., Cao, H., &amp; Wang, Y. (2024). An overview of blockchain smart contract execution mechanism. </w:t>
      </w:r>
      <w:r w:rsidRPr="00014558">
        <w:rPr>
          <w:i/>
          <w:sz w:val="24"/>
          <w:szCs w:val="24"/>
        </w:rPr>
        <w:t>Journal of Industrial Information Integration</w:t>
      </w:r>
      <w:r w:rsidRPr="00014558">
        <w:rPr>
          <w:sz w:val="24"/>
          <w:szCs w:val="24"/>
        </w:rPr>
        <w:t xml:space="preserve">, </w:t>
      </w:r>
      <w:r w:rsidRPr="00014558">
        <w:rPr>
          <w:i/>
          <w:sz w:val="24"/>
          <w:szCs w:val="24"/>
        </w:rPr>
        <w:t>41</w:t>
      </w:r>
      <w:r w:rsidRPr="00014558">
        <w:rPr>
          <w:sz w:val="24"/>
          <w:szCs w:val="24"/>
        </w:rPr>
        <w:t xml:space="preserve">, 100674–100674. </w:t>
      </w:r>
      <w:hyperlink r:id="rId74">
        <w:r w:rsidRPr="00014558">
          <w:rPr>
            <w:color w:val="1155CC"/>
            <w:sz w:val="24"/>
            <w:szCs w:val="24"/>
            <w:u w:val="single"/>
          </w:rPr>
          <w:t>https://doi.org/10.1016/j.jii.2024.100674</w:t>
        </w:r>
      </w:hyperlink>
      <w:r w:rsidRPr="00014558">
        <w:rPr>
          <w:sz w:val="24"/>
          <w:szCs w:val="24"/>
        </w:rPr>
        <w:t xml:space="preserve"> </w:t>
      </w:r>
    </w:p>
    <w:p w14:paraId="69C3B269" w14:textId="77777777" w:rsidR="008E345C" w:rsidRPr="00014558" w:rsidRDefault="002E488D" w:rsidP="00014558">
      <w:pPr>
        <w:spacing w:after="240"/>
        <w:ind w:left="720" w:hanging="720"/>
        <w:rPr>
          <w:sz w:val="24"/>
          <w:szCs w:val="24"/>
        </w:rPr>
      </w:pPr>
      <w:r w:rsidRPr="00014558">
        <w:rPr>
          <w:sz w:val="24"/>
          <w:szCs w:val="24"/>
        </w:rPr>
        <w:lastRenderedPageBreak/>
        <w:t xml:space="preserve">Malik, J. A., Hussain, A., Shah, H., Saleem, M., Alsanoosy, T., &amp; Usman. (2024). Optimizing Agricultural Risk Management with Hybrid Block-Chain and Fog Computing Architectures for Secure and Efficient Data Handling. </w:t>
      </w:r>
      <w:r w:rsidRPr="00014558">
        <w:rPr>
          <w:i/>
          <w:sz w:val="24"/>
          <w:szCs w:val="24"/>
        </w:rPr>
        <w:t>Studies in Computational Intelligence</w:t>
      </w:r>
      <w:r w:rsidRPr="00014558">
        <w:rPr>
          <w:sz w:val="24"/>
          <w:szCs w:val="24"/>
        </w:rPr>
        <w:t xml:space="preserve">, </w:t>
      </w:r>
      <w:r w:rsidRPr="00014558">
        <w:rPr>
          <w:i/>
          <w:sz w:val="24"/>
          <w:szCs w:val="24"/>
        </w:rPr>
        <w:t>1170</w:t>
      </w:r>
      <w:r w:rsidRPr="00014558">
        <w:rPr>
          <w:sz w:val="24"/>
          <w:szCs w:val="24"/>
        </w:rPr>
        <w:t xml:space="preserve">, 309–337. </w:t>
      </w:r>
      <w:hyperlink r:id="rId75">
        <w:r w:rsidRPr="00014558">
          <w:rPr>
            <w:color w:val="1155CC"/>
            <w:sz w:val="24"/>
            <w:szCs w:val="24"/>
            <w:u w:val="single"/>
          </w:rPr>
          <w:t>https://doi.org/10.1007/978-3-031-67450-1_12</w:t>
        </w:r>
      </w:hyperlink>
      <w:r w:rsidRPr="00014558">
        <w:rPr>
          <w:sz w:val="24"/>
          <w:szCs w:val="24"/>
        </w:rPr>
        <w:t xml:space="preserve"> </w:t>
      </w:r>
    </w:p>
    <w:p w14:paraId="13A04575" w14:textId="77777777" w:rsidR="008E345C" w:rsidRPr="00BF2862" w:rsidRDefault="002E488D" w:rsidP="00014558">
      <w:pPr>
        <w:spacing w:after="240"/>
        <w:ind w:left="720" w:hanging="720"/>
        <w:rPr>
          <w:sz w:val="24"/>
          <w:szCs w:val="24"/>
          <w:lang w:val="es-ES"/>
        </w:rPr>
      </w:pPr>
      <w:r w:rsidRPr="00014558">
        <w:rPr>
          <w:sz w:val="24"/>
          <w:szCs w:val="24"/>
        </w:rPr>
        <w:t xml:space="preserve">Mapanje, O., Karuaihe, S., Machethe, C., &amp; Amis, M. (2023). Financing Sustainable Agriculture in Sub-Saharan Africa: A Review of the Role of Financial Technologies. </w:t>
      </w:r>
      <w:proofErr w:type="spellStart"/>
      <w:r w:rsidRPr="00BF2862">
        <w:rPr>
          <w:i/>
          <w:sz w:val="24"/>
          <w:szCs w:val="24"/>
          <w:lang w:val="es-ES"/>
        </w:rPr>
        <w:t>Sustainability</w:t>
      </w:r>
      <w:proofErr w:type="spellEnd"/>
      <w:r w:rsidRPr="00BF2862">
        <w:rPr>
          <w:sz w:val="24"/>
          <w:szCs w:val="24"/>
          <w:lang w:val="es-ES"/>
        </w:rPr>
        <w:t xml:space="preserve">, </w:t>
      </w:r>
      <w:r w:rsidRPr="00BF2862">
        <w:rPr>
          <w:i/>
          <w:sz w:val="24"/>
          <w:szCs w:val="24"/>
          <w:lang w:val="es-ES"/>
        </w:rPr>
        <w:t>15</w:t>
      </w:r>
      <w:r w:rsidRPr="00BF2862">
        <w:rPr>
          <w:sz w:val="24"/>
          <w:szCs w:val="24"/>
          <w:lang w:val="es-ES"/>
        </w:rPr>
        <w:t xml:space="preserve">(5), 4587. </w:t>
      </w:r>
      <w:hyperlink r:id="rId76">
        <w:r w:rsidRPr="00BF2862">
          <w:rPr>
            <w:color w:val="1155CC"/>
            <w:sz w:val="24"/>
            <w:szCs w:val="24"/>
            <w:u w:val="single"/>
            <w:lang w:val="es-ES"/>
          </w:rPr>
          <w:t>https://doi.org/10.3390/su15054587</w:t>
        </w:r>
      </w:hyperlink>
      <w:r w:rsidRPr="00BF2862">
        <w:rPr>
          <w:sz w:val="24"/>
          <w:szCs w:val="24"/>
          <w:lang w:val="es-ES"/>
        </w:rPr>
        <w:t xml:space="preserve"> </w:t>
      </w:r>
    </w:p>
    <w:p w14:paraId="06954EC8" w14:textId="77777777" w:rsidR="008E345C" w:rsidRPr="00014558" w:rsidRDefault="002E488D" w:rsidP="00014558">
      <w:pPr>
        <w:spacing w:after="240"/>
        <w:ind w:left="720" w:hanging="720"/>
        <w:rPr>
          <w:sz w:val="24"/>
          <w:szCs w:val="24"/>
        </w:rPr>
      </w:pPr>
      <w:r w:rsidRPr="00BF2862">
        <w:rPr>
          <w:sz w:val="24"/>
          <w:szCs w:val="24"/>
          <w:lang w:val="es-ES"/>
        </w:rPr>
        <w:t xml:space="preserve">Martínez-Bravo, M. C., Sádaba </w:t>
      </w:r>
      <w:proofErr w:type="spellStart"/>
      <w:r w:rsidRPr="00BF2862">
        <w:rPr>
          <w:sz w:val="24"/>
          <w:szCs w:val="24"/>
          <w:lang w:val="es-ES"/>
        </w:rPr>
        <w:t>Chalezquer</w:t>
      </w:r>
      <w:proofErr w:type="spellEnd"/>
      <w:r w:rsidRPr="00BF2862">
        <w:rPr>
          <w:sz w:val="24"/>
          <w:szCs w:val="24"/>
          <w:lang w:val="es-ES"/>
        </w:rPr>
        <w:t xml:space="preserve">, C., &amp; Serrano-Puche, J. (2022). </w:t>
      </w:r>
      <w:r w:rsidRPr="00014558">
        <w:rPr>
          <w:sz w:val="24"/>
          <w:szCs w:val="24"/>
        </w:rPr>
        <w:t xml:space="preserve">Dimensions of Digital Literacy in the 21st Century Competency Frameworks. </w:t>
      </w:r>
      <w:r w:rsidRPr="00014558">
        <w:rPr>
          <w:i/>
          <w:sz w:val="24"/>
          <w:szCs w:val="24"/>
        </w:rPr>
        <w:t>Sustainability</w:t>
      </w:r>
      <w:r w:rsidRPr="00014558">
        <w:rPr>
          <w:sz w:val="24"/>
          <w:szCs w:val="24"/>
        </w:rPr>
        <w:t xml:space="preserve">, </w:t>
      </w:r>
      <w:r w:rsidRPr="00014558">
        <w:rPr>
          <w:i/>
          <w:sz w:val="24"/>
          <w:szCs w:val="24"/>
        </w:rPr>
        <w:t>14</w:t>
      </w:r>
      <w:r w:rsidRPr="00014558">
        <w:rPr>
          <w:sz w:val="24"/>
          <w:szCs w:val="24"/>
        </w:rPr>
        <w:t xml:space="preserve">(3), 1867. </w:t>
      </w:r>
      <w:hyperlink r:id="rId77">
        <w:r w:rsidRPr="00014558">
          <w:rPr>
            <w:color w:val="1155CC"/>
            <w:sz w:val="24"/>
            <w:szCs w:val="24"/>
            <w:u w:val="single"/>
          </w:rPr>
          <w:t>https://doi.org/10.3390/su14031867</w:t>
        </w:r>
      </w:hyperlink>
      <w:r w:rsidRPr="00014558">
        <w:rPr>
          <w:sz w:val="24"/>
          <w:szCs w:val="24"/>
        </w:rPr>
        <w:t xml:space="preserve"> </w:t>
      </w:r>
    </w:p>
    <w:p w14:paraId="28FC07C1" w14:textId="77777777" w:rsidR="008E345C" w:rsidRPr="00014558" w:rsidRDefault="002E488D" w:rsidP="00014558">
      <w:pPr>
        <w:spacing w:after="240"/>
        <w:ind w:left="720" w:hanging="720"/>
        <w:rPr>
          <w:sz w:val="24"/>
          <w:szCs w:val="24"/>
        </w:rPr>
      </w:pPr>
      <w:r w:rsidRPr="00014558">
        <w:rPr>
          <w:sz w:val="24"/>
          <w:szCs w:val="24"/>
        </w:rPr>
        <w:t xml:space="preserve">Mhlanga, D. (2024). Digital Transformation of the Agricultural Industry in Africa. </w:t>
      </w:r>
      <w:r w:rsidRPr="00014558">
        <w:rPr>
          <w:i/>
          <w:sz w:val="24"/>
          <w:szCs w:val="24"/>
        </w:rPr>
        <w:t>Springer</w:t>
      </w:r>
      <w:r w:rsidRPr="00014558">
        <w:rPr>
          <w:sz w:val="24"/>
          <w:szCs w:val="24"/>
        </w:rPr>
        <w:t xml:space="preserve">, 441–464. </w:t>
      </w:r>
      <w:hyperlink r:id="rId78">
        <w:r w:rsidRPr="00014558">
          <w:rPr>
            <w:color w:val="1155CC"/>
            <w:sz w:val="24"/>
            <w:szCs w:val="24"/>
            <w:u w:val="single"/>
          </w:rPr>
          <w:t>https://doi.org/10.1007/978-3-031-61321-0_19</w:t>
        </w:r>
      </w:hyperlink>
      <w:r w:rsidRPr="00014558">
        <w:rPr>
          <w:sz w:val="24"/>
          <w:szCs w:val="24"/>
        </w:rPr>
        <w:t xml:space="preserve"> </w:t>
      </w:r>
    </w:p>
    <w:p w14:paraId="67C23A52" w14:textId="77777777" w:rsidR="008E345C" w:rsidRPr="00014558" w:rsidRDefault="002E488D" w:rsidP="00014558">
      <w:pPr>
        <w:spacing w:after="240"/>
        <w:ind w:left="720" w:hanging="720"/>
        <w:rPr>
          <w:sz w:val="24"/>
          <w:szCs w:val="24"/>
        </w:rPr>
      </w:pPr>
      <w:r w:rsidRPr="00014558">
        <w:rPr>
          <w:sz w:val="24"/>
          <w:szCs w:val="24"/>
        </w:rPr>
        <w:t xml:space="preserve">Nowroozi, E., Seyedshoari, S., Mekdad, Y., Savaş, E., &amp; Conti, M. (2022). Cryptocurrency Wallets: Assessment and Security. </w:t>
      </w:r>
      <w:r w:rsidRPr="00014558">
        <w:rPr>
          <w:i/>
          <w:sz w:val="24"/>
          <w:szCs w:val="24"/>
        </w:rPr>
        <w:t>Springer</w:t>
      </w:r>
      <w:r w:rsidRPr="00014558">
        <w:rPr>
          <w:sz w:val="24"/>
          <w:szCs w:val="24"/>
        </w:rPr>
        <w:t xml:space="preserve">, 1–19. </w:t>
      </w:r>
      <w:hyperlink r:id="rId79">
        <w:r w:rsidRPr="00014558">
          <w:rPr>
            <w:color w:val="1155CC"/>
            <w:sz w:val="24"/>
            <w:szCs w:val="24"/>
            <w:u w:val="single"/>
          </w:rPr>
          <w:t>https://doi.org/10.1007/978-3-031-25506-9_1</w:t>
        </w:r>
      </w:hyperlink>
      <w:r w:rsidRPr="00014558">
        <w:rPr>
          <w:sz w:val="24"/>
          <w:szCs w:val="24"/>
        </w:rPr>
        <w:t xml:space="preserve"> </w:t>
      </w:r>
    </w:p>
    <w:p w14:paraId="2144595F" w14:textId="77777777" w:rsidR="008E345C" w:rsidRPr="00014558" w:rsidRDefault="002E488D" w:rsidP="00014558">
      <w:pPr>
        <w:spacing w:after="240"/>
        <w:ind w:left="720" w:hanging="720"/>
        <w:rPr>
          <w:sz w:val="24"/>
          <w:szCs w:val="24"/>
        </w:rPr>
      </w:pPr>
      <w:r w:rsidRPr="00014558">
        <w:rPr>
          <w:sz w:val="24"/>
          <w:szCs w:val="24"/>
        </w:rPr>
        <w:t xml:space="preserve">Obioha-Val, O. A., Gbadebo, M. O., Olaniyi, O. O., Chinye, N. C., &amp; Balogun, A. Y. (2025). Innovative Regulation of Open Source Intelligence and Deepfakes AI in Managing Public Trust.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(2), 136–156. </w:t>
      </w:r>
      <w:hyperlink r:id="rId80">
        <w:r w:rsidRPr="00014558">
          <w:rPr>
            <w:color w:val="1155CC"/>
            <w:sz w:val="24"/>
            <w:szCs w:val="24"/>
            <w:u w:val="single"/>
          </w:rPr>
          <w:t>https://doi.org/10.9734/jerr/2025/v27i21400</w:t>
        </w:r>
      </w:hyperlink>
      <w:r w:rsidRPr="00014558">
        <w:rPr>
          <w:sz w:val="24"/>
          <w:szCs w:val="24"/>
        </w:rPr>
        <w:t xml:space="preserve"> </w:t>
      </w:r>
    </w:p>
    <w:p w14:paraId="56255578" w14:textId="77777777" w:rsidR="008E345C" w:rsidRPr="00014558" w:rsidRDefault="002E488D" w:rsidP="00014558">
      <w:pPr>
        <w:spacing w:after="240"/>
        <w:ind w:left="720" w:hanging="720"/>
        <w:rPr>
          <w:sz w:val="24"/>
          <w:szCs w:val="24"/>
        </w:rPr>
      </w:pPr>
      <w:proofErr w:type="spellStart"/>
      <w:r w:rsidRPr="00BF2862">
        <w:rPr>
          <w:sz w:val="24"/>
          <w:szCs w:val="24"/>
          <w:lang w:val="es-ES"/>
        </w:rPr>
        <w:t>Obioha</w:t>
      </w:r>
      <w:proofErr w:type="spellEnd"/>
      <w:r w:rsidRPr="00BF2862">
        <w:rPr>
          <w:sz w:val="24"/>
          <w:szCs w:val="24"/>
          <w:lang w:val="es-ES"/>
        </w:rPr>
        <w:t xml:space="preserve">-Val, O. A., Lawal, T. I., Olaniyi, O. O., </w:t>
      </w:r>
      <w:proofErr w:type="spellStart"/>
      <w:r w:rsidRPr="00BF2862">
        <w:rPr>
          <w:sz w:val="24"/>
          <w:szCs w:val="24"/>
          <w:lang w:val="es-ES"/>
        </w:rPr>
        <w:t>Gbadebo</w:t>
      </w:r>
      <w:proofErr w:type="spellEnd"/>
      <w:r w:rsidRPr="00BF2862">
        <w:rPr>
          <w:sz w:val="24"/>
          <w:szCs w:val="24"/>
          <w:lang w:val="es-ES"/>
        </w:rPr>
        <w:t xml:space="preserve">, M. O., &amp; </w:t>
      </w:r>
      <w:proofErr w:type="spellStart"/>
      <w:r w:rsidRPr="00BF2862">
        <w:rPr>
          <w:sz w:val="24"/>
          <w:szCs w:val="24"/>
          <w:lang w:val="es-ES"/>
        </w:rPr>
        <w:t>Olisa</w:t>
      </w:r>
      <w:proofErr w:type="spellEnd"/>
      <w:r w:rsidRPr="00BF2862">
        <w:rPr>
          <w:sz w:val="24"/>
          <w:szCs w:val="24"/>
          <w:lang w:val="es-ES"/>
        </w:rPr>
        <w:t xml:space="preserve">, A. O. (2025). </w:t>
      </w:r>
      <w:r w:rsidRPr="00014558">
        <w:rPr>
          <w:sz w:val="24"/>
          <w:szCs w:val="24"/>
        </w:rPr>
        <w:t xml:space="preserve">Investigating the Feasibility and Risks of Leveraging Artificial Intelligence and Open Source Intelligence to Manage Predictive Cyber Threat Models.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(2), 10–28. </w:t>
      </w:r>
      <w:hyperlink r:id="rId81">
        <w:r w:rsidRPr="00014558">
          <w:rPr>
            <w:color w:val="1155CC"/>
            <w:sz w:val="24"/>
            <w:szCs w:val="24"/>
            <w:u w:val="single"/>
          </w:rPr>
          <w:t>https://doi.org/10.9734/jerr/2025/v27i21390</w:t>
        </w:r>
      </w:hyperlink>
      <w:r w:rsidRPr="00014558">
        <w:rPr>
          <w:sz w:val="24"/>
          <w:szCs w:val="24"/>
        </w:rPr>
        <w:t xml:space="preserve"> </w:t>
      </w:r>
    </w:p>
    <w:p w14:paraId="714CD321" w14:textId="77777777" w:rsidR="008E345C" w:rsidRPr="00014558" w:rsidRDefault="002E488D" w:rsidP="00014558">
      <w:pPr>
        <w:spacing w:after="240"/>
        <w:ind w:left="720" w:hanging="720"/>
        <w:rPr>
          <w:sz w:val="24"/>
          <w:szCs w:val="24"/>
        </w:rPr>
      </w:pPr>
      <w:proofErr w:type="spellStart"/>
      <w:r w:rsidRPr="00BF2862">
        <w:rPr>
          <w:sz w:val="24"/>
          <w:szCs w:val="24"/>
          <w:lang w:val="es-ES"/>
        </w:rPr>
        <w:t>Obioha</w:t>
      </w:r>
      <w:proofErr w:type="spellEnd"/>
      <w:r w:rsidRPr="00BF2862">
        <w:rPr>
          <w:sz w:val="24"/>
          <w:szCs w:val="24"/>
          <w:lang w:val="es-ES"/>
        </w:rPr>
        <w:t xml:space="preserve">-Val, O. A., Olaniyi, O. O., </w:t>
      </w:r>
      <w:proofErr w:type="spellStart"/>
      <w:r w:rsidRPr="00BF2862">
        <w:rPr>
          <w:sz w:val="24"/>
          <w:szCs w:val="24"/>
          <w:lang w:val="es-ES"/>
        </w:rPr>
        <w:t>Gbadebo</w:t>
      </w:r>
      <w:proofErr w:type="spellEnd"/>
      <w:r w:rsidRPr="00BF2862">
        <w:rPr>
          <w:sz w:val="24"/>
          <w:szCs w:val="24"/>
          <w:lang w:val="es-ES"/>
        </w:rPr>
        <w:t xml:space="preserve">, M. O., </w:t>
      </w:r>
      <w:proofErr w:type="spellStart"/>
      <w:r w:rsidRPr="00BF2862">
        <w:rPr>
          <w:sz w:val="24"/>
          <w:szCs w:val="24"/>
          <w:lang w:val="es-ES"/>
        </w:rPr>
        <w:t>Balogun</w:t>
      </w:r>
      <w:proofErr w:type="spellEnd"/>
      <w:r w:rsidRPr="00BF2862">
        <w:rPr>
          <w:sz w:val="24"/>
          <w:szCs w:val="24"/>
          <w:lang w:val="es-ES"/>
        </w:rPr>
        <w:t xml:space="preserve">, A. Y., &amp; </w:t>
      </w:r>
      <w:proofErr w:type="spellStart"/>
      <w:r w:rsidRPr="00BF2862">
        <w:rPr>
          <w:sz w:val="24"/>
          <w:szCs w:val="24"/>
          <w:lang w:val="es-ES"/>
        </w:rPr>
        <w:t>Olisa</w:t>
      </w:r>
      <w:proofErr w:type="spellEnd"/>
      <w:r w:rsidRPr="00BF2862">
        <w:rPr>
          <w:sz w:val="24"/>
          <w:szCs w:val="24"/>
          <w:lang w:val="es-ES"/>
        </w:rPr>
        <w:t xml:space="preserve">, A. O. (2025). </w:t>
      </w:r>
      <w:r w:rsidRPr="00014558">
        <w:rPr>
          <w:sz w:val="24"/>
          <w:szCs w:val="24"/>
        </w:rPr>
        <w:t xml:space="preserve">Cyber Espionage in the Age of Artificial Intelligence: A Comparative Study of State-Sponsored Campaign. </w:t>
      </w:r>
      <w:r w:rsidRPr="00014558">
        <w:rPr>
          <w:i/>
          <w:sz w:val="24"/>
          <w:szCs w:val="24"/>
        </w:rPr>
        <w:t>Asian Journal of Research in Computer Science</w:t>
      </w:r>
      <w:r w:rsidRPr="00014558">
        <w:rPr>
          <w:sz w:val="24"/>
          <w:szCs w:val="24"/>
        </w:rPr>
        <w:t xml:space="preserve">, </w:t>
      </w:r>
      <w:r w:rsidRPr="00014558">
        <w:rPr>
          <w:i/>
          <w:sz w:val="24"/>
          <w:szCs w:val="24"/>
        </w:rPr>
        <w:t>18</w:t>
      </w:r>
      <w:r w:rsidRPr="00014558">
        <w:rPr>
          <w:sz w:val="24"/>
          <w:szCs w:val="24"/>
        </w:rPr>
        <w:t xml:space="preserve">(1), 184–204. </w:t>
      </w:r>
      <w:hyperlink r:id="rId82">
        <w:r w:rsidRPr="00014558">
          <w:rPr>
            <w:color w:val="1155CC"/>
            <w:sz w:val="24"/>
            <w:szCs w:val="24"/>
            <w:u w:val="single"/>
          </w:rPr>
          <w:t>https://doi.org/10.9734/ajrcos/2025/v18i1557</w:t>
        </w:r>
      </w:hyperlink>
      <w:r w:rsidRPr="00014558">
        <w:rPr>
          <w:sz w:val="24"/>
          <w:szCs w:val="24"/>
        </w:rPr>
        <w:t xml:space="preserve"> </w:t>
      </w:r>
    </w:p>
    <w:p w14:paraId="2B4C8077" w14:textId="77777777" w:rsidR="008E345C" w:rsidRPr="00014558" w:rsidRDefault="002E488D" w:rsidP="00014558">
      <w:pPr>
        <w:spacing w:after="240"/>
        <w:ind w:left="720" w:hanging="720"/>
        <w:rPr>
          <w:sz w:val="24"/>
          <w:szCs w:val="24"/>
        </w:rPr>
      </w:pPr>
      <w:r w:rsidRPr="00014558">
        <w:rPr>
          <w:sz w:val="24"/>
          <w:szCs w:val="24"/>
        </w:rPr>
        <w:t xml:space="preserve">Okon, S. U., Olateju, O. O., Ogungbemi, O. S., Joseph, S. A., Olisa, A. O., &amp; Olaniyi, O. O. (2024). Incorporating Privacy by Design Principles in the Modification of AI Systems in Preventing Breaches across Multiple Environments, Including Public Cloud, Private Cloud, and On-prem.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(9), 136–158. </w:t>
      </w:r>
      <w:hyperlink r:id="rId83">
        <w:r w:rsidRPr="00014558">
          <w:rPr>
            <w:color w:val="1155CC"/>
            <w:sz w:val="24"/>
            <w:szCs w:val="24"/>
            <w:u w:val="single"/>
          </w:rPr>
          <w:t>https://doi.org/10.9734/jerr/2024/v26i91269</w:t>
        </w:r>
      </w:hyperlink>
      <w:r w:rsidRPr="00014558">
        <w:rPr>
          <w:sz w:val="24"/>
          <w:szCs w:val="24"/>
        </w:rPr>
        <w:t xml:space="preserve"> </w:t>
      </w:r>
    </w:p>
    <w:p w14:paraId="30E9293A" w14:textId="77777777" w:rsidR="008E345C" w:rsidRPr="00014558" w:rsidRDefault="002E488D" w:rsidP="00014558">
      <w:pPr>
        <w:spacing w:after="240"/>
        <w:ind w:left="720" w:hanging="720"/>
        <w:rPr>
          <w:sz w:val="24"/>
          <w:szCs w:val="24"/>
        </w:rPr>
      </w:pPr>
      <w:r w:rsidRPr="00BF2862">
        <w:rPr>
          <w:sz w:val="24"/>
          <w:szCs w:val="24"/>
          <w:lang w:val="es-ES"/>
        </w:rPr>
        <w:lastRenderedPageBreak/>
        <w:t xml:space="preserve">Olabanji, S. O., </w:t>
      </w:r>
      <w:proofErr w:type="spellStart"/>
      <w:r w:rsidRPr="00BF2862">
        <w:rPr>
          <w:sz w:val="24"/>
          <w:szCs w:val="24"/>
          <w:lang w:val="es-ES"/>
        </w:rPr>
        <w:t>Marquis</w:t>
      </w:r>
      <w:proofErr w:type="spellEnd"/>
      <w:r w:rsidRPr="00BF2862">
        <w:rPr>
          <w:sz w:val="24"/>
          <w:szCs w:val="24"/>
          <w:lang w:val="es-ES"/>
        </w:rPr>
        <w:t xml:space="preserve">, Y. A., Adigwe, C. S., Abidemi, A. S., Oladoyinbo, T. O., &amp; Olaniyi, O. O. (2024). </w:t>
      </w:r>
      <w:r w:rsidRPr="00014558">
        <w:rPr>
          <w:sz w:val="24"/>
          <w:szCs w:val="24"/>
        </w:rPr>
        <w:t xml:space="preserve">AI-Driven Cloud Security: Examining the Impact of User Behavior Analysis on Threat Detection.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(3), 57–74. </w:t>
      </w:r>
      <w:hyperlink r:id="rId84">
        <w:r w:rsidRPr="00014558">
          <w:rPr>
            <w:color w:val="1155CC"/>
            <w:sz w:val="24"/>
            <w:szCs w:val="24"/>
            <w:u w:val="single"/>
          </w:rPr>
          <w:t>https://doi.org/10.9734/ajrcos/2024/v17i3424</w:t>
        </w:r>
      </w:hyperlink>
      <w:r w:rsidRPr="00014558">
        <w:rPr>
          <w:sz w:val="24"/>
          <w:szCs w:val="24"/>
        </w:rPr>
        <w:t xml:space="preserve"> </w:t>
      </w:r>
    </w:p>
    <w:p w14:paraId="7BDF614C" w14:textId="77777777" w:rsidR="008E345C" w:rsidRPr="00014558" w:rsidRDefault="002E488D" w:rsidP="00014558">
      <w:pPr>
        <w:spacing w:after="240"/>
        <w:ind w:left="720" w:hanging="720"/>
        <w:rPr>
          <w:sz w:val="24"/>
          <w:szCs w:val="24"/>
        </w:rPr>
      </w:pPr>
      <w:r w:rsidRPr="00BF2862">
        <w:rPr>
          <w:sz w:val="24"/>
          <w:szCs w:val="24"/>
          <w:lang w:val="es-ES"/>
        </w:rPr>
        <w:t xml:space="preserve">Olabanji, S. O., Olaniyi, O. O., &amp; Olagbaju, O. O. (2024). </w:t>
      </w:r>
      <w:r w:rsidRPr="00014558">
        <w:rPr>
          <w:sz w:val="24"/>
          <w:szCs w:val="24"/>
        </w:rPr>
        <w:t xml:space="preserve">Leveraging Artificial Intelligence (AI) and Blockchain for Enhanced Tax Compliance and Revenue Generation in Public Finance. </w:t>
      </w:r>
      <w:r w:rsidRPr="00014558">
        <w:rPr>
          <w:i/>
          <w:sz w:val="24"/>
          <w:szCs w:val="24"/>
        </w:rPr>
        <w:t>Asian Journal of Economics, Business and Accounting</w:t>
      </w:r>
      <w:r w:rsidRPr="00014558">
        <w:rPr>
          <w:sz w:val="24"/>
          <w:szCs w:val="24"/>
        </w:rPr>
        <w:t xml:space="preserve">, </w:t>
      </w:r>
      <w:r w:rsidRPr="00014558">
        <w:rPr>
          <w:i/>
          <w:sz w:val="24"/>
          <w:szCs w:val="24"/>
        </w:rPr>
        <w:t>24</w:t>
      </w:r>
      <w:r w:rsidRPr="00014558">
        <w:rPr>
          <w:sz w:val="24"/>
          <w:szCs w:val="24"/>
        </w:rPr>
        <w:t xml:space="preserve">(11), 577–587. </w:t>
      </w:r>
      <w:hyperlink r:id="rId85">
        <w:r w:rsidRPr="00014558">
          <w:rPr>
            <w:color w:val="1155CC"/>
            <w:sz w:val="24"/>
            <w:szCs w:val="24"/>
            <w:u w:val="single"/>
          </w:rPr>
          <w:t>https://doi.org/10.9734/ajeba/2024/v24i111577</w:t>
        </w:r>
      </w:hyperlink>
      <w:r w:rsidRPr="00014558">
        <w:rPr>
          <w:sz w:val="24"/>
          <w:szCs w:val="24"/>
        </w:rPr>
        <w:t xml:space="preserve"> </w:t>
      </w:r>
    </w:p>
    <w:p w14:paraId="43A48889" w14:textId="77777777" w:rsidR="008E345C" w:rsidRPr="00014558" w:rsidRDefault="002E488D" w:rsidP="00014558">
      <w:pPr>
        <w:spacing w:after="240"/>
        <w:ind w:left="720" w:hanging="720"/>
        <w:rPr>
          <w:sz w:val="24"/>
          <w:szCs w:val="24"/>
        </w:rPr>
      </w:pPr>
      <w:r w:rsidRPr="00BF2862">
        <w:rPr>
          <w:sz w:val="24"/>
          <w:szCs w:val="24"/>
          <w:lang w:val="es-ES"/>
        </w:rPr>
        <w:t xml:space="preserve">Olabanji, S. O., Oluwaseun Oladeji Olaniyi, O. O., &amp; </w:t>
      </w:r>
      <w:proofErr w:type="spellStart"/>
      <w:r w:rsidRPr="00BF2862">
        <w:rPr>
          <w:sz w:val="24"/>
          <w:szCs w:val="24"/>
          <w:lang w:val="es-ES"/>
        </w:rPr>
        <w:t>Olaoye</w:t>
      </w:r>
      <w:proofErr w:type="spellEnd"/>
      <w:r w:rsidRPr="00BF2862">
        <w:rPr>
          <w:sz w:val="24"/>
          <w:szCs w:val="24"/>
          <w:lang w:val="es-ES"/>
        </w:rPr>
        <w:t xml:space="preserve">, O. O. (2024). </w:t>
      </w:r>
      <w:r w:rsidRPr="00014558">
        <w:rPr>
          <w:sz w:val="24"/>
          <w:szCs w:val="24"/>
        </w:rPr>
        <w:t xml:space="preserve">Transforming Tax Compliance with Machine Learning: Reducing Fraud and Enhancing Revenue Collection. </w:t>
      </w:r>
      <w:r w:rsidRPr="00014558">
        <w:rPr>
          <w:i/>
          <w:sz w:val="24"/>
          <w:szCs w:val="24"/>
        </w:rPr>
        <w:t>Asian Journal of Economics Business and Accounting</w:t>
      </w:r>
      <w:r w:rsidRPr="00014558">
        <w:rPr>
          <w:sz w:val="24"/>
          <w:szCs w:val="24"/>
        </w:rPr>
        <w:t xml:space="preserve">, </w:t>
      </w:r>
      <w:r w:rsidRPr="00014558">
        <w:rPr>
          <w:i/>
          <w:sz w:val="24"/>
          <w:szCs w:val="24"/>
        </w:rPr>
        <w:t>24</w:t>
      </w:r>
      <w:r w:rsidRPr="00014558">
        <w:rPr>
          <w:sz w:val="24"/>
          <w:szCs w:val="24"/>
        </w:rPr>
        <w:t xml:space="preserve">(11), 503–513. </w:t>
      </w:r>
      <w:hyperlink r:id="rId86">
        <w:r w:rsidRPr="00014558">
          <w:rPr>
            <w:color w:val="1155CC"/>
            <w:sz w:val="24"/>
            <w:szCs w:val="24"/>
            <w:u w:val="single"/>
          </w:rPr>
          <w:t>https://doi.org/10.9734/ajeba/2024/v24i111572</w:t>
        </w:r>
      </w:hyperlink>
      <w:r w:rsidRPr="00014558">
        <w:rPr>
          <w:sz w:val="24"/>
          <w:szCs w:val="24"/>
        </w:rPr>
        <w:t xml:space="preserve"> </w:t>
      </w:r>
    </w:p>
    <w:p w14:paraId="1A16C737" w14:textId="77777777" w:rsidR="008E345C" w:rsidRPr="00014558" w:rsidRDefault="002E488D" w:rsidP="00014558">
      <w:pPr>
        <w:spacing w:after="240"/>
        <w:ind w:left="720" w:hanging="720"/>
        <w:rPr>
          <w:sz w:val="24"/>
          <w:szCs w:val="24"/>
        </w:rPr>
      </w:pPr>
      <w:r w:rsidRPr="00014558">
        <w:rPr>
          <w:sz w:val="24"/>
          <w:szCs w:val="24"/>
        </w:rPr>
        <w:t xml:space="preserve">Oladoyinbo, T. O., Olabanji, S. O., Olaniyi, O. O., Adebiyi, O. O., Okunleye, O. J., &amp; Alao, A. I. (2024). Exploring the Challenges of Artificial Intelligence in Data Integrity and its Influence on Social Dynamics. </w:t>
      </w:r>
      <w:r w:rsidRPr="00014558">
        <w:rPr>
          <w:i/>
          <w:sz w:val="24"/>
          <w:szCs w:val="24"/>
        </w:rPr>
        <w:t>Asian Journal of Advanced Research and Reports</w:t>
      </w:r>
      <w:r w:rsidRPr="00014558">
        <w:rPr>
          <w:sz w:val="24"/>
          <w:szCs w:val="24"/>
        </w:rPr>
        <w:t xml:space="preserve">, </w:t>
      </w:r>
      <w:r w:rsidRPr="00014558">
        <w:rPr>
          <w:i/>
          <w:sz w:val="24"/>
          <w:szCs w:val="24"/>
        </w:rPr>
        <w:t>18</w:t>
      </w:r>
      <w:r w:rsidRPr="00014558">
        <w:rPr>
          <w:sz w:val="24"/>
          <w:szCs w:val="24"/>
        </w:rPr>
        <w:t xml:space="preserve">(2), 1–23. </w:t>
      </w:r>
      <w:hyperlink r:id="rId87">
        <w:r w:rsidRPr="00014558">
          <w:rPr>
            <w:color w:val="1155CC"/>
            <w:sz w:val="24"/>
            <w:szCs w:val="24"/>
            <w:u w:val="single"/>
          </w:rPr>
          <w:t>https://doi.org/10.9734/ajarr/2024/v18i2601</w:t>
        </w:r>
      </w:hyperlink>
      <w:r w:rsidRPr="00014558">
        <w:rPr>
          <w:sz w:val="24"/>
          <w:szCs w:val="24"/>
        </w:rPr>
        <w:t xml:space="preserve"> </w:t>
      </w:r>
    </w:p>
    <w:p w14:paraId="76E53B7B" w14:textId="77777777" w:rsidR="008E345C" w:rsidRPr="00014558" w:rsidRDefault="002E488D" w:rsidP="00014558">
      <w:pPr>
        <w:spacing w:after="240"/>
        <w:ind w:left="720" w:hanging="720"/>
        <w:rPr>
          <w:sz w:val="24"/>
          <w:szCs w:val="24"/>
        </w:rPr>
      </w:pPr>
      <w:r w:rsidRPr="00014558">
        <w:rPr>
          <w:sz w:val="24"/>
          <w:szCs w:val="24"/>
        </w:rPr>
        <w:t xml:space="preserve">Olaniyi, O. O. (2024). Ballots and Padlocks: Building Digital Trust and Security in Democracy through Information Governance Strategies and Blockchain Technologies.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(5), 172–189. </w:t>
      </w:r>
      <w:hyperlink r:id="rId88">
        <w:r w:rsidRPr="00014558">
          <w:rPr>
            <w:color w:val="1155CC"/>
            <w:sz w:val="24"/>
            <w:szCs w:val="24"/>
            <w:u w:val="single"/>
          </w:rPr>
          <w:t>https://doi.org/10.9734/ajrcos/2024/v17i5447</w:t>
        </w:r>
      </w:hyperlink>
      <w:r w:rsidRPr="00014558">
        <w:rPr>
          <w:sz w:val="24"/>
          <w:szCs w:val="24"/>
        </w:rPr>
        <w:t xml:space="preserve"> </w:t>
      </w:r>
    </w:p>
    <w:p w14:paraId="5327C7DB" w14:textId="77777777" w:rsidR="008E345C" w:rsidRPr="00014558" w:rsidRDefault="002E488D" w:rsidP="00014558">
      <w:pPr>
        <w:spacing w:after="240"/>
        <w:ind w:left="720" w:hanging="720"/>
        <w:rPr>
          <w:sz w:val="24"/>
          <w:szCs w:val="24"/>
        </w:rPr>
      </w:pPr>
      <w:r w:rsidRPr="00014558">
        <w:rPr>
          <w:sz w:val="24"/>
          <w:szCs w:val="24"/>
        </w:rPr>
        <w:t xml:space="preserve">Olaniyi, O. O., Omogoroye, O. O., Olaniyi, F. G., Alao, A. I., &amp; Oladoyinbo, T. O. (2024). CyberFusion Protocols: Strategic Integration of Enterprise Risk Management, ISO 27001, and Mobile Forensics for Advanced Digital Security in the Modern Business Ecosystem.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(6), 32. </w:t>
      </w:r>
      <w:hyperlink r:id="rId89">
        <w:r w:rsidRPr="00014558">
          <w:rPr>
            <w:color w:val="1155CC"/>
            <w:sz w:val="24"/>
            <w:szCs w:val="24"/>
            <w:u w:val="single"/>
          </w:rPr>
          <w:t>https://doi.org/10.9734/JERR/2024/v26i61160</w:t>
        </w:r>
      </w:hyperlink>
      <w:r w:rsidRPr="00014558">
        <w:rPr>
          <w:sz w:val="24"/>
          <w:szCs w:val="24"/>
        </w:rPr>
        <w:t xml:space="preserve"> </w:t>
      </w:r>
    </w:p>
    <w:p w14:paraId="382B053C" w14:textId="77777777" w:rsidR="008E345C" w:rsidRPr="00014558" w:rsidRDefault="002E488D" w:rsidP="00014558">
      <w:pPr>
        <w:spacing w:after="240"/>
        <w:ind w:left="720" w:hanging="720"/>
        <w:rPr>
          <w:sz w:val="24"/>
          <w:szCs w:val="24"/>
        </w:rPr>
      </w:pPr>
      <w:r w:rsidRPr="00014558">
        <w:rPr>
          <w:sz w:val="24"/>
          <w:szCs w:val="24"/>
        </w:rPr>
        <w:t xml:space="preserve">Olateju, O. O., Okon, S. U., Olaniyi, O. O., Samuel-Okon, A. D., &amp; Asonze, C. U. (2024). Exploring the Concept of Explainable AI and Developing Information Governance Standards for Enhancing Trust and Transparency in Handling Customer Data. </w:t>
      </w:r>
      <w:r w:rsidRPr="00014558">
        <w:rPr>
          <w:i/>
          <w:sz w:val="24"/>
          <w:szCs w:val="24"/>
        </w:rPr>
        <w:t>Journal of Engineering Research and Reports</w:t>
      </w:r>
      <w:r w:rsidRPr="00014558">
        <w:rPr>
          <w:sz w:val="24"/>
          <w:szCs w:val="24"/>
        </w:rPr>
        <w:t xml:space="preserve">, </w:t>
      </w:r>
      <w:r w:rsidRPr="00014558">
        <w:rPr>
          <w:i/>
          <w:sz w:val="24"/>
          <w:szCs w:val="24"/>
        </w:rPr>
        <w:t>26</w:t>
      </w:r>
      <w:r w:rsidRPr="00014558">
        <w:rPr>
          <w:sz w:val="24"/>
          <w:szCs w:val="24"/>
        </w:rPr>
        <w:t xml:space="preserve">(7), 244–268. </w:t>
      </w:r>
      <w:hyperlink r:id="rId90">
        <w:r w:rsidRPr="00014558">
          <w:rPr>
            <w:color w:val="1155CC"/>
            <w:sz w:val="24"/>
            <w:szCs w:val="24"/>
            <w:u w:val="single"/>
          </w:rPr>
          <w:t>https://doi.org/10.9734/jerr/2024/v26i71206</w:t>
        </w:r>
      </w:hyperlink>
      <w:r w:rsidRPr="00014558">
        <w:rPr>
          <w:sz w:val="24"/>
          <w:szCs w:val="24"/>
        </w:rPr>
        <w:t xml:space="preserve"> </w:t>
      </w:r>
    </w:p>
    <w:p w14:paraId="65749F1E" w14:textId="77777777" w:rsidR="008E345C" w:rsidRPr="00014558" w:rsidRDefault="002E488D" w:rsidP="00014558">
      <w:pPr>
        <w:spacing w:after="240"/>
        <w:ind w:left="720" w:hanging="720"/>
        <w:rPr>
          <w:sz w:val="24"/>
          <w:szCs w:val="24"/>
        </w:rPr>
      </w:pPr>
      <w:r w:rsidRPr="00014558">
        <w:rPr>
          <w:sz w:val="24"/>
          <w:szCs w:val="24"/>
        </w:rPr>
        <w:t xml:space="preserve">Olutimehin, A. T., Ajayi, A. J., Metibemu, O. C., Balogun, A. Y., Oladoyinbo, T. O., &amp; Olaniyi, O. O. (2025). Adversarial Threats to AI-Driven Systems: Exploring the Attack Surface of Machine Learning Models and Countermeasures. </w:t>
      </w:r>
      <w:r w:rsidRPr="00014558">
        <w:rPr>
          <w:i/>
          <w:sz w:val="24"/>
          <w:szCs w:val="24"/>
        </w:rPr>
        <w:t>Journal of Engineering Research and Reports</w:t>
      </w:r>
      <w:r w:rsidRPr="00014558">
        <w:rPr>
          <w:sz w:val="24"/>
          <w:szCs w:val="24"/>
        </w:rPr>
        <w:t xml:space="preserve">, </w:t>
      </w:r>
      <w:r w:rsidRPr="00014558">
        <w:rPr>
          <w:i/>
          <w:sz w:val="24"/>
          <w:szCs w:val="24"/>
        </w:rPr>
        <w:t>27</w:t>
      </w:r>
      <w:r w:rsidRPr="00014558">
        <w:rPr>
          <w:sz w:val="24"/>
          <w:szCs w:val="24"/>
        </w:rPr>
        <w:t xml:space="preserve">(2), 341–362. </w:t>
      </w:r>
      <w:hyperlink r:id="rId91">
        <w:r w:rsidRPr="00014558">
          <w:rPr>
            <w:color w:val="1155CC"/>
            <w:sz w:val="24"/>
            <w:szCs w:val="24"/>
            <w:u w:val="single"/>
          </w:rPr>
          <w:t>https://doi.org/10.9734/jerr/2025/v27i21413</w:t>
        </w:r>
      </w:hyperlink>
      <w:r w:rsidRPr="00014558">
        <w:rPr>
          <w:sz w:val="24"/>
          <w:szCs w:val="24"/>
        </w:rPr>
        <w:t xml:space="preserve"> </w:t>
      </w:r>
    </w:p>
    <w:p w14:paraId="46093750" w14:textId="77777777" w:rsidR="008E345C" w:rsidRPr="00014558" w:rsidRDefault="002E488D" w:rsidP="00014558">
      <w:pPr>
        <w:spacing w:after="240"/>
        <w:ind w:left="720" w:hanging="720"/>
        <w:rPr>
          <w:sz w:val="24"/>
          <w:szCs w:val="24"/>
        </w:rPr>
      </w:pPr>
      <w:r w:rsidRPr="00014558">
        <w:rPr>
          <w:sz w:val="24"/>
          <w:szCs w:val="24"/>
        </w:rPr>
        <w:lastRenderedPageBreak/>
        <w:t xml:space="preserve">Padhy, S., Alowaidi, M., Dash, S., Alshehri, M., Malla, P. P., Routray, S., &amp; Alhumyani, H. (2023). AgriSecure: A Fog Computing-Based Security Framework for Agriculture 4.0 via Blockchain. </w:t>
      </w:r>
      <w:r w:rsidRPr="00014558">
        <w:rPr>
          <w:i/>
          <w:sz w:val="24"/>
          <w:szCs w:val="24"/>
        </w:rPr>
        <w:t>Processes</w:t>
      </w:r>
      <w:r w:rsidRPr="00014558">
        <w:rPr>
          <w:sz w:val="24"/>
          <w:szCs w:val="24"/>
        </w:rPr>
        <w:t xml:space="preserve">, </w:t>
      </w:r>
      <w:r w:rsidRPr="00014558">
        <w:rPr>
          <w:i/>
          <w:sz w:val="24"/>
          <w:szCs w:val="24"/>
        </w:rPr>
        <w:t>11</w:t>
      </w:r>
      <w:r w:rsidRPr="00014558">
        <w:rPr>
          <w:sz w:val="24"/>
          <w:szCs w:val="24"/>
        </w:rPr>
        <w:t xml:space="preserve">(3), 757. </w:t>
      </w:r>
      <w:hyperlink r:id="rId92">
        <w:r w:rsidRPr="00014558">
          <w:rPr>
            <w:color w:val="1155CC"/>
            <w:sz w:val="24"/>
            <w:szCs w:val="24"/>
            <w:u w:val="single"/>
          </w:rPr>
          <w:t>https://doi.org/10.3390/pr11030757</w:t>
        </w:r>
      </w:hyperlink>
      <w:r w:rsidRPr="00014558">
        <w:rPr>
          <w:sz w:val="24"/>
          <w:szCs w:val="24"/>
        </w:rPr>
        <w:t xml:space="preserve"> </w:t>
      </w:r>
    </w:p>
    <w:p w14:paraId="6A9BC3BD" w14:textId="77777777" w:rsidR="008E345C" w:rsidRPr="00BF2862" w:rsidRDefault="002E488D" w:rsidP="00014558">
      <w:pPr>
        <w:spacing w:after="240"/>
        <w:ind w:left="720" w:hanging="720"/>
        <w:rPr>
          <w:sz w:val="24"/>
          <w:szCs w:val="24"/>
          <w:lang w:val="fr-FR"/>
        </w:rPr>
      </w:pPr>
      <w:r w:rsidRPr="00014558">
        <w:rPr>
          <w:sz w:val="24"/>
          <w:szCs w:val="24"/>
        </w:rPr>
        <w:t xml:space="preserve">Panwar, A., Khari, M., Misra, S., &amp; Sugandh, U. (2023). Blockchain in Agriculture to Ensure Trust, Effectiveness, and Traceability from Farm Fields to Groceries. </w:t>
      </w:r>
      <w:r w:rsidRPr="00BF2862">
        <w:rPr>
          <w:i/>
          <w:sz w:val="24"/>
          <w:szCs w:val="24"/>
          <w:lang w:val="fr-FR"/>
        </w:rPr>
        <w:t>Future Internet</w:t>
      </w:r>
      <w:r w:rsidRPr="00BF2862">
        <w:rPr>
          <w:sz w:val="24"/>
          <w:szCs w:val="24"/>
          <w:lang w:val="fr-FR"/>
        </w:rPr>
        <w:t xml:space="preserve">, </w:t>
      </w:r>
      <w:r w:rsidRPr="00BF2862">
        <w:rPr>
          <w:i/>
          <w:sz w:val="24"/>
          <w:szCs w:val="24"/>
          <w:lang w:val="fr-FR"/>
        </w:rPr>
        <w:t>15</w:t>
      </w:r>
      <w:r w:rsidRPr="00BF2862">
        <w:rPr>
          <w:sz w:val="24"/>
          <w:szCs w:val="24"/>
          <w:lang w:val="fr-FR"/>
        </w:rPr>
        <w:t xml:space="preserve">(12), 404–404. </w:t>
      </w:r>
      <w:hyperlink r:id="rId93">
        <w:r w:rsidRPr="00BF2862">
          <w:rPr>
            <w:color w:val="1155CC"/>
            <w:sz w:val="24"/>
            <w:szCs w:val="24"/>
            <w:u w:val="single"/>
            <w:lang w:val="fr-FR"/>
          </w:rPr>
          <w:t>https://doi.org/10.3390/fi15120404</w:t>
        </w:r>
      </w:hyperlink>
      <w:r w:rsidRPr="00BF2862">
        <w:rPr>
          <w:sz w:val="24"/>
          <w:szCs w:val="24"/>
          <w:lang w:val="fr-FR"/>
        </w:rPr>
        <w:t xml:space="preserve"> </w:t>
      </w:r>
    </w:p>
    <w:p w14:paraId="74B11508" w14:textId="77777777" w:rsidR="008E345C" w:rsidRPr="00014558" w:rsidRDefault="002E488D" w:rsidP="00014558">
      <w:pPr>
        <w:spacing w:after="240"/>
        <w:ind w:left="720" w:hanging="720"/>
        <w:rPr>
          <w:sz w:val="24"/>
          <w:szCs w:val="24"/>
        </w:rPr>
      </w:pPr>
      <w:proofErr w:type="spellStart"/>
      <w:r w:rsidRPr="00BF2862">
        <w:rPr>
          <w:sz w:val="24"/>
          <w:szCs w:val="24"/>
          <w:lang w:val="fr-FR"/>
        </w:rPr>
        <w:t>Pöhn</w:t>
      </w:r>
      <w:proofErr w:type="spellEnd"/>
      <w:r w:rsidRPr="00BF2862">
        <w:rPr>
          <w:sz w:val="24"/>
          <w:szCs w:val="24"/>
          <w:lang w:val="fr-FR"/>
        </w:rPr>
        <w:t xml:space="preserve">, D., </w:t>
      </w:r>
      <w:proofErr w:type="spellStart"/>
      <w:r w:rsidRPr="00BF2862">
        <w:rPr>
          <w:sz w:val="24"/>
          <w:szCs w:val="24"/>
          <w:lang w:val="fr-FR"/>
        </w:rPr>
        <w:t>Grabatin</w:t>
      </w:r>
      <w:proofErr w:type="spellEnd"/>
      <w:r w:rsidRPr="00BF2862">
        <w:rPr>
          <w:sz w:val="24"/>
          <w:szCs w:val="24"/>
          <w:lang w:val="fr-FR"/>
        </w:rPr>
        <w:t xml:space="preserve">, M., &amp; Hommel, W. (2023). </w:t>
      </w:r>
      <w:proofErr w:type="spellStart"/>
      <w:r w:rsidRPr="00014558">
        <w:rPr>
          <w:sz w:val="24"/>
          <w:szCs w:val="24"/>
        </w:rPr>
        <w:t>Analyzing</w:t>
      </w:r>
      <w:proofErr w:type="spellEnd"/>
      <w:r w:rsidRPr="00014558">
        <w:rPr>
          <w:sz w:val="24"/>
          <w:szCs w:val="24"/>
        </w:rPr>
        <w:t xml:space="preserve"> the Threats to Blockchain-Based Self-Sovereign Identities by Conducting a Literature Survey. </w:t>
      </w:r>
      <w:r w:rsidRPr="00014558">
        <w:rPr>
          <w:i/>
          <w:sz w:val="24"/>
          <w:szCs w:val="24"/>
        </w:rPr>
        <w:t>Applied Sciences</w:t>
      </w:r>
      <w:r w:rsidRPr="00014558">
        <w:rPr>
          <w:sz w:val="24"/>
          <w:szCs w:val="24"/>
        </w:rPr>
        <w:t xml:space="preserve">, </w:t>
      </w:r>
      <w:r w:rsidRPr="00014558">
        <w:rPr>
          <w:i/>
          <w:sz w:val="24"/>
          <w:szCs w:val="24"/>
        </w:rPr>
        <w:t>14</w:t>
      </w:r>
      <w:r w:rsidRPr="00014558">
        <w:rPr>
          <w:sz w:val="24"/>
          <w:szCs w:val="24"/>
        </w:rPr>
        <w:t xml:space="preserve">(1), 139–139. </w:t>
      </w:r>
      <w:hyperlink r:id="rId94">
        <w:r w:rsidRPr="00014558">
          <w:rPr>
            <w:color w:val="1155CC"/>
            <w:sz w:val="24"/>
            <w:szCs w:val="24"/>
            <w:u w:val="single"/>
          </w:rPr>
          <w:t>https://doi.org/10.3390/app14010139</w:t>
        </w:r>
      </w:hyperlink>
      <w:r w:rsidRPr="00014558">
        <w:rPr>
          <w:sz w:val="24"/>
          <w:szCs w:val="24"/>
        </w:rPr>
        <w:t xml:space="preserve"> </w:t>
      </w:r>
    </w:p>
    <w:p w14:paraId="4880B8E9" w14:textId="77777777" w:rsidR="008E345C" w:rsidRPr="00014558" w:rsidRDefault="002E488D" w:rsidP="00014558">
      <w:pPr>
        <w:spacing w:after="240"/>
        <w:ind w:left="720" w:hanging="720"/>
        <w:rPr>
          <w:sz w:val="24"/>
          <w:szCs w:val="24"/>
        </w:rPr>
      </w:pPr>
      <w:r w:rsidRPr="00014558">
        <w:rPr>
          <w:sz w:val="24"/>
          <w:szCs w:val="24"/>
        </w:rPr>
        <w:t xml:space="preserve">Rane, N., Choudhary, S., &amp; Rane, J. (2023). Blockchain and Artificial Intelligence (AI) integration for revolutionizing security and transparency in finance. </w:t>
      </w:r>
      <w:r w:rsidRPr="00014558">
        <w:rPr>
          <w:i/>
          <w:sz w:val="24"/>
          <w:szCs w:val="24"/>
        </w:rPr>
        <w:t>Social Science Research Network</w:t>
      </w:r>
      <w:r w:rsidRPr="00014558">
        <w:rPr>
          <w:sz w:val="24"/>
          <w:szCs w:val="24"/>
        </w:rPr>
        <w:t xml:space="preserve">. </w:t>
      </w:r>
      <w:hyperlink r:id="rId95">
        <w:r w:rsidRPr="00014558">
          <w:rPr>
            <w:color w:val="1155CC"/>
            <w:sz w:val="24"/>
            <w:szCs w:val="24"/>
            <w:u w:val="single"/>
          </w:rPr>
          <w:t>https://doi.org/10.2139/ssrn.4644253</w:t>
        </w:r>
      </w:hyperlink>
      <w:r w:rsidRPr="00014558">
        <w:rPr>
          <w:sz w:val="24"/>
          <w:szCs w:val="24"/>
        </w:rPr>
        <w:t xml:space="preserve"> </w:t>
      </w:r>
    </w:p>
    <w:p w14:paraId="0D4296CB" w14:textId="77777777" w:rsidR="008E345C" w:rsidRPr="00014558" w:rsidRDefault="002E488D" w:rsidP="00014558">
      <w:pPr>
        <w:spacing w:after="240"/>
        <w:ind w:left="720" w:hanging="720"/>
        <w:rPr>
          <w:sz w:val="24"/>
          <w:szCs w:val="24"/>
        </w:rPr>
      </w:pPr>
      <w:r w:rsidRPr="00014558">
        <w:rPr>
          <w:sz w:val="24"/>
          <w:szCs w:val="24"/>
        </w:rPr>
        <w:t xml:space="preserve">Rani, P., Sharma, P., &amp; Gupta, I. (2024). Toward a greener future: A survey on sustainable blockchain applications and impact. </w:t>
      </w:r>
      <w:r w:rsidRPr="00014558">
        <w:rPr>
          <w:i/>
          <w:sz w:val="24"/>
          <w:szCs w:val="24"/>
        </w:rPr>
        <w:t>Journal of Environmental Management</w:t>
      </w:r>
      <w:r w:rsidRPr="00014558">
        <w:rPr>
          <w:sz w:val="24"/>
          <w:szCs w:val="24"/>
        </w:rPr>
        <w:t xml:space="preserve">, </w:t>
      </w:r>
      <w:r w:rsidRPr="00014558">
        <w:rPr>
          <w:i/>
          <w:sz w:val="24"/>
          <w:szCs w:val="24"/>
        </w:rPr>
        <w:t>354</w:t>
      </w:r>
      <w:r w:rsidRPr="00014558">
        <w:rPr>
          <w:sz w:val="24"/>
          <w:szCs w:val="24"/>
        </w:rPr>
        <w:t xml:space="preserve">, 120273. </w:t>
      </w:r>
      <w:hyperlink r:id="rId96">
        <w:r w:rsidRPr="00014558">
          <w:rPr>
            <w:color w:val="1155CC"/>
            <w:sz w:val="24"/>
            <w:szCs w:val="24"/>
            <w:u w:val="single"/>
          </w:rPr>
          <w:t>https://doi.org/10.1016/j.jenvman.2024.120273</w:t>
        </w:r>
      </w:hyperlink>
      <w:r w:rsidRPr="00014558">
        <w:rPr>
          <w:sz w:val="24"/>
          <w:szCs w:val="24"/>
        </w:rPr>
        <w:t xml:space="preserve"> </w:t>
      </w:r>
    </w:p>
    <w:p w14:paraId="4E9F9C8C" w14:textId="77777777" w:rsidR="008E345C" w:rsidRPr="00014558" w:rsidRDefault="002E488D" w:rsidP="00014558">
      <w:pPr>
        <w:spacing w:after="240"/>
        <w:ind w:left="720" w:hanging="720"/>
        <w:rPr>
          <w:sz w:val="24"/>
          <w:szCs w:val="24"/>
        </w:rPr>
      </w:pPr>
      <w:r w:rsidRPr="00014558">
        <w:rPr>
          <w:sz w:val="24"/>
          <w:szCs w:val="24"/>
        </w:rPr>
        <w:t xml:space="preserve">Rehman, Z., Gregory, M. A., Gondal, I., DOng, H., &amp; Ge, M. (2025). Eclipse Attacks in Blockchain Networks: Detection, Prevention, and Future Directions. </w:t>
      </w:r>
      <w:r w:rsidRPr="00014558">
        <w:rPr>
          <w:i/>
          <w:sz w:val="24"/>
          <w:szCs w:val="24"/>
        </w:rPr>
        <w:t>IEEE Access</w:t>
      </w:r>
      <w:r w:rsidRPr="00014558">
        <w:rPr>
          <w:sz w:val="24"/>
          <w:szCs w:val="24"/>
        </w:rPr>
        <w:t xml:space="preserve">, 1–1. </w:t>
      </w:r>
      <w:hyperlink r:id="rId97">
        <w:r w:rsidRPr="00014558">
          <w:rPr>
            <w:color w:val="1155CC"/>
            <w:sz w:val="24"/>
            <w:szCs w:val="24"/>
            <w:u w:val="single"/>
          </w:rPr>
          <w:t>https://doi.org/10.1109/access.2025.3538837</w:t>
        </w:r>
      </w:hyperlink>
      <w:r w:rsidRPr="00014558">
        <w:rPr>
          <w:sz w:val="24"/>
          <w:szCs w:val="24"/>
        </w:rPr>
        <w:t xml:space="preserve"> </w:t>
      </w:r>
    </w:p>
    <w:p w14:paraId="5C45868B" w14:textId="77777777" w:rsidR="008E345C" w:rsidRPr="00014558" w:rsidRDefault="002E488D" w:rsidP="00014558">
      <w:pPr>
        <w:spacing w:after="240"/>
        <w:ind w:left="720" w:hanging="720"/>
        <w:rPr>
          <w:sz w:val="24"/>
          <w:szCs w:val="24"/>
        </w:rPr>
      </w:pPr>
      <w:r w:rsidRPr="00014558">
        <w:rPr>
          <w:sz w:val="24"/>
          <w:szCs w:val="24"/>
        </w:rPr>
        <w:t xml:space="preserve">Remeikienė, R., &amp; Gasparėnienė, L. (2023). Effects on the Soundness of Financial-Banking Institutions and on the Business Development. </w:t>
      </w:r>
      <w:r w:rsidRPr="00014558">
        <w:rPr>
          <w:i/>
          <w:sz w:val="24"/>
          <w:szCs w:val="24"/>
        </w:rPr>
        <w:t>Contributions to Finance and Accounting</w:t>
      </w:r>
      <w:r w:rsidRPr="00014558">
        <w:rPr>
          <w:sz w:val="24"/>
          <w:szCs w:val="24"/>
        </w:rPr>
        <w:t xml:space="preserve">, 235–269. </w:t>
      </w:r>
      <w:hyperlink r:id="rId98">
        <w:r w:rsidRPr="00014558">
          <w:rPr>
            <w:color w:val="1155CC"/>
            <w:sz w:val="24"/>
            <w:szCs w:val="24"/>
            <w:u w:val="single"/>
          </w:rPr>
          <w:t>https://doi.org/10.1007/978-3-031-34082-6_10</w:t>
        </w:r>
      </w:hyperlink>
      <w:r w:rsidRPr="00014558">
        <w:rPr>
          <w:sz w:val="24"/>
          <w:szCs w:val="24"/>
        </w:rPr>
        <w:t xml:space="preserve"> </w:t>
      </w:r>
    </w:p>
    <w:p w14:paraId="72475A9C" w14:textId="77777777" w:rsidR="008E345C" w:rsidRPr="00014558" w:rsidRDefault="002E488D" w:rsidP="00014558">
      <w:pPr>
        <w:spacing w:after="240"/>
        <w:ind w:left="720" w:hanging="720"/>
        <w:rPr>
          <w:sz w:val="24"/>
          <w:szCs w:val="24"/>
        </w:rPr>
      </w:pPr>
      <w:r w:rsidRPr="00014558">
        <w:rPr>
          <w:sz w:val="24"/>
          <w:szCs w:val="24"/>
        </w:rPr>
        <w:t xml:space="preserve">Salako, A. O., Fabuyi, J. A., Aideyan, N. T., Selesi-Aina, O., Dapo-Oyewole, D. L., &amp; Olaniyi, O. O. (2024). Advancing Information Governance in AI-Driven Cloud Ecosystem: Strategies for Enhancing Data Security and Meeting Regulatory Compliance.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(12), 66–88. </w:t>
      </w:r>
      <w:hyperlink r:id="rId99">
        <w:r w:rsidRPr="00014558">
          <w:rPr>
            <w:color w:val="1155CC"/>
            <w:sz w:val="24"/>
            <w:szCs w:val="24"/>
            <w:u w:val="single"/>
          </w:rPr>
          <w:t>https://doi.org/10.9734/ajrcos/2024/v17i12530</w:t>
        </w:r>
      </w:hyperlink>
      <w:r w:rsidRPr="00014558">
        <w:rPr>
          <w:sz w:val="24"/>
          <w:szCs w:val="24"/>
        </w:rPr>
        <w:t xml:space="preserve"> </w:t>
      </w:r>
    </w:p>
    <w:p w14:paraId="366C03E4" w14:textId="77777777" w:rsidR="008E345C" w:rsidRPr="00014558" w:rsidRDefault="002E488D" w:rsidP="00014558">
      <w:pPr>
        <w:spacing w:after="240"/>
        <w:ind w:left="720" w:hanging="720"/>
        <w:rPr>
          <w:sz w:val="24"/>
          <w:szCs w:val="24"/>
        </w:rPr>
      </w:pPr>
      <w:r w:rsidRPr="00014558">
        <w:rPr>
          <w:sz w:val="24"/>
          <w:szCs w:val="24"/>
        </w:rPr>
        <w:t xml:space="preserve">Samuel-Okon, A. D., Akinola, O. I., Olaniyi, O. O., Olateju, O. O., &amp; Ajayi, S. A. (2024). Assessing the Effectiveness of Network Security Tools in Mitigating the Impact of Deepfakes AI on Public Trust in Media. </w:t>
      </w:r>
      <w:r w:rsidRPr="00014558">
        <w:rPr>
          <w:i/>
          <w:sz w:val="24"/>
          <w:szCs w:val="24"/>
        </w:rPr>
        <w:t>Archives of Current Research International</w:t>
      </w:r>
      <w:r w:rsidRPr="00014558">
        <w:rPr>
          <w:sz w:val="24"/>
          <w:szCs w:val="24"/>
        </w:rPr>
        <w:t xml:space="preserve">, </w:t>
      </w:r>
      <w:r w:rsidRPr="00014558">
        <w:rPr>
          <w:i/>
          <w:sz w:val="24"/>
          <w:szCs w:val="24"/>
        </w:rPr>
        <w:t>24</w:t>
      </w:r>
      <w:r w:rsidRPr="00014558">
        <w:rPr>
          <w:sz w:val="24"/>
          <w:szCs w:val="24"/>
        </w:rPr>
        <w:t xml:space="preserve">(6), 355–375. </w:t>
      </w:r>
      <w:hyperlink r:id="rId100">
        <w:r w:rsidRPr="00014558">
          <w:rPr>
            <w:color w:val="1155CC"/>
            <w:sz w:val="24"/>
            <w:szCs w:val="24"/>
            <w:u w:val="single"/>
          </w:rPr>
          <w:t>https://doi.org/10.9734/acri/2024/v24i6794</w:t>
        </w:r>
      </w:hyperlink>
      <w:r w:rsidRPr="00014558">
        <w:rPr>
          <w:sz w:val="24"/>
          <w:szCs w:val="24"/>
        </w:rPr>
        <w:t xml:space="preserve"> </w:t>
      </w:r>
    </w:p>
    <w:p w14:paraId="68DE06FC" w14:textId="77777777" w:rsidR="008E345C" w:rsidRPr="00014558" w:rsidRDefault="002E488D" w:rsidP="00014558">
      <w:pPr>
        <w:spacing w:after="240"/>
        <w:ind w:left="720" w:hanging="720"/>
        <w:rPr>
          <w:sz w:val="24"/>
          <w:szCs w:val="24"/>
        </w:rPr>
      </w:pPr>
      <w:r w:rsidRPr="00014558">
        <w:rPr>
          <w:sz w:val="24"/>
          <w:szCs w:val="24"/>
        </w:rPr>
        <w:t xml:space="preserve">Santander. (2022). </w:t>
      </w:r>
      <w:r w:rsidRPr="00014558">
        <w:rPr>
          <w:i/>
          <w:sz w:val="24"/>
          <w:szCs w:val="24"/>
        </w:rPr>
        <w:t>Santander and Agrotoken join forces to offer loans secured by cryptoassets</w:t>
      </w:r>
      <w:r w:rsidRPr="00014558">
        <w:rPr>
          <w:sz w:val="24"/>
          <w:szCs w:val="24"/>
        </w:rPr>
        <w:t xml:space="preserve">. Santander.com; Santander. </w:t>
      </w:r>
      <w:hyperlink r:id="rId101">
        <w:r w:rsidRPr="00014558">
          <w:rPr>
            <w:color w:val="1155CC"/>
            <w:sz w:val="24"/>
            <w:szCs w:val="24"/>
            <w:u w:val="single"/>
          </w:rPr>
          <w:t>https://www.santander.com/en/press-</w:t>
        </w:r>
        <w:r w:rsidRPr="00014558">
          <w:rPr>
            <w:color w:val="1155CC"/>
            <w:sz w:val="24"/>
            <w:szCs w:val="24"/>
            <w:u w:val="single"/>
          </w:rPr>
          <w:lastRenderedPageBreak/>
          <w:t>room/press-releases/2022/03/santander-and-agrotoken-join-forces-to-offer-loans-secured-by-cryptoassets</w:t>
        </w:r>
      </w:hyperlink>
      <w:r w:rsidRPr="00014558">
        <w:rPr>
          <w:sz w:val="24"/>
          <w:szCs w:val="24"/>
        </w:rPr>
        <w:t xml:space="preserve"> </w:t>
      </w:r>
    </w:p>
    <w:p w14:paraId="28BEE47D" w14:textId="77777777" w:rsidR="008E345C" w:rsidRPr="00014558" w:rsidRDefault="002E488D" w:rsidP="00014558">
      <w:pPr>
        <w:spacing w:after="240"/>
        <w:ind w:left="720" w:hanging="720"/>
        <w:rPr>
          <w:sz w:val="24"/>
          <w:szCs w:val="24"/>
        </w:rPr>
      </w:pPr>
      <w:r w:rsidRPr="00014558">
        <w:rPr>
          <w:sz w:val="24"/>
          <w:szCs w:val="24"/>
        </w:rPr>
        <w:t xml:space="preserve">Seifert, S., Kahle, C., &amp; Hüttel, S. (2020). Price Dispersion in Farmland Markets: What Is the Role of Asymmetric Information? </w:t>
      </w:r>
      <w:r w:rsidRPr="00014558">
        <w:rPr>
          <w:i/>
          <w:sz w:val="24"/>
          <w:szCs w:val="24"/>
        </w:rPr>
        <w:t>American Journal of Agricultural Economics</w:t>
      </w:r>
      <w:r w:rsidRPr="00014558">
        <w:rPr>
          <w:sz w:val="24"/>
          <w:szCs w:val="24"/>
        </w:rPr>
        <w:t xml:space="preserve">, </w:t>
      </w:r>
      <w:r w:rsidRPr="00014558">
        <w:rPr>
          <w:i/>
          <w:sz w:val="24"/>
          <w:szCs w:val="24"/>
        </w:rPr>
        <w:t>103</w:t>
      </w:r>
      <w:r w:rsidRPr="00014558">
        <w:rPr>
          <w:sz w:val="24"/>
          <w:szCs w:val="24"/>
        </w:rPr>
        <w:t xml:space="preserve">(4). </w:t>
      </w:r>
      <w:hyperlink r:id="rId102">
        <w:r w:rsidRPr="00014558">
          <w:rPr>
            <w:color w:val="1155CC"/>
            <w:sz w:val="24"/>
            <w:szCs w:val="24"/>
            <w:u w:val="single"/>
          </w:rPr>
          <w:t>https://doi.org/10.1111/ajae.12153</w:t>
        </w:r>
      </w:hyperlink>
      <w:r w:rsidRPr="00014558">
        <w:rPr>
          <w:sz w:val="24"/>
          <w:szCs w:val="24"/>
        </w:rPr>
        <w:t xml:space="preserve"> </w:t>
      </w:r>
    </w:p>
    <w:p w14:paraId="3E505B50" w14:textId="77777777" w:rsidR="008E345C" w:rsidRPr="00014558" w:rsidRDefault="002E488D" w:rsidP="00014558">
      <w:pPr>
        <w:spacing w:after="240"/>
        <w:ind w:left="720" w:hanging="720"/>
        <w:rPr>
          <w:sz w:val="24"/>
          <w:szCs w:val="24"/>
        </w:rPr>
      </w:pPr>
      <w:r w:rsidRPr="00014558">
        <w:rPr>
          <w:sz w:val="24"/>
          <w:szCs w:val="24"/>
        </w:rPr>
        <w:t xml:space="preserve">Semnani, A., &amp; Yang, G. (2024). Non-Fungible Tokens (NFTs) Beyond Collectibles: A Comprehensive Review of Non-Fungible Token Applications. </w:t>
      </w:r>
      <w:r w:rsidRPr="00014558">
        <w:rPr>
          <w:i/>
          <w:sz w:val="24"/>
          <w:szCs w:val="24"/>
        </w:rPr>
        <w:t>SSRN</w:t>
      </w:r>
      <w:r w:rsidRPr="00014558">
        <w:rPr>
          <w:sz w:val="24"/>
          <w:szCs w:val="24"/>
        </w:rPr>
        <w:t xml:space="preserve">. </w:t>
      </w:r>
      <w:hyperlink r:id="rId103">
        <w:r w:rsidRPr="00014558">
          <w:rPr>
            <w:color w:val="1155CC"/>
            <w:sz w:val="24"/>
            <w:szCs w:val="24"/>
            <w:u w:val="single"/>
          </w:rPr>
          <w:t>https://doi.org/10.2139/ssrn.5046792</w:t>
        </w:r>
      </w:hyperlink>
      <w:r w:rsidRPr="00014558">
        <w:rPr>
          <w:sz w:val="24"/>
          <w:szCs w:val="24"/>
        </w:rPr>
        <w:t xml:space="preserve"> </w:t>
      </w:r>
    </w:p>
    <w:p w14:paraId="2BCBE5FA" w14:textId="77777777" w:rsidR="008E345C" w:rsidRPr="00014558" w:rsidRDefault="002E488D" w:rsidP="00014558">
      <w:pPr>
        <w:spacing w:after="240"/>
        <w:ind w:left="720" w:hanging="720"/>
        <w:rPr>
          <w:sz w:val="24"/>
          <w:szCs w:val="24"/>
        </w:rPr>
      </w:pPr>
      <w:r w:rsidRPr="00014558">
        <w:rPr>
          <w:sz w:val="24"/>
          <w:szCs w:val="24"/>
        </w:rPr>
        <w:t xml:space="preserve">Shafik, W. (2024). Barriers to Implementing Computational Intelligence-Based Agriculture System. </w:t>
      </w:r>
      <w:r w:rsidRPr="00014558">
        <w:rPr>
          <w:i/>
          <w:sz w:val="24"/>
          <w:szCs w:val="24"/>
        </w:rPr>
        <w:t>Studies in Computational Intelligence</w:t>
      </w:r>
      <w:r w:rsidRPr="00014558">
        <w:rPr>
          <w:sz w:val="24"/>
          <w:szCs w:val="24"/>
        </w:rPr>
        <w:t xml:space="preserve">, </w:t>
      </w:r>
      <w:r w:rsidRPr="00014558">
        <w:rPr>
          <w:i/>
          <w:sz w:val="24"/>
          <w:szCs w:val="24"/>
        </w:rPr>
        <w:t>1170</w:t>
      </w:r>
      <w:r w:rsidRPr="00014558">
        <w:rPr>
          <w:sz w:val="24"/>
          <w:szCs w:val="24"/>
        </w:rPr>
        <w:t xml:space="preserve">, 193–219. </w:t>
      </w:r>
      <w:hyperlink r:id="rId104">
        <w:r w:rsidRPr="00014558">
          <w:rPr>
            <w:color w:val="1155CC"/>
            <w:sz w:val="24"/>
            <w:szCs w:val="24"/>
            <w:u w:val="single"/>
          </w:rPr>
          <w:t>https://doi.org/10.1007/978-3-031-67450-1_8</w:t>
        </w:r>
      </w:hyperlink>
      <w:r w:rsidRPr="00014558">
        <w:rPr>
          <w:sz w:val="24"/>
          <w:szCs w:val="24"/>
        </w:rPr>
        <w:t xml:space="preserve"> </w:t>
      </w:r>
    </w:p>
    <w:p w14:paraId="48428076" w14:textId="77777777" w:rsidR="008E345C" w:rsidRPr="00014558" w:rsidRDefault="002E488D" w:rsidP="00014558">
      <w:pPr>
        <w:spacing w:after="240"/>
        <w:ind w:left="720" w:hanging="720"/>
        <w:rPr>
          <w:sz w:val="24"/>
          <w:szCs w:val="24"/>
        </w:rPr>
      </w:pPr>
      <w:r w:rsidRPr="00014558">
        <w:rPr>
          <w:sz w:val="24"/>
          <w:szCs w:val="24"/>
        </w:rPr>
        <w:t xml:space="preserve">Shak, M. A., &amp; Islam, M. J. (2022). </w:t>
      </w:r>
      <w:r w:rsidRPr="00014558">
        <w:rPr>
          <w:i/>
          <w:sz w:val="24"/>
          <w:szCs w:val="24"/>
        </w:rPr>
        <w:t>Tokenized Farmlands for Food and Carbon Credit</w:t>
      </w:r>
      <w:r w:rsidRPr="00014558">
        <w:rPr>
          <w:sz w:val="24"/>
          <w:szCs w:val="24"/>
        </w:rPr>
        <w:t xml:space="preserve">. ResearchGate. </w:t>
      </w:r>
      <w:hyperlink r:id="rId105">
        <w:r w:rsidRPr="00014558">
          <w:rPr>
            <w:color w:val="1155CC"/>
            <w:sz w:val="24"/>
            <w:szCs w:val="24"/>
            <w:u w:val="single"/>
          </w:rPr>
          <w:t>https://www.researchgate.net/publication/369143120_Tokenized_Farmlands_for_Food_and_Carbon_Credit</w:t>
        </w:r>
      </w:hyperlink>
      <w:r w:rsidRPr="00014558">
        <w:rPr>
          <w:sz w:val="24"/>
          <w:szCs w:val="24"/>
        </w:rPr>
        <w:t xml:space="preserve"> </w:t>
      </w:r>
    </w:p>
    <w:p w14:paraId="3A470423" w14:textId="77777777" w:rsidR="008E345C" w:rsidRPr="00014558" w:rsidRDefault="002E488D" w:rsidP="00014558">
      <w:pPr>
        <w:spacing w:after="240"/>
        <w:ind w:left="720" w:hanging="720"/>
        <w:rPr>
          <w:sz w:val="24"/>
          <w:szCs w:val="24"/>
        </w:rPr>
      </w:pPr>
      <w:r w:rsidRPr="00014558">
        <w:rPr>
          <w:sz w:val="24"/>
          <w:szCs w:val="24"/>
        </w:rPr>
        <w:t xml:space="preserve">Sowmya, G., Sridevi, R., &amp; Shiramshetty, S. G. (2023). Transforming Finance. </w:t>
      </w:r>
      <w:r w:rsidRPr="00014558">
        <w:rPr>
          <w:i/>
          <w:sz w:val="24"/>
          <w:szCs w:val="24"/>
        </w:rPr>
        <w:t>Advances in Finance, Accounting, and Economics</w:t>
      </w:r>
      <w:r w:rsidRPr="00014558">
        <w:rPr>
          <w:sz w:val="24"/>
          <w:szCs w:val="24"/>
        </w:rPr>
        <w:t xml:space="preserve">, 255–271. </w:t>
      </w:r>
      <w:hyperlink r:id="rId106">
        <w:r w:rsidRPr="00014558">
          <w:rPr>
            <w:color w:val="1155CC"/>
            <w:sz w:val="24"/>
            <w:szCs w:val="24"/>
            <w:u w:val="single"/>
          </w:rPr>
          <w:t>https://doi.org/10.4018/979-8-3693-1038-0.ch017</w:t>
        </w:r>
      </w:hyperlink>
      <w:r w:rsidRPr="00014558">
        <w:rPr>
          <w:sz w:val="24"/>
          <w:szCs w:val="24"/>
        </w:rPr>
        <w:t xml:space="preserve"> </w:t>
      </w:r>
    </w:p>
    <w:p w14:paraId="51768150" w14:textId="77777777" w:rsidR="008E345C" w:rsidRPr="00014558" w:rsidRDefault="002E488D" w:rsidP="00014558">
      <w:pPr>
        <w:spacing w:after="240"/>
        <w:ind w:left="720" w:hanging="720"/>
        <w:rPr>
          <w:sz w:val="24"/>
          <w:szCs w:val="24"/>
        </w:rPr>
      </w:pPr>
      <w:r w:rsidRPr="00014558">
        <w:rPr>
          <w:sz w:val="24"/>
          <w:szCs w:val="24"/>
        </w:rPr>
        <w:t xml:space="preserve">Tanveer, U., Ishaq, S., &amp; Hoang, T. G. (2025). Tokenized assets in a decentralized economy: Balancing efficiency, value, and risks. </w:t>
      </w:r>
      <w:r w:rsidRPr="00014558">
        <w:rPr>
          <w:i/>
          <w:sz w:val="24"/>
          <w:szCs w:val="24"/>
        </w:rPr>
        <w:t>International Journal of Production Economics</w:t>
      </w:r>
      <w:r w:rsidRPr="00014558">
        <w:rPr>
          <w:sz w:val="24"/>
          <w:szCs w:val="24"/>
        </w:rPr>
        <w:t xml:space="preserve">, </w:t>
      </w:r>
      <w:r w:rsidRPr="00014558">
        <w:rPr>
          <w:i/>
          <w:sz w:val="24"/>
          <w:szCs w:val="24"/>
        </w:rPr>
        <w:t>282</w:t>
      </w:r>
      <w:r w:rsidRPr="00014558">
        <w:rPr>
          <w:sz w:val="24"/>
          <w:szCs w:val="24"/>
        </w:rPr>
        <w:t xml:space="preserve">, 109554. </w:t>
      </w:r>
      <w:hyperlink r:id="rId107">
        <w:r w:rsidRPr="00014558">
          <w:rPr>
            <w:color w:val="1155CC"/>
            <w:sz w:val="24"/>
            <w:szCs w:val="24"/>
            <w:u w:val="single"/>
          </w:rPr>
          <w:t>https://doi.org/10.1016/j.ijpe.2025.109554</w:t>
        </w:r>
      </w:hyperlink>
      <w:r w:rsidRPr="00014558">
        <w:rPr>
          <w:sz w:val="24"/>
          <w:szCs w:val="24"/>
        </w:rPr>
        <w:t xml:space="preserve"> </w:t>
      </w:r>
    </w:p>
    <w:p w14:paraId="4A4BC8A8" w14:textId="77777777" w:rsidR="008E345C" w:rsidRPr="00014558" w:rsidRDefault="002E488D" w:rsidP="00014558">
      <w:pPr>
        <w:spacing w:after="240"/>
        <w:ind w:left="720" w:hanging="720"/>
        <w:rPr>
          <w:sz w:val="24"/>
          <w:szCs w:val="24"/>
        </w:rPr>
      </w:pPr>
      <w:r w:rsidRPr="00014558">
        <w:rPr>
          <w:sz w:val="24"/>
          <w:szCs w:val="24"/>
        </w:rPr>
        <w:t xml:space="preserve">Teng, H.-W., Härdle, W. K., Osterrieder, J., Baals, L. J., Papavassiliou, V. G., Bolesta, K., Kabašinskas, A., Filipovska, O., Τhomaidis, Ν. S., Moukas, A. I., Goundar, S., Nasir, J. A., Weinberg, A. I., Arakelian, V., Anon, C.-O., Akar, M., Kabaklarli, E., Apostol, E.-S., Iannario, M., &amp; Będowska-Sójka, B. (2023). Mitigating Digital Asset Risks. </w:t>
      </w:r>
      <w:r w:rsidRPr="00014558">
        <w:rPr>
          <w:i/>
          <w:sz w:val="24"/>
          <w:szCs w:val="24"/>
        </w:rPr>
        <w:t>Social Science Research Network</w:t>
      </w:r>
      <w:r w:rsidRPr="00014558">
        <w:rPr>
          <w:sz w:val="24"/>
          <w:szCs w:val="24"/>
        </w:rPr>
        <w:t xml:space="preserve">. </w:t>
      </w:r>
      <w:hyperlink r:id="rId108">
        <w:r w:rsidRPr="00014558">
          <w:rPr>
            <w:color w:val="1155CC"/>
            <w:sz w:val="24"/>
            <w:szCs w:val="24"/>
            <w:u w:val="single"/>
          </w:rPr>
          <w:t>https://doi.org/10.2139/ssrn.4594467</w:t>
        </w:r>
      </w:hyperlink>
      <w:r w:rsidRPr="00014558">
        <w:rPr>
          <w:sz w:val="24"/>
          <w:szCs w:val="24"/>
        </w:rPr>
        <w:t xml:space="preserve"> </w:t>
      </w:r>
    </w:p>
    <w:p w14:paraId="585DB2C4" w14:textId="77777777" w:rsidR="008E345C" w:rsidRPr="00014558" w:rsidRDefault="002E488D" w:rsidP="00014558">
      <w:pPr>
        <w:spacing w:after="240"/>
        <w:ind w:left="720" w:hanging="720"/>
        <w:rPr>
          <w:sz w:val="24"/>
          <w:szCs w:val="24"/>
        </w:rPr>
      </w:pPr>
      <w:proofErr w:type="spellStart"/>
      <w:r w:rsidRPr="00BF2862">
        <w:rPr>
          <w:sz w:val="24"/>
          <w:szCs w:val="24"/>
          <w:lang w:val="fr-FR"/>
        </w:rPr>
        <w:t>Troise</w:t>
      </w:r>
      <w:proofErr w:type="spellEnd"/>
      <w:r w:rsidRPr="00BF2862">
        <w:rPr>
          <w:sz w:val="24"/>
          <w:szCs w:val="24"/>
          <w:lang w:val="fr-FR"/>
        </w:rPr>
        <w:t xml:space="preserve">, C., </w:t>
      </w:r>
      <w:proofErr w:type="spellStart"/>
      <w:r w:rsidRPr="00BF2862">
        <w:rPr>
          <w:sz w:val="24"/>
          <w:szCs w:val="24"/>
          <w:lang w:val="fr-FR"/>
        </w:rPr>
        <w:t>Tani</w:t>
      </w:r>
      <w:proofErr w:type="spellEnd"/>
      <w:r w:rsidRPr="00BF2862">
        <w:rPr>
          <w:sz w:val="24"/>
          <w:szCs w:val="24"/>
          <w:lang w:val="fr-FR"/>
        </w:rPr>
        <w:t xml:space="preserve">, M., </w:t>
      </w:r>
      <w:proofErr w:type="spellStart"/>
      <w:r w:rsidRPr="00BF2862">
        <w:rPr>
          <w:sz w:val="24"/>
          <w:szCs w:val="24"/>
          <w:lang w:val="fr-FR"/>
        </w:rPr>
        <w:t>Dinsmore</w:t>
      </w:r>
      <w:proofErr w:type="spellEnd"/>
      <w:r w:rsidRPr="00BF2862">
        <w:rPr>
          <w:sz w:val="24"/>
          <w:szCs w:val="24"/>
          <w:lang w:val="fr-FR"/>
        </w:rPr>
        <w:t xml:space="preserve">, J., &amp; </w:t>
      </w:r>
      <w:proofErr w:type="spellStart"/>
      <w:r w:rsidRPr="00BF2862">
        <w:rPr>
          <w:sz w:val="24"/>
          <w:szCs w:val="24"/>
          <w:lang w:val="fr-FR"/>
        </w:rPr>
        <w:t>Schiuma</w:t>
      </w:r>
      <w:proofErr w:type="spellEnd"/>
      <w:r w:rsidRPr="00BF2862">
        <w:rPr>
          <w:sz w:val="24"/>
          <w:szCs w:val="24"/>
          <w:lang w:val="fr-FR"/>
        </w:rPr>
        <w:t xml:space="preserve">, G. (2021). </w:t>
      </w:r>
      <w:r w:rsidRPr="00014558">
        <w:rPr>
          <w:sz w:val="24"/>
          <w:szCs w:val="24"/>
        </w:rPr>
        <w:t xml:space="preserve">Understanding the implications of equity crowdfunding on sustainability-oriented innovation and changes in agri-food systems: Insights into an open innovation approach. </w:t>
      </w:r>
      <w:r w:rsidRPr="00014558">
        <w:rPr>
          <w:i/>
          <w:sz w:val="24"/>
          <w:szCs w:val="24"/>
        </w:rPr>
        <w:t>Technological Forecasting and Social Change</w:t>
      </w:r>
      <w:r w:rsidRPr="00014558">
        <w:rPr>
          <w:sz w:val="24"/>
          <w:szCs w:val="24"/>
        </w:rPr>
        <w:t xml:space="preserve">, </w:t>
      </w:r>
      <w:r w:rsidRPr="00014558">
        <w:rPr>
          <w:i/>
          <w:sz w:val="24"/>
          <w:szCs w:val="24"/>
        </w:rPr>
        <w:t>171</w:t>
      </w:r>
      <w:r w:rsidRPr="00014558">
        <w:rPr>
          <w:sz w:val="24"/>
          <w:szCs w:val="24"/>
        </w:rPr>
        <w:t xml:space="preserve">, 120959. </w:t>
      </w:r>
      <w:hyperlink r:id="rId109">
        <w:r w:rsidRPr="00014558">
          <w:rPr>
            <w:color w:val="1155CC"/>
            <w:sz w:val="24"/>
            <w:szCs w:val="24"/>
            <w:u w:val="single"/>
          </w:rPr>
          <w:t>https://doi.org/10.1016/j.techfore.2021.120959</w:t>
        </w:r>
      </w:hyperlink>
      <w:r w:rsidRPr="00014558">
        <w:rPr>
          <w:sz w:val="24"/>
          <w:szCs w:val="24"/>
        </w:rPr>
        <w:t xml:space="preserve"> </w:t>
      </w:r>
    </w:p>
    <w:p w14:paraId="1D9FEBF6" w14:textId="77777777" w:rsidR="008E345C" w:rsidRPr="00014558" w:rsidRDefault="002E488D" w:rsidP="00014558">
      <w:pPr>
        <w:spacing w:after="240"/>
        <w:ind w:left="720" w:hanging="720"/>
        <w:rPr>
          <w:sz w:val="24"/>
          <w:szCs w:val="24"/>
        </w:rPr>
      </w:pPr>
      <w:r w:rsidRPr="00014558">
        <w:rPr>
          <w:sz w:val="24"/>
          <w:szCs w:val="24"/>
        </w:rPr>
        <w:t xml:space="preserve">Udeh, E. O., Amajuoyi, P., Adeusi, K. B., &amp; Scott, A. O. (2024). The role of Blockchain technology in enhancing transparency and trust in green finance markets. </w:t>
      </w:r>
      <w:r w:rsidRPr="00014558">
        <w:rPr>
          <w:i/>
          <w:sz w:val="24"/>
          <w:szCs w:val="24"/>
        </w:rPr>
        <w:lastRenderedPageBreak/>
        <w:t>Finance &amp; Accounting Research Journal</w:t>
      </w:r>
      <w:r w:rsidRPr="00014558">
        <w:rPr>
          <w:sz w:val="24"/>
          <w:szCs w:val="24"/>
        </w:rPr>
        <w:t xml:space="preserve">, </w:t>
      </w:r>
      <w:r w:rsidRPr="00014558">
        <w:rPr>
          <w:i/>
          <w:sz w:val="24"/>
          <w:szCs w:val="24"/>
        </w:rPr>
        <w:t>6</w:t>
      </w:r>
      <w:r w:rsidRPr="00014558">
        <w:rPr>
          <w:sz w:val="24"/>
          <w:szCs w:val="24"/>
        </w:rPr>
        <w:t xml:space="preserve">(6), 825–850. </w:t>
      </w:r>
      <w:hyperlink r:id="rId110">
        <w:r w:rsidRPr="00014558">
          <w:rPr>
            <w:color w:val="1155CC"/>
            <w:sz w:val="24"/>
            <w:szCs w:val="24"/>
            <w:u w:val="single"/>
          </w:rPr>
          <w:t>https://doi.org/10.51594/farj.v6i6.1181</w:t>
        </w:r>
      </w:hyperlink>
      <w:r w:rsidRPr="00014558">
        <w:rPr>
          <w:sz w:val="24"/>
          <w:szCs w:val="24"/>
        </w:rPr>
        <w:t xml:space="preserve"> </w:t>
      </w:r>
    </w:p>
    <w:p w14:paraId="1B2BFF48" w14:textId="77777777" w:rsidR="008E345C" w:rsidRPr="00014558" w:rsidRDefault="002E488D" w:rsidP="00014558">
      <w:pPr>
        <w:spacing w:after="240"/>
        <w:ind w:left="720" w:hanging="720"/>
        <w:rPr>
          <w:sz w:val="24"/>
          <w:szCs w:val="24"/>
        </w:rPr>
      </w:pPr>
      <w:r w:rsidRPr="00014558">
        <w:rPr>
          <w:sz w:val="24"/>
          <w:szCs w:val="24"/>
        </w:rPr>
        <w:t xml:space="preserve">Val, O. O., Kolade, T. M., Gbadebo, M. O., Selesi-Aina, O., Olateju, O. O., &amp; Olaniyi, O. O. (2024). Strengthening Cybersecurity Measures for the Defense of Critical Infrastructure in the United States. </w:t>
      </w:r>
      <w:r w:rsidRPr="00014558">
        <w:rPr>
          <w:i/>
          <w:sz w:val="24"/>
          <w:szCs w:val="24"/>
        </w:rPr>
        <w:t>Asian Journal of Research in Computer Science</w:t>
      </w:r>
      <w:r w:rsidRPr="00014558">
        <w:rPr>
          <w:sz w:val="24"/>
          <w:szCs w:val="24"/>
        </w:rPr>
        <w:t xml:space="preserve">, </w:t>
      </w:r>
      <w:r w:rsidRPr="00014558">
        <w:rPr>
          <w:i/>
          <w:sz w:val="24"/>
          <w:szCs w:val="24"/>
        </w:rPr>
        <w:t>17</w:t>
      </w:r>
      <w:r w:rsidRPr="00014558">
        <w:rPr>
          <w:sz w:val="24"/>
          <w:szCs w:val="24"/>
        </w:rPr>
        <w:t xml:space="preserve">(11), 25–45. </w:t>
      </w:r>
      <w:hyperlink r:id="rId111">
        <w:r w:rsidRPr="00014558">
          <w:rPr>
            <w:color w:val="1155CC"/>
            <w:sz w:val="24"/>
            <w:szCs w:val="24"/>
            <w:u w:val="single"/>
          </w:rPr>
          <w:t>https://doi.org/10.9734/ajrcos/2024/v17i11517</w:t>
        </w:r>
      </w:hyperlink>
      <w:r w:rsidRPr="00014558">
        <w:rPr>
          <w:sz w:val="24"/>
          <w:szCs w:val="24"/>
        </w:rPr>
        <w:t xml:space="preserve"> </w:t>
      </w:r>
    </w:p>
    <w:p w14:paraId="01ED2881" w14:textId="77777777" w:rsidR="008E345C" w:rsidRPr="00014558" w:rsidRDefault="002E488D" w:rsidP="00014558">
      <w:pPr>
        <w:spacing w:after="240"/>
        <w:ind w:left="720" w:hanging="720"/>
        <w:rPr>
          <w:sz w:val="24"/>
          <w:szCs w:val="24"/>
        </w:rPr>
      </w:pPr>
      <w:r w:rsidRPr="00BF2862">
        <w:rPr>
          <w:sz w:val="24"/>
          <w:szCs w:val="24"/>
          <w:lang w:val="es-ES"/>
        </w:rPr>
        <w:t xml:space="preserve">Van </w:t>
      </w:r>
      <w:proofErr w:type="spellStart"/>
      <w:r w:rsidRPr="00BF2862">
        <w:rPr>
          <w:sz w:val="24"/>
          <w:szCs w:val="24"/>
          <w:lang w:val="es-ES"/>
        </w:rPr>
        <w:t>Wassenaer</w:t>
      </w:r>
      <w:proofErr w:type="spellEnd"/>
      <w:r w:rsidRPr="00BF2862">
        <w:rPr>
          <w:sz w:val="24"/>
          <w:szCs w:val="24"/>
          <w:lang w:val="es-ES"/>
        </w:rPr>
        <w:t xml:space="preserve">, L., </w:t>
      </w:r>
      <w:proofErr w:type="spellStart"/>
      <w:r w:rsidRPr="00BF2862">
        <w:rPr>
          <w:sz w:val="24"/>
          <w:szCs w:val="24"/>
          <w:lang w:val="es-ES"/>
        </w:rPr>
        <w:t>Verdouw</w:t>
      </w:r>
      <w:proofErr w:type="spellEnd"/>
      <w:r w:rsidRPr="00BF2862">
        <w:rPr>
          <w:sz w:val="24"/>
          <w:szCs w:val="24"/>
          <w:lang w:val="es-ES"/>
        </w:rPr>
        <w:t xml:space="preserve">, C., </w:t>
      </w:r>
      <w:proofErr w:type="spellStart"/>
      <w:r w:rsidRPr="00BF2862">
        <w:rPr>
          <w:sz w:val="24"/>
          <w:szCs w:val="24"/>
          <w:lang w:val="es-ES"/>
        </w:rPr>
        <w:t>Kassahun</w:t>
      </w:r>
      <w:proofErr w:type="spellEnd"/>
      <w:r w:rsidRPr="00BF2862">
        <w:rPr>
          <w:sz w:val="24"/>
          <w:szCs w:val="24"/>
          <w:lang w:val="es-ES"/>
        </w:rPr>
        <w:t xml:space="preserve">, A., van </w:t>
      </w:r>
      <w:proofErr w:type="spellStart"/>
      <w:r w:rsidRPr="00BF2862">
        <w:rPr>
          <w:sz w:val="24"/>
          <w:szCs w:val="24"/>
          <w:lang w:val="es-ES"/>
        </w:rPr>
        <w:t>Hilten</w:t>
      </w:r>
      <w:proofErr w:type="spellEnd"/>
      <w:r w:rsidRPr="00BF2862">
        <w:rPr>
          <w:sz w:val="24"/>
          <w:szCs w:val="24"/>
          <w:lang w:val="es-ES"/>
        </w:rPr>
        <w:t xml:space="preserve">, M., van </w:t>
      </w:r>
      <w:proofErr w:type="spellStart"/>
      <w:r w:rsidRPr="00BF2862">
        <w:rPr>
          <w:sz w:val="24"/>
          <w:szCs w:val="24"/>
          <w:lang w:val="es-ES"/>
        </w:rPr>
        <w:t>der</w:t>
      </w:r>
      <w:proofErr w:type="spellEnd"/>
      <w:r w:rsidRPr="00BF2862">
        <w:rPr>
          <w:sz w:val="24"/>
          <w:szCs w:val="24"/>
          <w:lang w:val="es-ES"/>
        </w:rPr>
        <w:t xml:space="preserve"> </w:t>
      </w:r>
      <w:proofErr w:type="spellStart"/>
      <w:proofErr w:type="gramStart"/>
      <w:r w:rsidRPr="00BF2862">
        <w:rPr>
          <w:sz w:val="24"/>
          <w:szCs w:val="24"/>
          <w:lang w:val="es-ES"/>
        </w:rPr>
        <w:t>Meij</w:t>
      </w:r>
      <w:proofErr w:type="spellEnd"/>
      <w:r w:rsidRPr="00BF2862">
        <w:rPr>
          <w:sz w:val="24"/>
          <w:szCs w:val="24"/>
          <w:lang w:val="es-ES"/>
        </w:rPr>
        <w:t xml:space="preserve"> ,</w:t>
      </w:r>
      <w:proofErr w:type="gramEnd"/>
      <w:r w:rsidRPr="00BF2862">
        <w:rPr>
          <w:sz w:val="24"/>
          <w:szCs w:val="24"/>
          <w:lang w:val="es-ES"/>
        </w:rPr>
        <w:t xml:space="preserve"> K., &amp; </w:t>
      </w:r>
      <w:proofErr w:type="spellStart"/>
      <w:r w:rsidRPr="00BF2862">
        <w:rPr>
          <w:sz w:val="24"/>
          <w:szCs w:val="24"/>
          <w:lang w:val="es-ES"/>
        </w:rPr>
        <w:t>Tekinerdogan</w:t>
      </w:r>
      <w:proofErr w:type="spellEnd"/>
      <w:r w:rsidRPr="00BF2862">
        <w:rPr>
          <w:sz w:val="24"/>
          <w:szCs w:val="24"/>
          <w:lang w:val="es-ES"/>
        </w:rPr>
        <w:t xml:space="preserve">, B. (2023). </w:t>
      </w:r>
      <w:r w:rsidRPr="00014558">
        <w:rPr>
          <w:sz w:val="24"/>
          <w:szCs w:val="24"/>
        </w:rPr>
        <w:t xml:space="preserve">Tokenizing circularity in agri-food systems: A conceptual framework and exploratory study. </w:t>
      </w:r>
      <w:r w:rsidRPr="00014558">
        <w:rPr>
          <w:i/>
          <w:sz w:val="24"/>
          <w:szCs w:val="24"/>
        </w:rPr>
        <w:t>Journal of Cleaner Production</w:t>
      </w:r>
      <w:r w:rsidRPr="00014558">
        <w:rPr>
          <w:sz w:val="24"/>
          <w:szCs w:val="24"/>
        </w:rPr>
        <w:t xml:space="preserve">, </w:t>
      </w:r>
      <w:r w:rsidRPr="00014558">
        <w:rPr>
          <w:i/>
          <w:sz w:val="24"/>
          <w:szCs w:val="24"/>
        </w:rPr>
        <w:t>413</w:t>
      </w:r>
      <w:r w:rsidRPr="00014558">
        <w:rPr>
          <w:sz w:val="24"/>
          <w:szCs w:val="24"/>
        </w:rPr>
        <w:t xml:space="preserve">, 137527–137527. </w:t>
      </w:r>
      <w:hyperlink r:id="rId112">
        <w:r w:rsidRPr="00014558">
          <w:rPr>
            <w:color w:val="1155CC"/>
            <w:sz w:val="24"/>
            <w:szCs w:val="24"/>
            <w:u w:val="single"/>
          </w:rPr>
          <w:t>https://doi.org/10.1016/j.jclepro.2023.137527</w:t>
        </w:r>
      </w:hyperlink>
      <w:r w:rsidRPr="00014558">
        <w:rPr>
          <w:sz w:val="24"/>
          <w:szCs w:val="24"/>
        </w:rPr>
        <w:t xml:space="preserve"> </w:t>
      </w:r>
    </w:p>
    <w:p w14:paraId="02378AF3" w14:textId="77777777" w:rsidR="008E345C" w:rsidRPr="00BF2862" w:rsidRDefault="002E488D" w:rsidP="00014558">
      <w:pPr>
        <w:spacing w:after="240"/>
        <w:ind w:left="720" w:hanging="720"/>
        <w:rPr>
          <w:sz w:val="24"/>
          <w:szCs w:val="24"/>
          <w:lang w:val="fr-FR"/>
        </w:rPr>
      </w:pPr>
      <w:r w:rsidRPr="00014558">
        <w:rPr>
          <w:sz w:val="24"/>
          <w:szCs w:val="24"/>
        </w:rPr>
        <w:t xml:space="preserve">Venkatesan, K., &amp; Rahayu, S. B. (2024). Blockchain security enhancement: an approach towards hybrid consensus algorithms and machine learning techniques. </w:t>
      </w:r>
      <w:r w:rsidRPr="00BF2862">
        <w:rPr>
          <w:i/>
          <w:sz w:val="24"/>
          <w:szCs w:val="24"/>
          <w:lang w:val="fr-FR"/>
        </w:rPr>
        <w:t>Scientific Reports</w:t>
      </w:r>
      <w:r w:rsidRPr="00BF2862">
        <w:rPr>
          <w:sz w:val="24"/>
          <w:szCs w:val="24"/>
          <w:lang w:val="fr-FR"/>
        </w:rPr>
        <w:t xml:space="preserve">, </w:t>
      </w:r>
      <w:r w:rsidRPr="00BF2862">
        <w:rPr>
          <w:i/>
          <w:sz w:val="24"/>
          <w:szCs w:val="24"/>
          <w:lang w:val="fr-FR"/>
        </w:rPr>
        <w:t>14</w:t>
      </w:r>
      <w:r w:rsidRPr="00BF2862">
        <w:rPr>
          <w:sz w:val="24"/>
          <w:szCs w:val="24"/>
          <w:lang w:val="fr-FR"/>
        </w:rPr>
        <w:t xml:space="preserve">, 1149. </w:t>
      </w:r>
      <w:hyperlink r:id="rId113">
        <w:r w:rsidRPr="00BF2862">
          <w:rPr>
            <w:color w:val="1155CC"/>
            <w:sz w:val="24"/>
            <w:szCs w:val="24"/>
            <w:u w:val="single"/>
            <w:lang w:val="fr-FR"/>
          </w:rPr>
          <w:t>https://doi.org/10.1038/s41598-024-51578-7</w:t>
        </w:r>
      </w:hyperlink>
      <w:r w:rsidRPr="00BF2862">
        <w:rPr>
          <w:sz w:val="24"/>
          <w:szCs w:val="24"/>
          <w:lang w:val="fr-FR"/>
        </w:rPr>
        <w:t xml:space="preserve"> </w:t>
      </w:r>
    </w:p>
    <w:p w14:paraId="27DA3498" w14:textId="77777777" w:rsidR="008E345C" w:rsidRPr="00014558" w:rsidRDefault="002E488D" w:rsidP="00014558">
      <w:pPr>
        <w:spacing w:after="240"/>
        <w:ind w:left="720" w:hanging="720"/>
        <w:rPr>
          <w:sz w:val="24"/>
          <w:szCs w:val="24"/>
        </w:rPr>
      </w:pPr>
      <w:proofErr w:type="spellStart"/>
      <w:r w:rsidRPr="00BF2862">
        <w:rPr>
          <w:sz w:val="24"/>
          <w:szCs w:val="24"/>
          <w:lang w:val="fr-FR"/>
        </w:rPr>
        <w:t>Villalba</w:t>
      </w:r>
      <w:proofErr w:type="spellEnd"/>
      <w:r w:rsidRPr="00BF2862">
        <w:rPr>
          <w:sz w:val="24"/>
          <w:szCs w:val="24"/>
          <w:lang w:val="fr-FR"/>
        </w:rPr>
        <w:t xml:space="preserve">, R., Venus, T. E., &amp; Sauer, J. (2023). </w:t>
      </w:r>
      <w:r w:rsidRPr="00014558">
        <w:rPr>
          <w:sz w:val="24"/>
          <w:szCs w:val="24"/>
        </w:rPr>
        <w:t xml:space="preserve">The ecosystem approach to agricultural value chain finance: A framework for rural credit. </w:t>
      </w:r>
      <w:r w:rsidRPr="00014558">
        <w:rPr>
          <w:i/>
          <w:sz w:val="24"/>
          <w:szCs w:val="24"/>
        </w:rPr>
        <w:t>World Development</w:t>
      </w:r>
      <w:r w:rsidRPr="00014558">
        <w:rPr>
          <w:sz w:val="24"/>
          <w:szCs w:val="24"/>
        </w:rPr>
        <w:t xml:space="preserve">, </w:t>
      </w:r>
      <w:r w:rsidRPr="00014558">
        <w:rPr>
          <w:i/>
          <w:sz w:val="24"/>
          <w:szCs w:val="24"/>
        </w:rPr>
        <w:t>164</w:t>
      </w:r>
      <w:r w:rsidRPr="00014558">
        <w:rPr>
          <w:sz w:val="24"/>
          <w:szCs w:val="24"/>
        </w:rPr>
        <w:t xml:space="preserve">, 106177. </w:t>
      </w:r>
      <w:hyperlink r:id="rId114">
        <w:r w:rsidRPr="00014558">
          <w:rPr>
            <w:color w:val="1155CC"/>
            <w:sz w:val="24"/>
            <w:szCs w:val="24"/>
            <w:u w:val="single"/>
          </w:rPr>
          <w:t>https://doi.org/10.1016/j.worlddev.2022.106177</w:t>
        </w:r>
      </w:hyperlink>
      <w:r w:rsidRPr="00014558">
        <w:rPr>
          <w:sz w:val="24"/>
          <w:szCs w:val="24"/>
        </w:rPr>
        <w:t xml:space="preserve"> </w:t>
      </w:r>
    </w:p>
    <w:p w14:paraId="79206B0D" w14:textId="77777777" w:rsidR="008E345C" w:rsidRPr="00014558" w:rsidRDefault="002E488D" w:rsidP="00014558">
      <w:pPr>
        <w:spacing w:after="240"/>
        <w:ind w:left="720" w:hanging="720"/>
        <w:rPr>
          <w:sz w:val="24"/>
          <w:szCs w:val="24"/>
        </w:rPr>
      </w:pPr>
      <w:r w:rsidRPr="00014558">
        <w:rPr>
          <w:sz w:val="24"/>
          <w:szCs w:val="24"/>
        </w:rPr>
        <w:t xml:space="preserve">Wadhwani, P., &amp; Ambekar, A. (2024). </w:t>
      </w:r>
      <w:r w:rsidRPr="00014558">
        <w:rPr>
          <w:i/>
          <w:sz w:val="24"/>
          <w:szCs w:val="24"/>
        </w:rPr>
        <w:t>Blockchain in Agriculture and Food Supply Chain Market, By Type (Public, Private, Consortium), By Application, By Technology, By End User &amp; Forecast, 2024 - 2032</w:t>
      </w:r>
      <w:r w:rsidRPr="00014558">
        <w:rPr>
          <w:sz w:val="24"/>
          <w:szCs w:val="24"/>
        </w:rPr>
        <w:t xml:space="preserve">. Global Market Insights Inc. </w:t>
      </w:r>
      <w:hyperlink r:id="rId115">
        <w:r w:rsidRPr="00014558">
          <w:rPr>
            <w:color w:val="1155CC"/>
            <w:sz w:val="24"/>
            <w:szCs w:val="24"/>
            <w:u w:val="single"/>
          </w:rPr>
          <w:t>https://www.gminsights.com/industry-analysis/blockchain-in-agriculture-and-food-supply-chain-market</w:t>
        </w:r>
      </w:hyperlink>
      <w:r w:rsidRPr="00014558">
        <w:rPr>
          <w:sz w:val="24"/>
          <w:szCs w:val="24"/>
        </w:rPr>
        <w:t xml:space="preserve"> </w:t>
      </w:r>
    </w:p>
    <w:p w14:paraId="6BB7C0FD" w14:textId="77777777" w:rsidR="008E345C" w:rsidRPr="00014558" w:rsidRDefault="002E488D" w:rsidP="00014558">
      <w:pPr>
        <w:spacing w:after="240"/>
        <w:ind w:left="720" w:hanging="720"/>
        <w:rPr>
          <w:sz w:val="24"/>
          <w:szCs w:val="24"/>
        </w:rPr>
      </w:pPr>
      <w:r w:rsidRPr="00014558">
        <w:rPr>
          <w:sz w:val="24"/>
          <w:szCs w:val="24"/>
        </w:rPr>
        <w:t xml:space="preserve">Xu, J., &amp; Feng, Y. (2022). Reap the Harvest on Blockchain: A Survey of Yield Farming Protocols. </w:t>
      </w:r>
      <w:r w:rsidRPr="00014558">
        <w:rPr>
          <w:i/>
          <w:sz w:val="24"/>
          <w:szCs w:val="24"/>
        </w:rPr>
        <w:t>IEEE Transactions on Network and Service Management</w:t>
      </w:r>
      <w:r w:rsidRPr="00014558">
        <w:rPr>
          <w:sz w:val="24"/>
          <w:szCs w:val="24"/>
        </w:rPr>
        <w:t xml:space="preserve">, </w:t>
      </w:r>
      <w:r w:rsidRPr="00014558">
        <w:rPr>
          <w:i/>
          <w:sz w:val="24"/>
          <w:szCs w:val="24"/>
        </w:rPr>
        <w:t>20</w:t>
      </w:r>
      <w:r w:rsidRPr="00014558">
        <w:rPr>
          <w:sz w:val="24"/>
          <w:szCs w:val="24"/>
        </w:rPr>
        <w:t xml:space="preserve">(1), 1–1. </w:t>
      </w:r>
      <w:hyperlink r:id="rId116">
        <w:r w:rsidRPr="00014558">
          <w:rPr>
            <w:color w:val="1155CC"/>
            <w:sz w:val="24"/>
            <w:szCs w:val="24"/>
            <w:u w:val="single"/>
          </w:rPr>
          <w:t>https://doi.org/10.1109/tnsm.2022.3222815</w:t>
        </w:r>
      </w:hyperlink>
      <w:r w:rsidRPr="00014558">
        <w:rPr>
          <w:sz w:val="24"/>
          <w:szCs w:val="24"/>
        </w:rPr>
        <w:t xml:space="preserve"> </w:t>
      </w:r>
    </w:p>
    <w:p w14:paraId="0373A013" w14:textId="77777777" w:rsidR="008E345C" w:rsidRPr="00014558" w:rsidRDefault="002E488D" w:rsidP="00014558">
      <w:pPr>
        <w:spacing w:after="240"/>
        <w:ind w:left="720" w:hanging="720"/>
        <w:rPr>
          <w:sz w:val="24"/>
          <w:szCs w:val="24"/>
        </w:rPr>
      </w:pPr>
      <w:proofErr w:type="spellStart"/>
      <w:r w:rsidRPr="00BF2862">
        <w:rPr>
          <w:sz w:val="24"/>
          <w:szCs w:val="24"/>
          <w:lang w:val="es-ES"/>
        </w:rPr>
        <w:t>Yasin</w:t>
      </w:r>
      <w:proofErr w:type="spellEnd"/>
      <w:r w:rsidRPr="00BF2862">
        <w:rPr>
          <w:sz w:val="24"/>
          <w:szCs w:val="24"/>
          <w:lang w:val="es-ES"/>
        </w:rPr>
        <w:t xml:space="preserve">, A., </w:t>
      </w:r>
      <w:proofErr w:type="spellStart"/>
      <w:r w:rsidRPr="00BF2862">
        <w:rPr>
          <w:sz w:val="24"/>
          <w:szCs w:val="24"/>
          <w:lang w:val="es-ES"/>
        </w:rPr>
        <w:t>Fatima</w:t>
      </w:r>
      <w:proofErr w:type="spellEnd"/>
      <w:r w:rsidRPr="00BF2862">
        <w:rPr>
          <w:sz w:val="24"/>
          <w:szCs w:val="24"/>
          <w:lang w:val="es-ES"/>
        </w:rPr>
        <w:t xml:space="preserve">, R., </w:t>
      </w:r>
      <w:proofErr w:type="spellStart"/>
      <w:r w:rsidRPr="00BF2862">
        <w:rPr>
          <w:sz w:val="24"/>
          <w:szCs w:val="24"/>
          <w:lang w:val="es-ES"/>
        </w:rPr>
        <w:t>JiangBin</w:t>
      </w:r>
      <w:proofErr w:type="spellEnd"/>
      <w:r w:rsidRPr="00BF2862">
        <w:rPr>
          <w:sz w:val="24"/>
          <w:szCs w:val="24"/>
          <w:lang w:val="es-ES"/>
        </w:rPr>
        <w:t xml:space="preserve">, Z., </w:t>
      </w:r>
      <w:proofErr w:type="spellStart"/>
      <w:r w:rsidRPr="00BF2862">
        <w:rPr>
          <w:sz w:val="24"/>
          <w:szCs w:val="24"/>
          <w:lang w:val="es-ES"/>
        </w:rPr>
        <w:t>Afzal</w:t>
      </w:r>
      <w:proofErr w:type="spellEnd"/>
      <w:r w:rsidRPr="00BF2862">
        <w:rPr>
          <w:sz w:val="24"/>
          <w:szCs w:val="24"/>
          <w:lang w:val="es-ES"/>
        </w:rPr>
        <w:t xml:space="preserve">, W., &amp; Raza, S. (2024). </w:t>
      </w:r>
      <w:r w:rsidRPr="00014558">
        <w:rPr>
          <w:sz w:val="24"/>
          <w:szCs w:val="24"/>
        </w:rPr>
        <w:t>Can serious gaming tactics bolster spear-phishing and phishing resilience</w:t>
      </w:r>
      <w:proofErr w:type="gramStart"/>
      <w:r w:rsidRPr="00014558">
        <w:rPr>
          <w:sz w:val="24"/>
          <w:szCs w:val="24"/>
        </w:rPr>
        <w:t>? :</w:t>
      </w:r>
      <w:proofErr w:type="gramEnd"/>
      <w:r w:rsidRPr="00014558">
        <w:rPr>
          <w:sz w:val="24"/>
          <w:szCs w:val="24"/>
        </w:rPr>
        <w:t xml:space="preserve"> Securing the human hacking in Information Security. </w:t>
      </w:r>
      <w:r w:rsidRPr="00014558">
        <w:rPr>
          <w:i/>
          <w:sz w:val="24"/>
          <w:szCs w:val="24"/>
        </w:rPr>
        <w:t>Information and Software Technology</w:t>
      </w:r>
      <w:r w:rsidRPr="00014558">
        <w:rPr>
          <w:sz w:val="24"/>
          <w:szCs w:val="24"/>
        </w:rPr>
        <w:t xml:space="preserve">, </w:t>
      </w:r>
      <w:r w:rsidRPr="00014558">
        <w:rPr>
          <w:i/>
          <w:sz w:val="24"/>
          <w:szCs w:val="24"/>
        </w:rPr>
        <w:t>170</w:t>
      </w:r>
      <w:r w:rsidRPr="00014558">
        <w:rPr>
          <w:sz w:val="24"/>
          <w:szCs w:val="24"/>
        </w:rPr>
        <w:t xml:space="preserve">, 107426–107426. </w:t>
      </w:r>
      <w:hyperlink r:id="rId117">
        <w:r w:rsidRPr="00014558">
          <w:rPr>
            <w:color w:val="1155CC"/>
            <w:sz w:val="24"/>
            <w:szCs w:val="24"/>
            <w:u w:val="single"/>
          </w:rPr>
          <w:t>https://doi.org/10.1016/j.infsof.2024.107426</w:t>
        </w:r>
      </w:hyperlink>
      <w:r w:rsidRPr="00014558">
        <w:rPr>
          <w:sz w:val="24"/>
          <w:szCs w:val="24"/>
        </w:rPr>
        <w:t xml:space="preserve"> </w:t>
      </w:r>
    </w:p>
    <w:p w14:paraId="05D0BD9E" w14:textId="77777777" w:rsidR="008E345C" w:rsidRPr="00014558" w:rsidRDefault="002E488D" w:rsidP="00014558">
      <w:pPr>
        <w:spacing w:after="240"/>
        <w:ind w:left="720" w:hanging="720"/>
        <w:rPr>
          <w:sz w:val="24"/>
          <w:szCs w:val="24"/>
        </w:rPr>
      </w:pPr>
      <w:r w:rsidRPr="00014558">
        <w:rPr>
          <w:sz w:val="24"/>
          <w:szCs w:val="24"/>
        </w:rPr>
        <w:t xml:space="preserve">Zheng, C., Peng, X., Wang, Z., Ma, T., Lu, J., Chen, L., Dong, L., Wang, L., Cui, X., &amp; Shen, Z. (2025). A Review on Blockchain Applications in Operational Technology for Food and Agriculture Critical Infrastructure. </w:t>
      </w:r>
      <w:r w:rsidRPr="00014558">
        <w:rPr>
          <w:i/>
          <w:sz w:val="24"/>
          <w:szCs w:val="24"/>
        </w:rPr>
        <w:t>Foods</w:t>
      </w:r>
      <w:r w:rsidRPr="00014558">
        <w:rPr>
          <w:sz w:val="24"/>
          <w:szCs w:val="24"/>
        </w:rPr>
        <w:t xml:space="preserve">, </w:t>
      </w:r>
      <w:r w:rsidRPr="00014558">
        <w:rPr>
          <w:i/>
          <w:sz w:val="24"/>
          <w:szCs w:val="24"/>
        </w:rPr>
        <w:t>14</w:t>
      </w:r>
      <w:r w:rsidRPr="00014558">
        <w:rPr>
          <w:sz w:val="24"/>
          <w:szCs w:val="24"/>
        </w:rPr>
        <w:t xml:space="preserve">(2), 251–251. </w:t>
      </w:r>
      <w:hyperlink r:id="rId118">
        <w:r w:rsidRPr="00014558">
          <w:rPr>
            <w:color w:val="1155CC"/>
            <w:sz w:val="24"/>
            <w:szCs w:val="24"/>
            <w:u w:val="single"/>
          </w:rPr>
          <w:t>https://doi.org/10.3390/foods14020251</w:t>
        </w:r>
      </w:hyperlink>
      <w:r w:rsidRPr="00014558">
        <w:rPr>
          <w:sz w:val="24"/>
          <w:szCs w:val="24"/>
        </w:rPr>
        <w:t xml:space="preserve"> </w:t>
      </w:r>
    </w:p>
    <w:p w14:paraId="3406F92B" w14:textId="77777777" w:rsidR="008E345C" w:rsidRPr="00014558" w:rsidRDefault="002E488D" w:rsidP="00014558">
      <w:pPr>
        <w:spacing w:after="240"/>
        <w:ind w:left="720" w:hanging="720"/>
        <w:rPr>
          <w:sz w:val="24"/>
          <w:szCs w:val="24"/>
        </w:rPr>
      </w:pPr>
      <w:r w:rsidRPr="00014558">
        <w:rPr>
          <w:sz w:val="24"/>
          <w:szCs w:val="24"/>
        </w:rPr>
        <w:lastRenderedPageBreak/>
        <w:t xml:space="preserve">Zscheischler, J., Brunsch, R., Rogga, S., &amp; Scholz, R. W. (2022). Perceived risks and vulnerabilities of employing digitalization and digital data in agriculture – Socially robust orientations from a transdisciplinary process. </w:t>
      </w:r>
      <w:r w:rsidRPr="00014558">
        <w:rPr>
          <w:i/>
          <w:sz w:val="24"/>
          <w:szCs w:val="24"/>
        </w:rPr>
        <w:t>Journal of Cleaner Production</w:t>
      </w:r>
      <w:r w:rsidRPr="00014558">
        <w:rPr>
          <w:sz w:val="24"/>
          <w:szCs w:val="24"/>
        </w:rPr>
        <w:t xml:space="preserve">, </w:t>
      </w:r>
      <w:r w:rsidRPr="00014558">
        <w:rPr>
          <w:i/>
          <w:sz w:val="24"/>
          <w:szCs w:val="24"/>
        </w:rPr>
        <w:t>358</w:t>
      </w:r>
      <w:r w:rsidRPr="00014558">
        <w:rPr>
          <w:sz w:val="24"/>
          <w:szCs w:val="24"/>
        </w:rPr>
        <w:t xml:space="preserve">, 132034. </w:t>
      </w:r>
      <w:hyperlink r:id="rId119">
        <w:r w:rsidRPr="00014558">
          <w:rPr>
            <w:color w:val="1155CC"/>
            <w:sz w:val="24"/>
            <w:szCs w:val="24"/>
            <w:u w:val="single"/>
          </w:rPr>
          <w:t>https://doi.org/10.1016/j.jclepro.2022.132034</w:t>
        </w:r>
      </w:hyperlink>
      <w:r w:rsidRPr="00014558">
        <w:rPr>
          <w:sz w:val="24"/>
          <w:szCs w:val="24"/>
        </w:rPr>
        <w:t xml:space="preserve"> </w:t>
      </w:r>
    </w:p>
    <w:p w14:paraId="0A91A4E4" w14:textId="77777777" w:rsidR="008E345C" w:rsidRPr="00014558" w:rsidRDefault="008E345C">
      <w:pPr>
        <w:rPr>
          <w:sz w:val="24"/>
          <w:szCs w:val="24"/>
        </w:rPr>
      </w:pPr>
    </w:p>
    <w:p w14:paraId="106F7022" w14:textId="77777777" w:rsidR="008E345C" w:rsidRPr="00014558" w:rsidRDefault="008E345C">
      <w:pPr>
        <w:rPr>
          <w:sz w:val="24"/>
          <w:szCs w:val="24"/>
        </w:rPr>
      </w:pPr>
    </w:p>
    <w:sectPr w:rsidR="008E345C" w:rsidRPr="000145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14148" w14:textId="77777777" w:rsidR="002248C2" w:rsidRDefault="002248C2" w:rsidP="003A56C2">
      <w:pPr>
        <w:spacing w:line="240" w:lineRule="auto"/>
      </w:pPr>
      <w:r>
        <w:separator/>
      </w:r>
    </w:p>
  </w:endnote>
  <w:endnote w:type="continuationSeparator" w:id="0">
    <w:p w14:paraId="1A192600" w14:textId="77777777" w:rsidR="002248C2" w:rsidRDefault="002248C2" w:rsidP="003A56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250CC" w14:textId="77777777" w:rsidR="003A56C2" w:rsidRDefault="003A56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0FA78" w14:textId="77777777" w:rsidR="003A56C2" w:rsidRDefault="003A56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26CAD" w14:textId="77777777" w:rsidR="003A56C2" w:rsidRDefault="003A56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6AF38" w14:textId="77777777" w:rsidR="002248C2" w:rsidRDefault="002248C2" w:rsidP="003A56C2">
      <w:pPr>
        <w:spacing w:line="240" w:lineRule="auto"/>
      </w:pPr>
      <w:r>
        <w:separator/>
      </w:r>
    </w:p>
  </w:footnote>
  <w:footnote w:type="continuationSeparator" w:id="0">
    <w:p w14:paraId="6849366F" w14:textId="77777777" w:rsidR="002248C2" w:rsidRDefault="002248C2" w:rsidP="003A56C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43B97" w14:textId="5D20C85E" w:rsidR="003A56C2" w:rsidRDefault="003A56C2">
    <w:pPr>
      <w:pStyle w:val="Header"/>
    </w:pPr>
    <w:r>
      <w:rPr>
        <w:noProof/>
      </w:rPr>
      <w:pict w14:anchorId="057E6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54137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381B7" w14:textId="6A416AE1" w:rsidR="003A56C2" w:rsidRDefault="003A56C2">
    <w:pPr>
      <w:pStyle w:val="Header"/>
    </w:pPr>
    <w:r>
      <w:rPr>
        <w:noProof/>
      </w:rPr>
      <w:pict w14:anchorId="15AB5D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54137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8A6C1" w14:textId="4CAFE76F" w:rsidR="003A56C2" w:rsidRDefault="003A56C2">
    <w:pPr>
      <w:pStyle w:val="Header"/>
    </w:pPr>
    <w:r>
      <w:rPr>
        <w:noProof/>
      </w:rPr>
      <w:pict w14:anchorId="607391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454137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73527"/>
    <w:multiLevelType w:val="multilevel"/>
    <w:tmpl w:val="924C0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4557F8"/>
    <w:multiLevelType w:val="multilevel"/>
    <w:tmpl w:val="F6D87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AE3F26"/>
    <w:multiLevelType w:val="multilevel"/>
    <w:tmpl w:val="B4E42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525B0F"/>
    <w:multiLevelType w:val="multilevel"/>
    <w:tmpl w:val="21FC4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C8F6B15"/>
    <w:multiLevelType w:val="multilevel"/>
    <w:tmpl w:val="C5087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F58359E"/>
    <w:multiLevelType w:val="multilevel"/>
    <w:tmpl w:val="3F8AD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C574CC"/>
    <w:multiLevelType w:val="multilevel"/>
    <w:tmpl w:val="08F28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4129E7"/>
    <w:multiLevelType w:val="multilevel"/>
    <w:tmpl w:val="86920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96282C"/>
    <w:multiLevelType w:val="multilevel"/>
    <w:tmpl w:val="93827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CF36BC"/>
    <w:multiLevelType w:val="multilevel"/>
    <w:tmpl w:val="018CA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07057A"/>
    <w:multiLevelType w:val="multilevel"/>
    <w:tmpl w:val="7C86B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8"/>
  </w:num>
  <w:num w:numId="3">
    <w:abstractNumId w:val="7"/>
  </w:num>
  <w:num w:numId="4">
    <w:abstractNumId w:val="2"/>
  </w:num>
  <w:num w:numId="5">
    <w:abstractNumId w:val="5"/>
  </w:num>
  <w:num w:numId="6">
    <w:abstractNumId w:val="3"/>
  </w:num>
  <w:num w:numId="7">
    <w:abstractNumId w:val="0"/>
  </w:num>
  <w:num w:numId="8">
    <w:abstractNumId w:val="6"/>
  </w:num>
  <w:num w:numId="9">
    <w:abstractNumId w:val="10"/>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45C"/>
    <w:rsid w:val="00005E2F"/>
    <w:rsid w:val="00014558"/>
    <w:rsid w:val="000174A0"/>
    <w:rsid w:val="000307D6"/>
    <w:rsid w:val="00034CBF"/>
    <w:rsid w:val="000A2699"/>
    <w:rsid w:val="000B28FA"/>
    <w:rsid w:val="00142A2B"/>
    <w:rsid w:val="001A5E02"/>
    <w:rsid w:val="001B78DB"/>
    <w:rsid w:val="00201A1D"/>
    <w:rsid w:val="002248C2"/>
    <w:rsid w:val="002C0AA4"/>
    <w:rsid w:val="002E488D"/>
    <w:rsid w:val="003223D3"/>
    <w:rsid w:val="00374833"/>
    <w:rsid w:val="003A56C2"/>
    <w:rsid w:val="003C111E"/>
    <w:rsid w:val="00491B23"/>
    <w:rsid w:val="00515297"/>
    <w:rsid w:val="005627F5"/>
    <w:rsid w:val="005E3A0D"/>
    <w:rsid w:val="00632B38"/>
    <w:rsid w:val="006972C9"/>
    <w:rsid w:val="006D752F"/>
    <w:rsid w:val="006E7A72"/>
    <w:rsid w:val="00761295"/>
    <w:rsid w:val="007759FC"/>
    <w:rsid w:val="00854BA9"/>
    <w:rsid w:val="00887D46"/>
    <w:rsid w:val="008B6E56"/>
    <w:rsid w:val="008E345C"/>
    <w:rsid w:val="008F7B66"/>
    <w:rsid w:val="0091095E"/>
    <w:rsid w:val="00933029"/>
    <w:rsid w:val="009837B7"/>
    <w:rsid w:val="009B00C7"/>
    <w:rsid w:val="00A77947"/>
    <w:rsid w:val="00AA1E2F"/>
    <w:rsid w:val="00AB6136"/>
    <w:rsid w:val="00B61F15"/>
    <w:rsid w:val="00BB536C"/>
    <w:rsid w:val="00BF2862"/>
    <w:rsid w:val="00C0003D"/>
    <w:rsid w:val="00C315EB"/>
    <w:rsid w:val="00CD0E60"/>
    <w:rsid w:val="00CE047C"/>
    <w:rsid w:val="00D04F9D"/>
    <w:rsid w:val="00D45755"/>
    <w:rsid w:val="00DC7479"/>
    <w:rsid w:val="00DF6C0E"/>
    <w:rsid w:val="00E0498B"/>
    <w:rsid w:val="00E46FCC"/>
    <w:rsid w:val="00E82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BB0FADD"/>
  <w15:docId w15:val="{FDA6C128-581E-4F0A-A2D5-994F9CC01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2E488D"/>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8B6E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D752F"/>
    <w:rPr>
      <w:b/>
      <w:bCs/>
    </w:rPr>
  </w:style>
  <w:style w:type="character" w:customStyle="1" w:styleId="katex-mathml">
    <w:name w:val="katex-mathml"/>
    <w:basedOn w:val="DefaultParagraphFont"/>
    <w:rsid w:val="00A77947"/>
  </w:style>
  <w:style w:type="character" w:customStyle="1" w:styleId="mord">
    <w:name w:val="mord"/>
    <w:basedOn w:val="DefaultParagraphFont"/>
    <w:rsid w:val="00A77947"/>
  </w:style>
  <w:style w:type="character" w:customStyle="1" w:styleId="vlist-s">
    <w:name w:val="vlist-s"/>
    <w:basedOn w:val="DefaultParagraphFont"/>
    <w:rsid w:val="00A77947"/>
  </w:style>
  <w:style w:type="character" w:customStyle="1" w:styleId="mopen">
    <w:name w:val="mopen"/>
    <w:basedOn w:val="DefaultParagraphFont"/>
    <w:rsid w:val="00A77947"/>
  </w:style>
  <w:style w:type="character" w:customStyle="1" w:styleId="mclose">
    <w:name w:val="mclose"/>
    <w:basedOn w:val="DefaultParagraphFont"/>
    <w:rsid w:val="00A77947"/>
  </w:style>
  <w:style w:type="character" w:customStyle="1" w:styleId="mrel">
    <w:name w:val="mrel"/>
    <w:basedOn w:val="DefaultParagraphFont"/>
    <w:rsid w:val="00A77947"/>
  </w:style>
  <w:style w:type="character" w:customStyle="1" w:styleId="mbin">
    <w:name w:val="mbin"/>
    <w:basedOn w:val="DefaultParagraphFont"/>
    <w:rsid w:val="00A77947"/>
  </w:style>
  <w:style w:type="character" w:styleId="PlaceholderText">
    <w:name w:val="Placeholder Text"/>
    <w:basedOn w:val="DefaultParagraphFont"/>
    <w:uiPriority w:val="99"/>
    <w:semiHidden/>
    <w:rsid w:val="00A77947"/>
    <w:rPr>
      <w:color w:val="808080"/>
    </w:rPr>
  </w:style>
  <w:style w:type="table" w:styleId="PlainTable2">
    <w:name w:val="Plain Table 2"/>
    <w:basedOn w:val="TableNormal"/>
    <w:uiPriority w:val="42"/>
    <w:rsid w:val="008F7B6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761295"/>
    <w:pPr>
      <w:ind w:left="720"/>
      <w:contextualSpacing/>
    </w:pPr>
  </w:style>
  <w:style w:type="paragraph" w:styleId="NoSpacing">
    <w:name w:val="No Spacing"/>
    <w:uiPriority w:val="1"/>
    <w:qFormat/>
    <w:rsid w:val="00BF2862"/>
    <w:pPr>
      <w:spacing w:line="240" w:lineRule="auto"/>
    </w:pPr>
    <w:rPr>
      <w:rFonts w:asciiTheme="minorHAnsi" w:eastAsiaTheme="minorHAnsi" w:hAnsiTheme="minorHAnsi" w:cstheme="minorBidi"/>
      <w:kern w:val="2"/>
      <w:lang w:val="en-US"/>
      <w14:ligatures w14:val="standardContextual"/>
    </w:rPr>
  </w:style>
  <w:style w:type="paragraph" w:styleId="Header">
    <w:name w:val="header"/>
    <w:basedOn w:val="Normal"/>
    <w:link w:val="HeaderChar"/>
    <w:uiPriority w:val="99"/>
    <w:unhideWhenUsed/>
    <w:rsid w:val="003A56C2"/>
    <w:pPr>
      <w:tabs>
        <w:tab w:val="center" w:pos="4680"/>
        <w:tab w:val="right" w:pos="9360"/>
      </w:tabs>
      <w:spacing w:line="240" w:lineRule="auto"/>
    </w:pPr>
  </w:style>
  <w:style w:type="character" w:customStyle="1" w:styleId="HeaderChar">
    <w:name w:val="Header Char"/>
    <w:basedOn w:val="DefaultParagraphFont"/>
    <w:link w:val="Header"/>
    <w:uiPriority w:val="99"/>
    <w:rsid w:val="003A56C2"/>
  </w:style>
  <w:style w:type="paragraph" w:styleId="Footer">
    <w:name w:val="footer"/>
    <w:basedOn w:val="Normal"/>
    <w:link w:val="FooterChar"/>
    <w:uiPriority w:val="99"/>
    <w:unhideWhenUsed/>
    <w:rsid w:val="003A56C2"/>
    <w:pPr>
      <w:tabs>
        <w:tab w:val="center" w:pos="4680"/>
        <w:tab w:val="right" w:pos="9360"/>
      </w:tabs>
      <w:spacing w:line="240" w:lineRule="auto"/>
    </w:pPr>
  </w:style>
  <w:style w:type="character" w:customStyle="1" w:styleId="FooterChar">
    <w:name w:val="Footer Char"/>
    <w:basedOn w:val="DefaultParagraphFont"/>
    <w:link w:val="Footer"/>
    <w:uiPriority w:val="99"/>
    <w:rsid w:val="003A56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6672">
      <w:bodyDiv w:val="1"/>
      <w:marLeft w:val="0"/>
      <w:marRight w:val="0"/>
      <w:marTop w:val="0"/>
      <w:marBottom w:val="0"/>
      <w:divBdr>
        <w:top w:val="none" w:sz="0" w:space="0" w:color="auto"/>
        <w:left w:val="none" w:sz="0" w:space="0" w:color="auto"/>
        <w:bottom w:val="none" w:sz="0" w:space="0" w:color="auto"/>
        <w:right w:val="none" w:sz="0" w:space="0" w:color="auto"/>
      </w:divBdr>
    </w:div>
    <w:div w:id="63454259">
      <w:bodyDiv w:val="1"/>
      <w:marLeft w:val="0"/>
      <w:marRight w:val="0"/>
      <w:marTop w:val="0"/>
      <w:marBottom w:val="0"/>
      <w:divBdr>
        <w:top w:val="none" w:sz="0" w:space="0" w:color="auto"/>
        <w:left w:val="none" w:sz="0" w:space="0" w:color="auto"/>
        <w:bottom w:val="none" w:sz="0" w:space="0" w:color="auto"/>
        <w:right w:val="none" w:sz="0" w:space="0" w:color="auto"/>
      </w:divBdr>
    </w:div>
    <w:div w:id="359822062">
      <w:bodyDiv w:val="1"/>
      <w:marLeft w:val="0"/>
      <w:marRight w:val="0"/>
      <w:marTop w:val="0"/>
      <w:marBottom w:val="0"/>
      <w:divBdr>
        <w:top w:val="none" w:sz="0" w:space="0" w:color="auto"/>
        <w:left w:val="none" w:sz="0" w:space="0" w:color="auto"/>
        <w:bottom w:val="none" w:sz="0" w:space="0" w:color="auto"/>
        <w:right w:val="none" w:sz="0" w:space="0" w:color="auto"/>
      </w:divBdr>
    </w:div>
    <w:div w:id="463935301">
      <w:bodyDiv w:val="1"/>
      <w:marLeft w:val="0"/>
      <w:marRight w:val="0"/>
      <w:marTop w:val="0"/>
      <w:marBottom w:val="0"/>
      <w:divBdr>
        <w:top w:val="none" w:sz="0" w:space="0" w:color="auto"/>
        <w:left w:val="none" w:sz="0" w:space="0" w:color="auto"/>
        <w:bottom w:val="none" w:sz="0" w:space="0" w:color="auto"/>
        <w:right w:val="none" w:sz="0" w:space="0" w:color="auto"/>
      </w:divBdr>
    </w:div>
    <w:div w:id="690304712">
      <w:bodyDiv w:val="1"/>
      <w:marLeft w:val="0"/>
      <w:marRight w:val="0"/>
      <w:marTop w:val="0"/>
      <w:marBottom w:val="0"/>
      <w:divBdr>
        <w:top w:val="none" w:sz="0" w:space="0" w:color="auto"/>
        <w:left w:val="none" w:sz="0" w:space="0" w:color="auto"/>
        <w:bottom w:val="none" w:sz="0" w:space="0" w:color="auto"/>
        <w:right w:val="none" w:sz="0" w:space="0" w:color="auto"/>
      </w:divBdr>
    </w:div>
    <w:div w:id="837116724">
      <w:bodyDiv w:val="1"/>
      <w:marLeft w:val="0"/>
      <w:marRight w:val="0"/>
      <w:marTop w:val="0"/>
      <w:marBottom w:val="0"/>
      <w:divBdr>
        <w:top w:val="none" w:sz="0" w:space="0" w:color="auto"/>
        <w:left w:val="none" w:sz="0" w:space="0" w:color="auto"/>
        <w:bottom w:val="none" w:sz="0" w:space="0" w:color="auto"/>
        <w:right w:val="none" w:sz="0" w:space="0" w:color="auto"/>
      </w:divBdr>
    </w:div>
    <w:div w:id="1744789203">
      <w:bodyDiv w:val="1"/>
      <w:marLeft w:val="0"/>
      <w:marRight w:val="0"/>
      <w:marTop w:val="0"/>
      <w:marBottom w:val="0"/>
      <w:divBdr>
        <w:top w:val="none" w:sz="0" w:space="0" w:color="auto"/>
        <w:left w:val="none" w:sz="0" w:space="0" w:color="auto"/>
        <w:bottom w:val="none" w:sz="0" w:space="0" w:color="auto"/>
        <w:right w:val="none" w:sz="0" w:space="0" w:color="auto"/>
      </w:divBdr>
    </w:div>
    <w:div w:id="2114086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fi16030076" TargetMode="External"/><Relationship Id="rId117" Type="http://schemas.openxmlformats.org/officeDocument/2006/relationships/hyperlink" Target="https://doi.org/10.1016/j.infsof.2024.107426" TargetMode="External"/><Relationship Id="rId21" Type="http://schemas.openxmlformats.org/officeDocument/2006/relationships/hyperlink" Target="https://help.agrotoken.io/en/index.html" TargetMode="External"/><Relationship Id="rId42" Type="http://schemas.openxmlformats.org/officeDocument/2006/relationships/hyperlink" Target="https://doi.org/10.1007/978-981-97-3442-9_29" TargetMode="External"/><Relationship Id="rId47" Type="http://schemas.openxmlformats.org/officeDocument/2006/relationships/hyperlink" Target="https://doi.org/10.1016/j.jisa.2023.103678" TargetMode="External"/><Relationship Id="rId63" Type="http://schemas.openxmlformats.org/officeDocument/2006/relationships/hyperlink" Target="https://doi.org/10.9734/jerr/2024/v26i91271" TargetMode="External"/><Relationship Id="rId68" Type="http://schemas.openxmlformats.org/officeDocument/2006/relationships/hyperlink" Target="https://doi.org/10.1007/979-8-8688-1029-9_1" TargetMode="External"/><Relationship Id="rId84" Type="http://schemas.openxmlformats.org/officeDocument/2006/relationships/hyperlink" Target="https://doi.org/10.9734/ajrcos/2024/v17i3424" TargetMode="External"/><Relationship Id="rId89" Type="http://schemas.openxmlformats.org/officeDocument/2006/relationships/hyperlink" Target="https://doi.org/10.9734/JERR/2024/v26i61160" TargetMode="External"/><Relationship Id="rId112" Type="http://schemas.openxmlformats.org/officeDocument/2006/relationships/hyperlink" Target="https://doi.org/10.1016/j.jclepro.2023.137527" TargetMode="External"/><Relationship Id="rId16" Type="http://schemas.openxmlformats.org/officeDocument/2006/relationships/image" Target="media/image4.png"/><Relationship Id="rId107" Type="http://schemas.openxmlformats.org/officeDocument/2006/relationships/hyperlink" Target="https://doi.org/10.1016/j.ijpe.2025.109554" TargetMode="External"/><Relationship Id="rId11" Type="http://schemas.openxmlformats.org/officeDocument/2006/relationships/header" Target="header3.xml"/><Relationship Id="rId32" Type="http://schemas.openxmlformats.org/officeDocument/2006/relationships/hyperlink" Target="https://doi.org/10.9734/jerr/2025/v27i31414" TargetMode="External"/><Relationship Id="rId37" Type="http://schemas.openxmlformats.org/officeDocument/2006/relationships/hyperlink" Target="https://doi.org/10.1111/padm.12709" TargetMode="External"/><Relationship Id="rId53" Type="http://schemas.openxmlformats.org/officeDocument/2006/relationships/hyperlink" Target="https://doi.org/10.1016/j.clsr.2021.105543" TargetMode="External"/><Relationship Id="rId58" Type="http://schemas.openxmlformats.org/officeDocument/2006/relationships/hyperlink" Target="https://doi.org/10.1109/saner-c62648.2024.00008" TargetMode="External"/><Relationship Id="rId74" Type="http://schemas.openxmlformats.org/officeDocument/2006/relationships/hyperlink" Target="https://doi.org/10.1016/j.jii.2024.100674" TargetMode="External"/><Relationship Id="rId79" Type="http://schemas.openxmlformats.org/officeDocument/2006/relationships/hyperlink" Target="https://doi.org/10.1007/978-3-031-25506-9_1" TargetMode="External"/><Relationship Id="rId102" Type="http://schemas.openxmlformats.org/officeDocument/2006/relationships/hyperlink" Target="https://doi.org/10.1111/ajae.12153" TargetMode="External"/><Relationship Id="rId5" Type="http://schemas.openxmlformats.org/officeDocument/2006/relationships/footnotes" Target="footnotes.xml"/><Relationship Id="rId90" Type="http://schemas.openxmlformats.org/officeDocument/2006/relationships/hyperlink" Target="https://doi.org/10.9734/jerr/2024/v26i71206" TargetMode="External"/><Relationship Id="rId95" Type="http://schemas.openxmlformats.org/officeDocument/2006/relationships/hyperlink" Target="https://doi.org/10.2139/ssrn.4644253" TargetMode="External"/><Relationship Id="rId22" Type="http://schemas.openxmlformats.org/officeDocument/2006/relationships/hyperlink" Target="https://doi.org/10.1109/access.2024.3357538" TargetMode="External"/><Relationship Id="rId27" Type="http://schemas.openxmlformats.org/officeDocument/2006/relationships/hyperlink" Target="https://doi.org/10.9734/ajeba/2024/v24i111542" TargetMode="External"/><Relationship Id="rId43" Type="http://schemas.openxmlformats.org/officeDocument/2006/relationships/hyperlink" Target="https://doi.org/10.1016/j.ijinfomgt.2021.102400" TargetMode="External"/><Relationship Id="rId48" Type="http://schemas.openxmlformats.org/officeDocument/2006/relationships/hyperlink" Target="https://doi.org/10.7717/peerj-cs.1705" TargetMode="External"/><Relationship Id="rId64" Type="http://schemas.openxmlformats.org/officeDocument/2006/relationships/hyperlink" Target="https://www.a3logics.com/blog/blockchain-in-agriculture/" TargetMode="External"/><Relationship Id="rId69" Type="http://schemas.openxmlformats.org/officeDocument/2006/relationships/hyperlink" Target="https://doi.org/10.9734/ajrcos/2024/v17i12528" TargetMode="External"/><Relationship Id="rId113" Type="http://schemas.openxmlformats.org/officeDocument/2006/relationships/hyperlink" Target="https://doi.org/10.1038/s41598-024-51578-7" TargetMode="External"/><Relationship Id="rId118" Type="http://schemas.openxmlformats.org/officeDocument/2006/relationships/hyperlink" Target="https://doi.org/10.3390/foods14020251" TargetMode="External"/><Relationship Id="rId80" Type="http://schemas.openxmlformats.org/officeDocument/2006/relationships/hyperlink" Target="https://doi.org/10.9734/jerr/2025/v27i21400" TargetMode="External"/><Relationship Id="rId85" Type="http://schemas.openxmlformats.org/officeDocument/2006/relationships/hyperlink" Target="https://doi.org/10.9734/ajeba/2024/v24i111577" TargetMode="External"/><Relationship Id="rId12" Type="http://schemas.openxmlformats.org/officeDocument/2006/relationships/footer" Target="footer3.xml"/><Relationship Id="rId17" Type="http://schemas.openxmlformats.org/officeDocument/2006/relationships/image" Target="media/image5.png"/><Relationship Id="rId33" Type="http://schemas.openxmlformats.org/officeDocument/2006/relationships/hyperlink" Target="https://doi.org/10.9734/jerr/2025/v27i21399" TargetMode="External"/><Relationship Id="rId38" Type="http://schemas.openxmlformats.org/officeDocument/2006/relationships/hyperlink" Target="https://doi.org/10.1002/ett.4059" TargetMode="External"/><Relationship Id="rId59" Type="http://schemas.openxmlformats.org/officeDocument/2006/relationships/hyperlink" Target="https://doi.org/10.1016/j.tbench.2022.100073" TargetMode="External"/><Relationship Id="rId103" Type="http://schemas.openxmlformats.org/officeDocument/2006/relationships/hyperlink" Target="https://doi.org/10.2139/ssrn.5046792" TargetMode="External"/><Relationship Id="rId108" Type="http://schemas.openxmlformats.org/officeDocument/2006/relationships/hyperlink" Target="https://doi.org/10.2139/ssrn.4594467" TargetMode="External"/><Relationship Id="rId54" Type="http://schemas.openxmlformats.org/officeDocument/2006/relationships/hyperlink" Target="https://doi.org/10.9734/jerr/2024/v26i111311" TargetMode="External"/><Relationship Id="rId70" Type="http://schemas.openxmlformats.org/officeDocument/2006/relationships/hyperlink" Target="https://doi.org/10.9734/ajrcos/2025/v18i1554" TargetMode="External"/><Relationship Id="rId75" Type="http://schemas.openxmlformats.org/officeDocument/2006/relationships/hyperlink" Target="https://doi.org/10.1007/978-3-031-67450-1_12" TargetMode="External"/><Relationship Id="rId91" Type="http://schemas.openxmlformats.org/officeDocument/2006/relationships/hyperlink" Target="https://doi.org/10.9734/jerr/2025/v27i21413" TargetMode="External"/><Relationship Id="rId96" Type="http://schemas.openxmlformats.org/officeDocument/2006/relationships/hyperlink" Target="https://doi.org/10.1016/j.jenvman.2024.120273"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10.1109/access.2022.3216643" TargetMode="External"/><Relationship Id="rId28" Type="http://schemas.openxmlformats.org/officeDocument/2006/relationships/hyperlink" Target="https://doi.org/10.1080/09538259.2024.2421305" TargetMode="External"/><Relationship Id="rId49" Type="http://schemas.openxmlformats.org/officeDocument/2006/relationships/hyperlink" Target="https://doi.org/10.3390/s21165307" TargetMode="External"/><Relationship Id="rId114" Type="http://schemas.openxmlformats.org/officeDocument/2006/relationships/hyperlink" Target="https://doi.org/10.1016/j.worlddev.2022.106177" TargetMode="External"/><Relationship Id="rId119" Type="http://schemas.openxmlformats.org/officeDocument/2006/relationships/hyperlink" Target="https://doi.org/10.1016/j.jclepro.2022.132034" TargetMode="External"/><Relationship Id="rId44" Type="http://schemas.openxmlformats.org/officeDocument/2006/relationships/hyperlink" Target="https://doi.org/10.1177/20539517231208455" TargetMode="External"/><Relationship Id="rId60" Type="http://schemas.openxmlformats.org/officeDocument/2006/relationships/hyperlink" Target="https://doi.org/10.51594/ijae.v6i4.1073" TargetMode="External"/><Relationship Id="rId65" Type="http://schemas.openxmlformats.org/officeDocument/2006/relationships/hyperlink" Target="https://doi.org/10.1007/s12652-024-04794-y" TargetMode="External"/><Relationship Id="rId81" Type="http://schemas.openxmlformats.org/officeDocument/2006/relationships/hyperlink" Target="https://doi.org/10.9734/jerr/2025/v27i21390" TargetMode="External"/><Relationship Id="rId86" Type="http://schemas.openxmlformats.org/officeDocument/2006/relationships/hyperlink" Target="https://doi.org/10.9734/ajeba/2024/v24i111572"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doi.org/10.1007/s11142-024-09834-8" TargetMode="External"/><Relationship Id="rId109" Type="http://schemas.openxmlformats.org/officeDocument/2006/relationships/hyperlink" Target="https://doi.org/10.1016/j.techfore.2021.120959" TargetMode="External"/><Relationship Id="rId34" Type="http://schemas.openxmlformats.org/officeDocument/2006/relationships/hyperlink" Target="https://doi.org/10.1002/aepp.13151" TargetMode="External"/><Relationship Id="rId50" Type="http://schemas.openxmlformats.org/officeDocument/2006/relationships/hyperlink" Target="https://doi.org/10.9734/jeai/2024/v46i52419" TargetMode="External"/><Relationship Id="rId55" Type="http://schemas.openxmlformats.org/officeDocument/2006/relationships/hyperlink" Target="https://doi.org/10.1007/978-3-031-70996-8_16" TargetMode="External"/><Relationship Id="rId76" Type="http://schemas.openxmlformats.org/officeDocument/2006/relationships/hyperlink" Target="https://doi.org/10.3390/su15054587" TargetMode="External"/><Relationship Id="rId97" Type="http://schemas.openxmlformats.org/officeDocument/2006/relationships/hyperlink" Target="https://doi.org/10.1109/access.2025.3538837" TargetMode="External"/><Relationship Id="rId104" Type="http://schemas.openxmlformats.org/officeDocument/2006/relationships/hyperlink" Target="https://doi.org/10.1007/978-3-031-67450-1_8" TargetMode="External"/><Relationship Id="rId120"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hyperlink" Target="https://doi.org/10.3390/en16135182" TargetMode="External"/><Relationship Id="rId92" Type="http://schemas.openxmlformats.org/officeDocument/2006/relationships/hyperlink" Target="https://doi.org/10.3390/pr11030757" TargetMode="External"/><Relationship Id="rId2" Type="http://schemas.openxmlformats.org/officeDocument/2006/relationships/styles" Target="styles.xml"/><Relationship Id="rId29" Type="http://schemas.openxmlformats.org/officeDocument/2006/relationships/hyperlink" Target="https://doi.org/10.3390/su15021478" TargetMode="External"/><Relationship Id="rId24" Type="http://schemas.openxmlformats.org/officeDocument/2006/relationships/hyperlink" Target="https://doi.org/10.1109/icmcsi61536.2024.00110" TargetMode="External"/><Relationship Id="rId40" Type="http://schemas.openxmlformats.org/officeDocument/2006/relationships/hyperlink" Target="https://www.businesstoday.com.my/2022/09/12/asset-tokenisation-projected-to-grow-50x-into-us16-trillion-opportunity-by-2030-report/" TargetMode="External"/><Relationship Id="rId45" Type="http://schemas.openxmlformats.org/officeDocument/2006/relationships/hyperlink" Target="https://doi.org/10.3390/electronics13050865" TargetMode="External"/><Relationship Id="rId66" Type="http://schemas.openxmlformats.org/officeDocument/2006/relationships/hyperlink" Target="https://doi.org/10.1007/978-3-031-23340-1_5" TargetMode="External"/><Relationship Id="rId87" Type="http://schemas.openxmlformats.org/officeDocument/2006/relationships/hyperlink" Target="https://doi.org/10.9734/ajarr/2024/v18i2601" TargetMode="External"/><Relationship Id="rId110" Type="http://schemas.openxmlformats.org/officeDocument/2006/relationships/hyperlink" Target="https://doi.org/10.51594/farj.v6i6.1181" TargetMode="External"/><Relationship Id="rId115" Type="http://schemas.openxmlformats.org/officeDocument/2006/relationships/hyperlink" Target="https://www.gminsights.com/industry-analysis/blockchain-in-agriculture-and-food-supply-chain-market" TargetMode="External"/><Relationship Id="rId61" Type="http://schemas.openxmlformats.org/officeDocument/2006/relationships/hyperlink" Target="https://doi.org/10.9734/jerr/2024/v26i101291" TargetMode="External"/><Relationship Id="rId82" Type="http://schemas.openxmlformats.org/officeDocument/2006/relationships/hyperlink" Target="https://doi.org/10.9734/ajrcos/2025/v18i1557"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hyperlink" Target="https://doi.org/10.2139/ssrn.4183105" TargetMode="External"/><Relationship Id="rId35" Type="http://schemas.openxmlformats.org/officeDocument/2006/relationships/hyperlink" Target="https://doi.org/10.1080/09537287.2023.2180685" TargetMode="External"/><Relationship Id="rId56" Type="http://schemas.openxmlformats.org/officeDocument/2006/relationships/hyperlink" Target="https://doi.org/10.1057/s41267-024-00705-7" TargetMode="External"/><Relationship Id="rId77" Type="http://schemas.openxmlformats.org/officeDocument/2006/relationships/hyperlink" Target="https://doi.org/10.3390/su14031867" TargetMode="External"/><Relationship Id="rId100" Type="http://schemas.openxmlformats.org/officeDocument/2006/relationships/hyperlink" Target="https://doi.org/10.9734/acri/2024/v24i6794" TargetMode="External"/><Relationship Id="rId105" Type="http://schemas.openxmlformats.org/officeDocument/2006/relationships/hyperlink" Target="https://www.researchgate.net/publication/369143120_Tokenized_Farmlands_for_Food_and_Carbon_Credit" TargetMode="External"/><Relationship Id="rId8" Type="http://schemas.openxmlformats.org/officeDocument/2006/relationships/header" Target="header2.xml"/><Relationship Id="rId51" Type="http://schemas.openxmlformats.org/officeDocument/2006/relationships/hyperlink" Target="https://doi.org/10.4018/979-8-3693-6321-8.ch003" TargetMode="External"/><Relationship Id="rId72" Type="http://schemas.openxmlformats.org/officeDocument/2006/relationships/hyperlink" Target="https://solve.mit.edu/solutions/3002" TargetMode="External"/><Relationship Id="rId93" Type="http://schemas.openxmlformats.org/officeDocument/2006/relationships/hyperlink" Target="https://doi.org/10.3390/fi15120404" TargetMode="External"/><Relationship Id="rId98" Type="http://schemas.openxmlformats.org/officeDocument/2006/relationships/hyperlink" Target="https://doi.org/10.1007/978-3-031-34082-6_10"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doi.org/10.1007/978-981-97-2671-4_5" TargetMode="External"/><Relationship Id="rId46" Type="http://schemas.openxmlformats.org/officeDocument/2006/relationships/hyperlink" Target="https://doi.org/10.3390/fi16070244" TargetMode="External"/><Relationship Id="rId67" Type="http://schemas.openxmlformats.org/officeDocument/2006/relationships/hyperlink" Target="https://doi.org/10.1109/access.2022.3140181" TargetMode="External"/><Relationship Id="rId116" Type="http://schemas.openxmlformats.org/officeDocument/2006/relationships/hyperlink" Target="https://doi.org/10.1109/tnsm.2022.3222815" TargetMode="External"/><Relationship Id="rId20" Type="http://schemas.openxmlformats.org/officeDocument/2006/relationships/hyperlink" Target="https://doi.org/10.9734/ajeba/2024/v24i41269" TargetMode="External"/><Relationship Id="rId41" Type="http://schemas.openxmlformats.org/officeDocument/2006/relationships/hyperlink" Target="https://doi.org/10.17016/feds.2023.060" TargetMode="External"/><Relationship Id="rId62" Type="http://schemas.openxmlformats.org/officeDocument/2006/relationships/hyperlink" Target="https://doi.org/10.1109/seb4sdg60871.2024.10630186" TargetMode="External"/><Relationship Id="rId83" Type="http://schemas.openxmlformats.org/officeDocument/2006/relationships/hyperlink" Target="https://doi.org/10.9734/jerr/2024/v26i91269" TargetMode="External"/><Relationship Id="rId88" Type="http://schemas.openxmlformats.org/officeDocument/2006/relationships/hyperlink" Target="https://doi.org/10.9734/ajrcos/2024/v17i5447" TargetMode="External"/><Relationship Id="rId111" Type="http://schemas.openxmlformats.org/officeDocument/2006/relationships/hyperlink" Target="https://doi.org/10.9734/ajrcos/2024/v17i11517" TargetMode="External"/><Relationship Id="rId15" Type="http://schemas.openxmlformats.org/officeDocument/2006/relationships/image" Target="media/image3.png"/><Relationship Id="rId36" Type="http://schemas.openxmlformats.org/officeDocument/2006/relationships/hyperlink" Target="https://doi.org/10.1016/j.ejor.2022.05.034" TargetMode="External"/><Relationship Id="rId57" Type="http://schemas.openxmlformats.org/officeDocument/2006/relationships/hyperlink" Target="https://doi.org/10.1016/j.jnca.2023.103672" TargetMode="External"/><Relationship Id="rId106" Type="http://schemas.openxmlformats.org/officeDocument/2006/relationships/hyperlink" Target="https://doi.org/10.4018/979-8-3693-1038-0.ch017" TargetMode="External"/><Relationship Id="rId10" Type="http://schemas.openxmlformats.org/officeDocument/2006/relationships/footer" Target="footer2.xml"/><Relationship Id="rId31" Type="http://schemas.openxmlformats.org/officeDocument/2006/relationships/hyperlink" Target="https://doi.org/10.9734/ajrcos/2024/v17i5441" TargetMode="External"/><Relationship Id="rId52" Type="http://schemas.openxmlformats.org/officeDocument/2006/relationships/hyperlink" Target="https://doi.org/10.9734/acri/2024/v24i12997" TargetMode="External"/><Relationship Id="rId73" Type="http://schemas.openxmlformats.org/officeDocument/2006/relationships/hyperlink" Target="https://studies.eigenpub.com/index.php/erst/article/view/11" TargetMode="External"/><Relationship Id="rId78" Type="http://schemas.openxmlformats.org/officeDocument/2006/relationships/hyperlink" Target="https://doi.org/10.1007/978-3-031-61321-0_19" TargetMode="External"/><Relationship Id="rId94" Type="http://schemas.openxmlformats.org/officeDocument/2006/relationships/hyperlink" Target="https://doi.org/10.3390/app14010139" TargetMode="External"/><Relationship Id="rId99" Type="http://schemas.openxmlformats.org/officeDocument/2006/relationships/hyperlink" Target="https://doi.org/10.9734/ajrcos/2024/v17i12530" TargetMode="External"/><Relationship Id="rId101" Type="http://schemas.openxmlformats.org/officeDocument/2006/relationships/hyperlink" Target="https://www.santander.com/en/press-room/press-releases/2022/03/santander-and-agrotoken-join-forces-to-offer-loans-secured-by-cryptoass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12753</Words>
  <Characters>72698</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6</cp:revision>
  <dcterms:created xsi:type="dcterms:W3CDTF">2025-02-20T15:48:00Z</dcterms:created>
  <dcterms:modified xsi:type="dcterms:W3CDTF">2025-02-21T10:36:00Z</dcterms:modified>
</cp:coreProperties>
</file>