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B2704" w14:textId="77777777" w:rsidR="00004C22" w:rsidRPr="00004C22" w:rsidRDefault="00004C22" w:rsidP="00004C22">
      <w:pPr>
        <w:spacing w:after="0" w:line="240" w:lineRule="auto"/>
        <w:ind w:right="-279"/>
        <w:jc w:val="center"/>
        <w:rPr>
          <w:rFonts w:ascii="Arial" w:hAnsi="Arial" w:cs="Arial"/>
          <w:b/>
          <w:bCs/>
          <w:i/>
          <w:iCs/>
          <w:sz w:val="24"/>
          <w:u w:val="single"/>
        </w:rPr>
      </w:pPr>
      <w:r w:rsidRPr="00004C22">
        <w:rPr>
          <w:rFonts w:ascii="Arial" w:hAnsi="Arial" w:cs="Arial"/>
          <w:b/>
          <w:bCs/>
          <w:i/>
          <w:iCs/>
          <w:sz w:val="24"/>
          <w:u w:val="single"/>
        </w:rPr>
        <w:t>Original Research Article</w:t>
      </w:r>
    </w:p>
    <w:p w14:paraId="2CD45B75" w14:textId="77777777" w:rsidR="00241E5A" w:rsidRPr="0062321D" w:rsidRDefault="00241E5A" w:rsidP="00B94F84">
      <w:pPr>
        <w:spacing w:after="0" w:line="240" w:lineRule="auto"/>
        <w:ind w:right="-279"/>
        <w:jc w:val="center"/>
        <w:rPr>
          <w:rFonts w:ascii="Arial" w:hAnsi="Arial" w:cs="Arial"/>
          <w:b/>
          <w:sz w:val="24"/>
        </w:rPr>
      </w:pPr>
      <w:r w:rsidRPr="0062321D">
        <w:rPr>
          <w:rFonts w:ascii="Arial" w:hAnsi="Arial" w:cs="Arial"/>
          <w:b/>
          <w:sz w:val="24"/>
        </w:rPr>
        <w:t xml:space="preserve">Mapping Nutrient Wealth: Macro and Micro Nutrient Status of </w:t>
      </w:r>
      <w:proofErr w:type="spellStart"/>
      <w:r w:rsidRPr="0062321D">
        <w:rPr>
          <w:rFonts w:ascii="Arial" w:hAnsi="Arial" w:cs="Arial"/>
          <w:b/>
          <w:sz w:val="24"/>
        </w:rPr>
        <w:t>Barpeta</w:t>
      </w:r>
      <w:proofErr w:type="spellEnd"/>
      <w:r w:rsidRPr="0062321D">
        <w:rPr>
          <w:rFonts w:ascii="Arial" w:hAnsi="Arial" w:cs="Arial"/>
          <w:b/>
          <w:sz w:val="24"/>
        </w:rPr>
        <w:t xml:space="preserve"> District, Assam through Advanced GPS and GIS Techniques</w:t>
      </w:r>
    </w:p>
    <w:p w14:paraId="69C574CA" w14:textId="77777777" w:rsidR="00241E5A" w:rsidRPr="00930883" w:rsidRDefault="00241E5A" w:rsidP="00B94F84">
      <w:pPr>
        <w:spacing w:after="0" w:line="240" w:lineRule="auto"/>
        <w:ind w:right="-279"/>
        <w:jc w:val="center"/>
        <w:rPr>
          <w:rFonts w:ascii="Arial" w:hAnsi="Arial" w:cs="Arial"/>
        </w:rPr>
      </w:pPr>
    </w:p>
    <w:p w14:paraId="67317BC6" w14:textId="77777777" w:rsidR="00A52F16" w:rsidRDefault="00A52F16" w:rsidP="00744DB6">
      <w:pPr>
        <w:spacing w:after="0"/>
        <w:jc w:val="center"/>
      </w:pPr>
    </w:p>
    <w:p w14:paraId="41AD7E70" w14:textId="77777777" w:rsidR="00A52F16" w:rsidRDefault="00A52F16" w:rsidP="00744DB6">
      <w:pPr>
        <w:spacing w:after="0"/>
        <w:jc w:val="center"/>
      </w:pPr>
    </w:p>
    <w:p w14:paraId="5F25C843" w14:textId="77777777" w:rsidR="00A52F16" w:rsidRDefault="00A52F16" w:rsidP="00744DB6">
      <w:pPr>
        <w:spacing w:after="0"/>
        <w:jc w:val="center"/>
      </w:pPr>
    </w:p>
    <w:p w14:paraId="35AB4B65" w14:textId="77777777" w:rsidR="00A52F16" w:rsidRDefault="00A52F16" w:rsidP="00744DB6">
      <w:pPr>
        <w:spacing w:after="0"/>
        <w:jc w:val="center"/>
      </w:pPr>
    </w:p>
    <w:p w14:paraId="279F83F7" w14:textId="77777777" w:rsidR="00A52F16" w:rsidRDefault="00A52F16" w:rsidP="00744DB6">
      <w:pPr>
        <w:spacing w:after="0"/>
        <w:jc w:val="center"/>
      </w:pPr>
    </w:p>
    <w:p w14:paraId="7B069021" w14:textId="77777777" w:rsidR="00A52F16" w:rsidRDefault="00A52F16" w:rsidP="00744DB6">
      <w:pPr>
        <w:spacing w:after="0"/>
        <w:jc w:val="center"/>
      </w:pPr>
    </w:p>
    <w:p w14:paraId="792A787F" w14:textId="77777777" w:rsidR="00A52F16" w:rsidRPr="00744DB6" w:rsidRDefault="00A52F16" w:rsidP="00744DB6">
      <w:pPr>
        <w:spacing w:after="0"/>
        <w:jc w:val="center"/>
        <w:rPr>
          <w:rFonts w:ascii="Arial" w:hAnsi="Arial" w:cs="Arial"/>
          <w:b/>
          <w:bCs/>
          <w:sz w:val="20"/>
          <w:szCs w:val="24"/>
        </w:rPr>
      </w:pPr>
    </w:p>
    <w:p w14:paraId="0211385D" w14:textId="77777777" w:rsidR="00241E5A" w:rsidRPr="00930883" w:rsidRDefault="00A74CAB" w:rsidP="00241E5A">
      <w:pPr>
        <w:spacing w:after="0" w:line="360" w:lineRule="auto"/>
        <w:jc w:val="both"/>
        <w:rPr>
          <w:rFonts w:ascii="Arial" w:hAnsi="Arial" w:cs="Arial"/>
          <w:b/>
          <w:szCs w:val="24"/>
        </w:rPr>
      </w:pPr>
      <w:r w:rsidRPr="00930883">
        <w:rPr>
          <w:rFonts w:ascii="Arial" w:hAnsi="Arial" w:cs="Arial"/>
          <w:b/>
          <w:szCs w:val="24"/>
        </w:rPr>
        <w:t>Abstract:</w:t>
      </w:r>
    </w:p>
    <w:p w14:paraId="69ABF63D" w14:textId="77777777" w:rsidR="00D15898" w:rsidRPr="00663705" w:rsidRDefault="00D15898" w:rsidP="00C947FC">
      <w:pPr>
        <w:spacing w:after="0"/>
        <w:ind w:firstLine="720"/>
        <w:jc w:val="both"/>
        <w:rPr>
          <w:rFonts w:ascii="Arial" w:hAnsi="Arial" w:cs="Arial"/>
          <w:bCs/>
          <w:sz w:val="20"/>
          <w:szCs w:val="20"/>
        </w:rPr>
      </w:pPr>
      <w:r w:rsidRPr="00663705">
        <w:rPr>
          <w:rFonts w:ascii="Arial" w:hAnsi="Arial" w:cs="Arial"/>
          <w:bCs/>
          <w:sz w:val="20"/>
          <w:szCs w:val="20"/>
        </w:rPr>
        <w:t xml:space="preserve">To assess and map the soil fertility status of </w:t>
      </w:r>
      <w:proofErr w:type="spellStart"/>
      <w:r w:rsidRPr="00663705">
        <w:rPr>
          <w:rFonts w:ascii="Arial" w:hAnsi="Arial" w:cs="Arial"/>
          <w:bCs/>
          <w:sz w:val="20"/>
          <w:szCs w:val="20"/>
        </w:rPr>
        <w:t>Barpeta</w:t>
      </w:r>
      <w:proofErr w:type="spellEnd"/>
      <w:r w:rsidRPr="00663705">
        <w:rPr>
          <w:rFonts w:ascii="Arial" w:hAnsi="Arial" w:cs="Arial"/>
          <w:bCs/>
          <w:sz w:val="20"/>
          <w:szCs w:val="20"/>
        </w:rPr>
        <w:t xml:space="preserve"> district in Assam, this investigation utilized GPS and GIS techniques. A systematic collection of 1,293 georeferenced soil samples was conducted at 1 km intervals from 718 villages, covering all 11 community development blocks and 9 revenue circles of the district. These soil samples were analyzed for 9 chemical parameters, and the data, along with GPS readings, were used to prepare soil fertility maps using GIS. The results from the soil fertility maps revealed that a significant portion of the district was acidic (53.0% of TGA), with 13.0% of the area being slightly to moderately alkaline. Organic carbon (OC) levels were recorded as low, medium, and high in 7.6%, 24.1%, and 42.9% of the area, respectively. In terms of available nutrients, nitrogen (N) and phosphorus (P) were found to be medium in most areas, while potassium (K) was largely low. For available micronutrients, zinc (Zn) was predominantly deficient (47.2% of TGA), while iron (Fe), manganese (Mn), and copper (Cu) were found to be sufficient. Overall, the major nutrient constraints in the </w:t>
      </w:r>
      <w:proofErr w:type="spellStart"/>
      <w:r w:rsidRPr="00663705">
        <w:rPr>
          <w:rFonts w:ascii="Arial" w:hAnsi="Arial" w:cs="Arial"/>
          <w:bCs/>
          <w:sz w:val="20"/>
          <w:szCs w:val="20"/>
        </w:rPr>
        <w:t>Barpeta</w:t>
      </w:r>
      <w:proofErr w:type="spellEnd"/>
      <w:r w:rsidRPr="00663705">
        <w:rPr>
          <w:rFonts w:ascii="Arial" w:hAnsi="Arial" w:cs="Arial"/>
          <w:bCs/>
          <w:sz w:val="20"/>
          <w:szCs w:val="20"/>
        </w:rPr>
        <w:t xml:space="preserve"> district are soil acidity, available potassium (K), and zinc (Zn).</w:t>
      </w:r>
      <w:r w:rsidR="00C947FC" w:rsidRPr="00663705">
        <w:rPr>
          <w:rFonts w:ascii="Arial" w:hAnsi="Arial" w:cs="Arial"/>
          <w:bCs/>
          <w:sz w:val="20"/>
          <w:szCs w:val="20"/>
        </w:rPr>
        <w:t xml:space="preserve"> </w:t>
      </w:r>
      <w:r w:rsidRPr="00663705">
        <w:rPr>
          <w:rFonts w:ascii="Arial" w:hAnsi="Arial" w:cs="Arial"/>
          <w:bCs/>
          <w:sz w:val="20"/>
          <w:szCs w:val="20"/>
        </w:rPr>
        <w:t>This situation necessitates the implementation of soil test crop response-based nutrient recommendations and the application of corresponding micronutrients to enhance soil fertility and crop productivity.</w:t>
      </w:r>
    </w:p>
    <w:p w14:paraId="051273AF" w14:textId="77777777" w:rsidR="00663705" w:rsidRDefault="00663705" w:rsidP="00241E5A">
      <w:pPr>
        <w:spacing w:after="0"/>
        <w:jc w:val="both"/>
        <w:rPr>
          <w:rFonts w:ascii="Arial" w:hAnsi="Arial" w:cs="Arial"/>
          <w:b/>
          <w:bCs/>
          <w:i/>
          <w:sz w:val="20"/>
          <w:szCs w:val="20"/>
        </w:rPr>
      </w:pPr>
    </w:p>
    <w:p w14:paraId="2FECABCF" w14:textId="77777777" w:rsidR="00241E5A" w:rsidRPr="00930883" w:rsidRDefault="00241E5A" w:rsidP="00241E5A">
      <w:pPr>
        <w:spacing w:after="0"/>
        <w:jc w:val="both"/>
        <w:rPr>
          <w:rFonts w:ascii="Arial" w:hAnsi="Arial" w:cs="Arial"/>
          <w:i/>
          <w:sz w:val="20"/>
          <w:szCs w:val="20"/>
        </w:rPr>
      </w:pPr>
      <w:r w:rsidRPr="00CE1487">
        <w:rPr>
          <w:rFonts w:ascii="Arial" w:hAnsi="Arial" w:cs="Arial"/>
          <w:b/>
          <w:bCs/>
          <w:i/>
          <w:szCs w:val="20"/>
        </w:rPr>
        <w:t>Key words</w:t>
      </w:r>
      <w:r w:rsidRPr="00930883">
        <w:rPr>
          <w:rFonts w:ascii="Arial" w:hAnsi="Arial" w:cs="Arial"/>
          <w:bCs/>
          <w:i/>
          <w:sz w:val="20"/>
          <w:szCs w:val="20"/>
        </w:rPr>
        <w:t xml:space="preserve">: </w:t>
      </w:r>
      <w:r w:rsidRPr="00930883">
        <w:rPr>
          <w:rFonts w:ascii="Arial" w:hAnsi="Arial" w:cs="Arial"/>
          <w:i/>
          <w:sz w:val="20"/>
          <w:szCs w:val="20"/>
        </w:rPr>
        <w:t>GPS</w:t>
      </w:r>
      <w:r w:rsidR="00C146DE">
        <w:rPr>
          <w:rFonts w:ascii="Arial" w:hAnsi="Arial" w:cs="Arial"/>
          <w:i/>
          <w:sz w:val="20"/>
          <w:szCs w:val="20"/>
        </w:rPr>
        <w:t xml:space="preserve">, </w:t>
      </w:r>
      <w:r w:rsidR="00C146DE" w:rsidRPr="00930883">
        <w:rPr>
          <w:rFonts w:ascii="Arial" w:hAnsi="Arial" w:cs="Arial"/>
          <w:i/>
          <w:sz w:val="20"/>
          <w:szCs w:val="20"/>
        </w:rPr>
        <w:t>GIS</w:t>
      </w:r>
      <w:r w:rsidRPr="00930883">
        <w:rPr>
          <w:rFonts w:ascii="Arial" w:hAnsi="Arial" w:cs="Arial"/>
          <w:i/>
          <w:sz w:val="20"/>
          <w:szCs w:val="20"/>
        </w:rPr>
        <w:t xml:space="preserve"> techniques, </w:t>
      </w:r>
      <w:r w:rsidR="000C1BAC" w:rsidRPr="00930883">
        <w:rPr>
          <w:rFonts w:ascii="Arial" w:hAnsi="Arial" w:cs="Arial"/>
          <w:i/>
          <w:sz w:val="20"/>
          <w:szCs w:val="20"/>
        </w:rPr>
        <w:t>soil nutrient mapping</w:t>
      </w:r>
      <w:r w:rsidR="00665064" w:rsidRPr="00930883">
        <w:rPr>
          <w:rFonts w:ascii="Arial" w:hAnsi="Arial" w:cs="Arial"/>
          <w:i/>
          <w:sz w:val="20"/>
          <w:szCs w:val="20"/>
        </w:rPr>
        <w:t xml:space="preserve"> and</w:t>
      </w:r>
      <w:r w:rsidRPr="00930883">
        <w:rPr>
          <w:rFonts w:ascii="Arial" w:hAnsi="Arial" w:cs="Arial"/>
          <w:i/>
          <w:sz w:val="20"/>
          <w:szCs w:val="20"/>
        </w:rPr>
        <w:t xml:space="preserve"> soil fertility appraisal.</w:t>
      </w:r>
    </w:p>
    <w:p w14:paraId="2587F69F" w14:textId="77777777" w:rsidR="0068088F" w:rsidRDefault="0068088F" w:rsidP="00F45020">
      <w:pPr>
        <w:spacing w:after="0" w:line="360" w:lineRule="auto"/>
        <w:rPr>
          <w:rFonts w:ascii="Times New Roman" w:hAnsi="Times New Roman" w:cs="Times New Roman"/>
          <w:b/>
          <w:sz w:val="23"/>
          <w:szCs w:val="23"/>
        </w:rPr>
      </w:pPr>
    </w:p>
    <w:p w14:paraId="6C0D041B" w14:textId="77777777" w:rsidR="00A74CAB" w:rsidRPr="00663705" w:rsidRDefault="00AF6686" w:rsidP="00F45020">
      <w:pPr>
        <w:spacing w:after="0" w:line="360" w:lineRule="auto"/>
        <w:rPr>
          <w:rFonts w:ascii="Arial" w:hAnsi="Arial" w:cs="Arial"/>
          <w:b/>
          <w:szCs w:val="23"/>
        </w:rPr>
      </w:pPr>
      <w:r w:rsidRPr="00663705">
        <w:rPr>
          <w:rFonts w:ascii="Arial" w:hAnsi="Arial" w:cs="Arial"/>
          <w:b/>
          <w:szCs w:val="23"/>
        </w:rPr>
        <w:t xml:space="preserve">1. </w:t>
      </w:r>
      <w:r w:rsidR="00A74CAB" w:rsidRPr="00663705">
        <w:rPr>
          <w:rFonts w:ascii="Arial" w:hAnsi="Arial" w:cs="Arial"/>
          <w:b/>
          <w:szCs w:val="23"/>
        </w:rPr>
        <w:t>Introduction</w:t>
      </w:r>
    </w:p>
    <w:p w14:paraId="4A63718D" w14:textId="77777777" w:rsidR="00B74575" w:rsidRPr="00663705" w:rsidRDefault="00A74CAB" w:rsidP="004208C7">
      <w:pPr>
        <w:spacing w:after="0" w:line="360" w:lineRule="auto"/>
        <w:jc w:val="both"/>
        <w:rPr>
          <w:rFonts w:ascii="Arial" w:hAnsi="Arial" w:cs="Arial"/>
          <w:sz w:val="24"/>
          <w:szCs w:val="24"/>
        </w:rPr>
      </w:pPr>
      <w:r w:rsidRPr="00F45020">
        <w:rPr>
          <w:rFonts w:ascii="Times New Roman" w:hAnsi="Times New Roman" w:cs="Times New Roman"/>
          <w:sz w:val="23"/>
          <w:szCs w:val="23"/>
        </w:rPr>
        <w:tab/>
      </w:r>
      <w:r w:rsidR="004208C7" w:rsidRPr="00663705">
        <w:rPr>
          <w:rFonts w:ascii="Arial" w:hAnsi="Arial" w:cs="Arial"/>
          <w:sz w:val="20"/>
          <w:szCs w:val="24"/>
        </w:rPr>
        <w:t xml:space="preserve">Sustainable agriculture is crucial to meet the increasing food demand of Assam's growing population. High crop productivity, which depends on fertile soil, is essential for food security. Evaluating the soil fertility status is vital for crop production, as it is influenced by essential nutrients like Nitrogen (N), Phosphorus (P), Potassium (K) (Singh and Mishra, 2012), and micronutrients (Bingham, 1982; </w:t>
      </w:r>
      <w:proofErr w:type="spellStart"/>
      <w:r w:rsidR="004208C7" w:rsidRPr="00663705">
        <w:rPr>
          <w:rFonts w:ascii="Arial" w:hAnsi="Arial" w:cs="Arial"/>
          <w:sz w:val="20"/>
          <w:szCs w:val="24"/>
        </w:rPr>
        <w:t>Chesnin</w:t>
      </w:r>
      <w:proofErr w:type="spellEnd"/>
      <w:r w:rsidR="004208C7" w:rsidRPr="00663705">
        <w:rPr>
          <w:rFonts w:ascii="Arial" w:hAnsi="Arial" w:cs="Arial"/>
          <w:sz w:val="20"/>
          <w:szCs w:val="24"/>
        </w:rPr>
        <w:t xml:space="preserve"> and Yien, 1950). Unfortunately, crop production in Assam remains stagnant due to imbalanced and inadequate fertilizer use, along with low efficiency of other inputs. The response efficiency of chemical fertilizers has declined significantly under intensive agriculture. Periodic characterization of soil fertility and mapping the spatial distribution of available soil nutrient status are essential for location-specific crop management and sustainable agriculture, as well as precision farming. However, such geo-coded data is lacking for in-depth studies. At the field level, farmers need time-series information to plan crops and procure fertilizers, while at district and state levels, technocrats require time-series data to identify critical areas needing different fertilizers. </w:t>
      </w:r>
      <w:proofErr w:type="spellStart"/>
      <w:r w:rsidR="004208C7" w:rsidRPr="00663705">
        <w:rPr>
          <w:rFonts w:ascii="Arial" w:hAnsi="Arial" w:cs="Arial"/>
          <w:sz w:val="20"/>
          <w:szCs w:val="24"/>
        </w:rPr>
        <w:t>Barpeta</w:t>
      </w:r>
      <w:proofErr w:type="spellEnd"/>
      <w:r w:rsidR="004208C7" w:rsidRPr="00663705">
        <w:rPr>
          <w:rFonts w:ascii="Arial" w:hAnsi="Arial" w:cs="Arial"/>
          <w:sz w:val="20"/>
          <w:szCs w:val="24"/>
        </w:rPr>
        <w:t xml:space="preserve"> district, known for its jute production, has 85% of its population engaged in agriculture. The district faces severe soil erosion, causing significant nutrient loss and agricultural destruction (</w:t>
      </w:r>
      <w:proofErr w:type="spellStart"/>
      <w:r w:rsidR="004208C7" w:rsidRPr="00663705">
        <w:rPr>
          <w:rFonts w:ascii="Arial" w:hAnsi="Arial" w:cs="Arial"/>
          <w:sz w:val="20"/>
          <w:szCs w:val="24"/>
        </w:rPr>
        <w:t>Makbul</w:t>
      </w:r>
      <w:proofErr w:type="spellEnd"/>
      <w:r w:rsidR="004208C7" w:rsidRPr="00663705">
        <w:rPr>
          <w:rFonts w:ascii="Arial" w:hAnsi="Arial" w:cs="Arial"/>
          <w:sz w:val="20"/>
          <w:szCs w:val="24"/>
        </w:rPr>
        <w:t xml:space="preserve"> Hussain Khan, 2012). Due to illiteracy, poverty, unemployment, disguised unemployment, high growth </w:t>
      </w:r>
      <w:r w:rsidR="004208C7" w:rsidRPr="00663705">
        <w:rPr>
          <w:rFonts w:ascii="Arial" w:hAnsi="Arial" w:cs="Arial"/>
          <w:sz w:val="20"/>
          <w:szCs w:val="24"/>
        </w:rPr>
        <w:lastRenderedPageBreak/>
        <w:t xml:space="preserve">rate, and other socio-economic challenges, the people of </w:t>
      </w:r>
      <w:proofErr w:type="spellStart"/>
      <w:r w:rsidR="004208C7" w:rsidRPr="00663705">
        <w:rPr>
          <w:rFonts w:ascii="Arial" w:hAnsi="Arial" w:cs="Arial"/>
          <w:sz w:val="20"/>
          <w:szCs w:val="24"/>
        </w:rPr>
        <w:t>Barpeta</w:t>
      </w:r>
      <w:proofErr w:type="spellEnd"/>
      <w:r w:rsidR="004208C7" w:rsidRPr="00663705">
        <w:rPr>
          <w:rFonts w:ascii="Arial" w:hAnsi="Arial" w:cs="Arial"/>
          <w:sz w:val="20"/>
          <w:szCs w:val="24"/>
        </w:rPr>
        <w:t xml:space="preserve"> depend heavily on agriculture for their livelihood (</w:t>
      </w:r>
      <w:proofErr w:type="spellStart"/>
      <w:r w:rsidR="004208C7" w:rsidRPr="00663705">
        <w:rPr>
          <w:rFonts w:ascii="Arial" w:hAnsi="Arial" w:cs="Arial"/>
          <w:sz w:val="20"/>
          <w:szCs w:val="24"/>
        </w:rPr>
        <w:t>Makbul</w:t>
      </w:r>
      <w:proofErr w:type="spellEnd"/>
      <w:r w:rsidR="004208C7" w:rsidRPr="00663705">
        <w:rPr>
          <w:rFonts w:ascii="Arial" w:hAnsi="Arial" w:cs="Arial"/>
          <w:sz w:val="20"/>
          <w:szCs w:val="24"/>
        </w:rPr>
        <w:t xml:space="preserve"> Hussain Khan, 2012). To boost crop productivity, judicious use of macro and micronutrients is necessary. Soil nutrient variation is natural, with some nutrients being sufficient while others are deficient. Soil testing plays a critical role in the effective use of fertilizers and other agricultural inputs (Santhi et al., 2018). Soil test summaries and soil fertility maps are essential reference materials for scientific soil management (Bowman et al., 1999; Palm et al., 2007). Soil properties vary spatially due to intrinsic factors (parent materials and climate) and extrinsic factors (soil management practices, indigenous fertility status, crop rotation, and standing crop nature) (</w:t>
      </w:r>
      <w:proofErr w:type="spellStart"/>
      <w:r w:rsidR="004208C7" w:rsidRPr="00663705">
        <w:rPr>
          <w:rFonts w:ascii="Arial" w:hAnsi="Arial" w:cs="Arial"/>
          <w:sz w:val="20"/>
          <w:szCs w:val="24"/>
        </w:rPr>
        <w:t>Cambardella</w:t>
      </w:r>
      <w:proofErr w:type="spellEnd"/>
      <w:r w:rsidR="004208C7" w:rsidRPr="00663705">
        <w:rPr>
          <w:rFonts w:ascii="Arial" w:hAnsi="Arial" w:cs="Arial"/>
          <w:sz w:val="20"/>
          <w:szCs w:val="24"/>
        </w:rPr>
        <w:t xml:space="preserve"> and Karlen, 1999). The spatial variability of soil fertility has been challenging to describe until the advent of technologies like GPS and GIS. Collecting soil samples using GPS is crucial for preparing thematic soil fertility maps (Mishra et al., 2013). GIS is a powerful tool for easy access, retrieval, and manipulation of large volumes of natural resource data, aiding farm planning (Mandal and Sharma, 2009). Understanding soil fertility status is essential for the judicious application of fertilizers and amendments to achieve higher crop production (Barua and Bora, 1969). Since such work has not been previously conducted in </w:t>
      </w:r>
      <w:proofErr w:type="spellStart"/>
      <w:r w:rsidR="004208C7" w:rsidRPr="00663705">
        <w:rPr>
          <w:rFonts w:ascii="Arial" w:hAnsi="Arial" w:cs="Arial"/>
          <w:sz w:val="20"/>
          <w:szCs w:val="24"/>
        </w:rPr>
        <w:t>Barpeta</w:t>
      </w:r>
      <w:proofErr w:type="spellEnd"/>
      <w:r w:rsidR="004208C7" w:rsidRPr="00663705">
        <w:rPr>
          <w:rFonts w:ascii="Arial" w:hAnsi="Arial" w:cs="Arial"/>
          <w:sz w:val="20"/>
          <w:szCs w:val="24"/>
        </w:rPr>
        <w:t xml:space="preserve"> district, the current study aims to assess the status of available major and micronutrients using advanced technology to enhance sustainable agricultural production more effectively, timely, and cost-efficiently.</w:t>
      </w:r>
      <w:r w:rsidR="0070147F" w:rsidRPr="00663705">
        <w:rPr>
          <w:rFonts w:ascii="Arial" w:hAnsi="Arial" w:cs="Arial"/>
          <w:sz w:val="20"/>
          <w:szCs w:val="24"/>
        </w:rPr>
        <w:t xml:space="preserve"> </w:t>
      </w:r>
      <w:r w:rsidR="0070147F" w:rsidRPr="00663705">
        <w:rPr>
          <w:rFonts w:ascii="Arial" w:hAnsi="Arial" w:cs="Arial"/>
          <w:sz w:val="20"/>
        </w:rPr>
        <w:t>Given all these considerations, a project was undertaken by the ICAR-National Bureau of Soil Survey and Land Use Planning, Jorhat, titled “</w:t>
      </w:r>
      <w:r w:rsidR="00AA707D" w:rsidRPr="00663705">
        <w:rPr>
          <w:rFonts w:ascii="Arial" w:hAnsi="Arial" w:cs="Arial"/>
          <w:sz w:val="20"/>
        </w:rPr>
        <w:t>Soil Nutrient Status</w:t>
      </w:r>
      <w:r w:rsidR="0070147F" w:rsidRPr="00663705">
        <w:rPr>
          <w:rFonts w:ascii="Arial" w:hAnsi="Arial" w:cs="Arial"/>
          <w:sz w:val="20"/>
        </w:rPr>
        <w:t xml:space="preserve"> Mapping </w:t>
      </w:r>
      <w:r w:rsidR="00AA707D" w:rsidRPr="00663705">
        <w:rPr>
          <w:rFonts w:ascii="Arial" w:hAnsi="Arial" w:cs="Arial"/>
          <w:sz w:val="20"/>
        </w:rPr>
        <w:t>of</w:t>
      </w:r>
      <w:r w:rsidR="0070147F" w:rsidRPr="00663705">
        <w:rPr>
          <w:rFonts w:ascii="Arial" w:hAnsi="Arial" w:cs="Arial"/>
          <w:sz w:val="20"/>
        </w:rPr>
        <w:t xml:space="preserve"> Assam for Site-Specific Nutrient Management Using Geospatial Techniques.” The project focused on </w:t>
      </w:r>
      <w:r w:rsidR="00AA707D" w:rsidRPr="00663705">
        <w:rPr>
          <w:rFonts w:ascii="Arial" w:hAnsi="Arial" w:cs="Arial"/>
          <w:sz w:val="20"/>
        </w:rPr>
        <w:t xml:space="preserve">13 priority </w:t>
      </w:r>
      <w:proofErr w:type="gramStart"/>
      <w:r w:rsidR="00AA707D" w:rsidRPr="00663705">
        <w:rPr>
          <w:rFonts w:ascii="Arial" w:hAnsi="Arial" w:cs="Arial"/>
          <w:sz w:val="20"/>
        </w:rPr>
        <w:t>district</w:t>
      </w:r>
      <w:proofErr w:type="gramEnd"/>
      <w:r w:rsidR="00AA707D" w:rsidRPr="00663705">
        <w:rPr>
          <w:rFonts w:ascii="Arial" w:hAnsi="Arial" w:cs="Arial"/>
          <w:sz w:val="20"/>
        </w:rPr>
        <w:t xml:space="preserve"> of Assam in </w:t>
      </w:r>
      <w:r w:rsidR="002E0AED" w:rsidRPr="00663705">
        <w:rPr>
          <w:rFonts w:ascii="Arial" w:hAnsi="Arial" w:cs="Arial"/>
          <w:sz w:val="20"/>
        </w:rPr>
        <w:t>which</w:t>
      </w:r>
      <w:r w:rsidR="0070147F" w:rsidRPr="00663705">
        <w:rPr>
          <w:rFonts w:ascii="Arial" w:hAnsi="Arial" w:cs="Arial"/>
          <w:sz w:val="20"/>
        </w:rPr>
        <w:t xml:space="preserve"> </w:t>
      </w:r>
      <w:proofErr w:type="spellStart"/>
      <w:r w:rsidR="0070147F" w:rsidRPr="00663705">
        <w:rPr>
          <w:rFonts w:ascii="Arial" w:hAnsi="Arial" w:cs="Arial"/>
          <w:sz w:val="20"/>
        </w:rPr>
        <w:t>Barpeta</w:t>
      </w:r>
      <w:proofErr w:type="spellEnd"/>
      <w:r w:rsidR="0070147F" w:rsidRPr="00663705">
        <w:rPr>
          <w:rFonts w:ascii="Arial" w:hAnsi="Arial" w:cs="Arial"/>
          <w:sz w:val="20"/>
        </w:rPr>
        <w:t xml:space="preserve"> district </w:t>
      </w:r>
      <w:r w:rsidR="00AA707D" w:rsidRPr="00663705">
        <w:rPr>
          <w:rFonts w:ascii="Arial" w:hAnsi="Arial" w:cs="Arial"/>
          <w:sz w:val="20"/>
        </w:rPr>
        <w:t>one with</w:t>
      </w:r>
      <w:r w:rsidR="0070147F" w:rsidRPr="00663705">
        <w:rPr>
          <w:rFonts w:ascii="Arial" w:hAnsi="Arial" w:cs="Arial"/>
          <w:sz w:val="20"/>
        </w:rPr>
        <w:t xml:space="preserve"> the goal of creating GP and GIS-based soil fertility maps of the district. By employing these maps to guide fertilizer application in a site-specific manner, new opportunities for managing soil health and achieving optimal fertilizer usage efficiency may arise. These maps could also serve as reference points for future surveys, providing a real-time perspective of the evolving fertility scenario at the block, village, or district level.</w:t>
      </w:r>
    </w:p>
    <w:p w14:paraId="6407FDDF" w14:textId="77777777" w:rsidR="003620A1" w:rsidRDefault="003620A1" w:rsidP="009A5569">
      <w:pPr>
        <w:spacing w:after="0" w:line="360" w:lineRule="auto"/>
        <w:jc w:val="both"/>
        <w:rPr>
          <w:rFonts w:ascii="Arial" w:hAnsi="Arial" w:cs="Arial"/>
          <w:b/>
        </w:rPr>
      </w:pPr>
    </w:p>
    <w:p w14:paraId="21A33113" w14:textId="77777777" w:rsidR="00393B13" w:rsidRPr="003620A1" w:rsidRDefault="00AF6686" w:rsidP="009A5569">
      <w:pPr>
        <w:spacing w:after="0" w:line="360" w:lineRule="auto"/>
        <w:jc w:val="both"/>
        <w:rPr>
          <w:rFonts w:ascii="Arial" w:hAnsi="Arial" w:cs="Arial"/>
          <w:b/>
        </w:rPr>
      </w:pPr>
      <w:r w:rsidRPr="003620A1">
        <w:rPr>
          <w:rFonts w:ascii="Arial" w:hAnsi="Arial" w:cs="Arial"/>
          <w:b/>
        </w:rPr>
        <w:t xml:space="preserve">2. </w:t>
      </w:r>
      <w:r w:rsidR="00393B13" w:rsidRPr="003620A1">
        <w:rPr>
          <w:rFonts w:ascii="Arial" w:hAnsi="Arial" w:cs="Arial"/>
          <w:b/>
        </w:rPr>
        <w:t>Methods and Materials</w:t>
      </w:r>
    </w:p>
    <w:p w14:paraId="0C9E704F" w14:textId="77777777" w:rsidR="00393B13" w:rsidRPr="00DB0070" w:rsidRDefault="00A951BF" w:rsidP="009A5569">
      <w:pPr>
        <w:spacing w:after="0" w:line="360" w:lineRule="auto"/>
        <w:jc w:val="both"/>
        <w:rPr>
          <w:rFonts w:ascii="Arial" w:hAnsi="Arial" w:cs="Arial"/>
          <w:b/>
          <w:sz w:val="20"/>
          <w:szCs w:val="20"/>
        </w:rPr>
      </w:pPr>
      <w:r w:rsidRPr="00DB0070">
        <w:rPr>
          <w:rFonts w:ascii="Arial" w:hAnsi="Arial" w:cs="Arial"/>
          <w:b/>
          <w:szCs w:val="24"/>
        </w:rPr>
        <w:t xml:space="preserve">2.1 </w:t>
      </w:r>
      <w:r w:rsidR="00393B13" w:rsidRPr="00DB0070">
        <w:rPr>
          <w:rFonts w:ascii="Arial" w:hAnsi="Arial" w:cs="Arial"/>
          <w:b/>
          <w:sz w:val="20"/>
          <w:szCs w:val="20"/>
        </w:rPr>
        <w:t>Geographical Setting</w:t>
      </w:r>
    </w:p>
    <w:p w14:paraId="35474856" w14:textId="77777777" w:rsidR="00F710B8" w:rsidRPr="00061B43" w:rsidRDefault="00393B13" w:rsidP="00F710B8">
      <w:pPr>
        <w:spacing w:after="0" w:line="360" w:lineRule="auto"/>
        <w:jc w:val="both"/>
        <w:rPr>
          <w:rFonts w:ascii="Arial" w:hAnsi="Arial" w:cs="Arial"/>
          <w:sz w:val="20"/>
          <w:szCs w:val="20"/>
          <w:shd w:val="clear" w:color="auto" w:fill="FBFBFB"/>
        </w:rPr>
      </w:pPr>
      <w:r w:rsidRPr="00DB0070">
        <w:rPr>
          <w:rFonts w:ascii="Arial" w:hAnsi="Arial" w:cs="Arial"/>
          <w:sz w:val="20"/>
          <w:szCs w:val="20"/>
        </w:rPr>
        <w:tab/>
      </w:r>
      <w:proofErr w:type="spellStart"/>
      <w:r w:rsidR="00F710B8" w:rsidRPr="00061B43">
        <w:rPr>
          <w:rFonts w:ascii="Arial" w:hAnsi="Arial" w:cs="Arial"/>
          <w:sz w:val="20"/>
          <w:szCs w:val="20"/>
          <w:shd w:val="clear" w:color="auto" w:fill="FBFBFB"/>
        </w:rPr>
        <w:t>Barpeta</w:t>
      </w:r>
      <w:proofErr w:type="spellEnd"/>
      <w:r w:rsidR="00F710B8" w:rsidRPr="00061B43">
        <w:rPr>
          <w:rFonts w:ascii="Arial" w:hAnsi="Arial" w:cs="Arial"/>
          <w:sz w:val="20"/>
          <w:szCs w:val="20"/>
          <w:shd w:val="clear" w:color="auto" w:fill="FBFBFB"/>
        </w:rPr>
        <w:t xml:space="preserve"> district in Assam is located between latitudes 26º 05′ 40" N and 26º 39′ 30" N and longitudes 90º 39′ 0" E and 91º 17′ 45" E, covering an area of 2237.2 km² (as per ICAR-NBSS&amp;LUP, ICAR, Govt. of India). Of this area, 569.2 km² (25.46% of the total geographical area) is occupied by water bodies and sandbars (Fig.1).</w:t>
      </w:r>
    </w:p>
    <w:p w14:paraId="0AAEE995" w14:textId="77777777" w:rsidR="00F710B8" w:rsidRPr="00061B43" w:rsidRDefault="00F710B8" w:rsidP="00F710B8">
      <w:pPr>
        <w:spacing w:after="0" w:line="360" w:lineRule="auto"/>
        <w:jc w:val="both"/>
        <w:rPr>
          <w:rFonts w:ascii="Arial" w:hAnsi="Arial" w:cs="Arial"/>
          <w:sz w:val="20"/>
          <w:szCs w:val="20"/>
          <w:shd w:val="clear" w:color="auto" w:fill="FBFBFB"/>
        </w:rPr>
      </w:pPr>
      <w:r w:rsidRPr="00061B43">
        <w:rPr>
          <w:rFonts w:ascii="Arial" w:hAnsi="Arial" w:cs="Arial"/>
          <w:sz w:val="20"/>
          <w:szCs w:val="20"/>
          <w:shd w:val="clear" w:color="auto" w:fill="FBFBFB"/>
        </w:rPr>
        <w:t xml:space="preserve">The district comprises two subdivisions, </w:t>
      </w:r>
      <w:proofErr w:type="spellStart"/>
      <w:r w:rsidRPr="00061B43">
        <w:rPr>
          <w:rFonts w:ascii="Arial" w:hAnsi="Arial" w:cs="Arial"/>
          <w:sz w:val="20"/>
          <w:szCs w:val="20"/>
          <w:shd w:val="clear" w:color="auto" w:fill="FBFBFB"/>
        </w:rPr>
        <w:t>Barpeta</w:t>
      </w:r>
      <w:proofErr w:type="spellEnd"/>
      <w:r w:rsidRPr="00061B43">
        <w:rPr>
          <w:rFonts w:ascii="Arial" w:hAnsi="Arial" w:cs="Arial"/>
          <w:sz w:val="20"/>
          <w:szCs w:val="20"/>
          <w:shd w:val="clear" w:color="auto" w:fill="FBFBFB"/>
        </w:rPr>
        <w:t xml:space="preserve"> and Bajali, and nine revenue circles: </w:t>
      </w:r>
      <w:proofErr w:type="spellStart"/>
      <w:r w:rsidRPr="00061B43">
        <w:rPr>
          <w:rFonts w:ascii="Arial" w:hAnsi="Arial" w:cs="Arial"/>
          <w:sz w:val="20"/>
          <w:szCs w:val="20"/>
          <w:shd w:val="clear" w:color="auto" w:fill="FBFBFB"/>
        </w:rPr>
        <w:t>Barpeta</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Baghbar</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Sarthebari</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Barnagar</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Kalgachia</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Chenga</w:t>
      </w:r>
      <w:proofErr w:type="spellEnd"/>
      <w:r w:rsidRPr="00061B43">
        <w:rPr>
          <w:rFonts w:ascii="Arial" w:hAnsi="Arial" w:cs="Arial"/>
          <w:sz w:val="20"/>
          <w:szCs w:val="20"/>
          <w:shd w:val="clear" w:color="auto" w:fill="FBFBFB"/>
        </w:rPr>
        <w:t xml:space="preserve">, Bajali, </w:t>
      </w:r>
      <w:proofErr w:type="spellStart"/>
      <w:r w:rsidRPr="00061B43">
        <w:rPr>
          <w:rFonts w:ascii="Arial" w:hAnsi="Arial" w:cs="Arial"/>
          <w:sz w:val="20"/>
          <w:szCs w:val="20"/>
          <w:shd w:val="clear" w:color="auto" w:fill="FBFBFB"/>
        </w:rPr>
        <w:t>Sarupeta</w:t>
      </w:r>
      <w:proofErr w:type="spellEnd"/>
      <w:r w:rsidRPr="00061B43">
        <w:rPr>
          <w:rFonts w:ascii="Arial" w:hAnsi="Arial" w:cs="Arial"/>
          <w:sz w:val="20"/>
          <w:szCs w:val="20"/>
          <w:shd w:val="clear" w:color="auto" w:fill="FBFBFB"/>
        </w:rPr>
        <w:t xml:space="preserve">, and Jalah. </w:t>
      </w:r>
      <w:proofErr w:type="spellStart"/>
      <w:r w:rsidRPr="00061B43">
        <w:rPr>
          <w:rFonts w:ascii="Arial" w:hAnsi="Arial" w:cs="Arial"/>
          <w:sz w:val="20"/>
          <w:szCs w:val="20"/>
          <w:shd w:val="clear" w:color="auto" w:fill="FBFBFB"/>
        </w:rPr>
        <w:t>Barpeta</w:t>
      </w:r>
      <w:proofErr w:type="spellEnd"/>
      <w:r w:rsidRPr="00061B43">
        <w:rPr>
          <w:rFonts w:ascii="Arial" w:hAnsi="Arial" w:cs="Arial"/>
          <w:sz w:val="20"/>
          <w:szCs w:val="20"/>
          <w:shd w:val="clear" w:color="auto" w:fill="FBFBFB"/>
        </w:rPr>
        <w:t xml:space="preserve"> serves as the district headquarters. Situated in Lower Assam, </w:t>
      </w:r>
      <w:proofErr w:type="spellStart"/>
      <w:r w:rsidRPr="00061B43">
        <w:rPr>
          <w:rFonts w:ascii="Arial" w:hAnsi="Arial" w:cs="Arial"/>
          <w:sz w:val="20"/>
          <w:szCs w:val="20"/>
          <w:shd w:val="clear" w:color="auto" w:fill="FBFBFB"/>
        </w:rPr>
        <w:t>Barpeta</w:t>
      </w:r>
      <w:proofErr w:type="spellEnd"/>
      <w:r w:rsidRPr="00061B43">
        <w:rPr>
          <w:rFonts w:ascii="Arial" w:hAnsi="Arial" w:cs="Arial"/>
          <w:sz w:val="20"/>
          <w:szCs w:val="20"/>
          <w:shd w:val="clear" w:color="auto" w:fill="FBFBFB"/>
        </w:rPr>
        <w:t xml:space="preserve"> is bordered by Baksa District to the north, </w:t>
      </w:r>
      <w:proofErr w:type="spellStart"/>
      <w:r w:rsidRPr="00061B43">
        <w:rPr>
          <w:rFonts w:ascii="Arial" w:hAnsi="Arial" w:cs="Arial"/>
          <w:sz w:val="20"/>
          <w:szCs w:val="20"/>
          <w:shd w:val="clear" w:color="auto" w:fill="FBFBFB"/>
        </w:rPr>
        <w:t>Nalbari</w:t>
      </w:r>
      <w:proofErr w:type="spellEnd"/>
      <w:r w:rsidRPr="00061B43">
        <w:rPr>
          <w:rFonts w:ascii="Arial" w:hAnsi="Arial" w:cs="Arial"/>
          <w:sz w:val="20"/>
          <w:szCs w:val="20"/>
          <w:shd w:val="clear" w:color="auto" w:fill="FBFBFB"/>
        </w:rPr>
        <w:t xml:space="preserve"> District to the east, </w:t>
      </w:r>
      <w:proofErr w:type="spellStart"/>
      <w:r w:rsidRPr="00061B43">
        <w:rPr>
          <w:rFonts w:ascii="Arial" w:hAnsi="Arial" w:cs="Arial"/>
          <w:sz w:val="20"/>
          <w:szCs w:val="20"/>
          <w:shd w:val="clear" w:color="auto" w:fill="FBFBFB"/>
        </w:rPr>
        <w:t>Kamrup</w:t>
      </w:r>
      <w:proofErr w:type="spellEnd"/>
      <w:r w:rsidRPr="00061B43">
        <w:rPr>
          <w:rFonts w:ascii="Arial" w:hAnsi="Arial" w:cs="Arial"/>
          <w:sz w:val="20"/>
          <w:szCs w:val="20"/>
          <w:shd w:val="clear" w:color="auto" w:fill="FBFBFB"/>
        </w:rPr>
        <w:t xml:space="preserve"> and Goalpara Districts to the south, and </w:t>
      </w:r>
      <w:proofErr w:type="spellStart"/>
      <w:r w:rsidRPr="00061B43">
        <w:rPr>
          <w:rFonts w:ascii="Arial" w:hAnsi="Arial" w:cs="Arial"/>
          <w:sz w:val="20"/>
          <w:szCs w:val="20"/>
          <w:shd w:val="clear" w:color="auto" w:fill="FBFBFB"/>
        </w:rPr>
        <w:t>Bongaigaon</w:t>
      </w:r>
      <w:proofErr w:type="spellEnd"/>
      <w:r w:rsidRPr="00061B43">
        <w:rPr>
          <w:rFonts w:ascii="Arial" w:hAnsi="Arial" w:cs="Arial"/>
          <w:sz w:val="20"/>
          <w:szCs w:val="20"/>
          <w:shd w:val="clear" w:color="auto" w:fill="FBFBFB"/>
        </w:rPr>
        <w:t xml:space="preserve"> District to the west.</w:t>
      </w:r>
    </w:p>
    <w:p w14:paraId="7343A08A" w14:textId="77777777" w:rsidR="00393B13" w:rsidRPr="00DB0070" w:rsidRDefault="00DB0070" w:rsidP="009A5569">
      <w:pPr>
        <w:autoSpaceDE w:val="0"/>
        <w:autoSpaceDN w:val="0"/>
        <w:adjustRightInd w:val="0"/>
        <w:spacing w:after="0" w:line="360" w:lineRule="auto"/>
        <w:rPr>
          <w:rFonts w:ascii="Arial" w:hAnsi="Arial" w:cs="Arial"/>
          <w:b/>
          <w:iCs/>
          <w:sz w:val="20"/>
          <w:szCs w:val="20"/>
        </w:rPr>
      </w:pPr>
      <w:r w:rsidRPr="00DB0070">
        <w:rPr>
          <w:rFonts w:ascii="Arial" w:hAnsi="Arial" w:cs="Arial"/>
          <w:b/>
          <w:iCs/>
          <w:sz w:val="20"/>
          <w:szCs w:val="20"/>
        </w:rPr>
        <w:t xml:space="preserve">2.2 </w:t>
      </w:r>
      <w:r w:rsidR="00393B13" w:rsidRPr="00DB0070">
        <w:rPr>
          <w:rFonts w:ascii="Arial" w:hAnsi="Arial" w:cs="Arial"/>
          <w:b/>
          <w:iCs/>
          <w:sz w:val="20"/>
          <w:szCs w:val="20"/>
        </w:rPr>
        <w:t xml:space="preserve">Collection and analysis </w:t>
      </w:r>
      <w:r w:rsidR="00F710B8" w:rsidRPr="00DB0070">
        <w:rPr>
          <w:rFonts w:ascii="Arial" w:hAnsi="Arial" w:cs="Arial"/>
          <w:b/>
          <w:iCs/>
          <w:sz w:val="20"/>
          <w:szCs w:val="20"/>
        </w:rPr>
        <w:t>of soil</w:t>
      </w:r>
      <w:r w:rsidR="00393B13" w:rsidRPr="00DB0070">
        <w:rPr>
          <w:rFonts w:ascii="Arial" w:hAnsi="Arial" w:cs="Arial"/>
          <w:b/>
          <w:iCs/>
          <w:sz w:val="20"/>
          <w:szCs w:val="20"/>
        </w:rPr>
        <w:t xml:space="preserve"> samples</w:t>
      </w:r>
    </w:p>
    <w:p w14:paraId="0472BCCE" w14:textId="77777777" w:rsidR="00B03810" w:rsidRDefault="00393B13" w:rsidP="00B03810">
      <w:pPr>
        <w:spacing w:after="0" w:line="360" w:lineRule="auto"/>
        <w:jc w:val="both"/>
        <w:rPr>
          <w:rFonts w:ascii="Arial" w:hAnsi="Arial" w:cs="Arial"/>
          <w:sz w:val="20"/>
          <w:szCs w:val="20"/>
        </w:rPr>
      </w:pPr>
      <w:r w:rsidRPr="00DB0070">
        <w:rPr>
          <w:rFonts w:ascii="Arial" w:hAnsi="Arial" w:cs="Arial"/>
          <w:sz w:val="20"/>
          <w:szCs w:val="20"/>
        </w:rPr>
        <w:t>`</w:t>
      </w:r>
      <w:r w:rsidRPr="00DB0070">
        <w:rPr>
          <w:rFonts w:ascii="Arial" w:hAnsi="Arial" w:cs="Arial"/>
          <w:sz w:val="20"/>
          <w:szCs w:val="20"/>
        </w:rPr>
        <w:tab/>
      </w:r>
      <w:r w:rsidR="00B03810" w:rsidRPr="00DB0070">
        <w:rPr>
          <w:rFonts w:ascii="Arial" w:hAnsi="Arial" w:cs="Arial"/>
          <w:sz w:val="20"/>
          <w:szCs w:val="20"/>
        </w:rPr>
        <w:t xml:space="preserve">The base maps of </w:t>
      </w:r>
      <w:proofErr w:type="spellStart"/>
      <w:r w:rsidR="00B03810" w:rsidRPr="00DB0070">
        <w:rPr>
          <w:rFonts w:ascii="Arial" w:hAnsi="Arial" w:cs="Arial"/>
          <w:sz w:val="20"/>
          <w:szCs w:val="20"/>
        </w:rPr>
        <w:t>Barpeta</w:t>
      </w:r>
      <w:proofErr w:type="spellEnd"/>
      <w:r w:rsidR="00B03810" w:rsidRPr="00DB0070">
        <w:rPr>
          <w:rFonts w:ascii="Arial" w:hAnsi="Arial" w:cs="Arial"/>
          <w:sz w:val="20"/>
          <w:szCs w:val="20"/>
        </w:rPr>
        <w:t xml:space="preserve"> district were created using village boundary maps published by the Assam Survey, Government of Assam, in conjunction with Survey of India Topographical Sheets at a </w:t>
      </w:r>
      <w:r w:rsidR="00B03810" w:rsidRPr="00DB0070">
        <w:rPr>
          <w:rFonts w:ascii="Arial" w:hAnsi="Arial" w:cs="Arial"/>
          <w:sz w:val="20"/>
          <w:szCs w:val="20"/>
        </w:rPr>
        <w:lastRenderedPageBreak/>
        <w:t>1:50,000 scale (78 J / 14, 15, and 16; 78 N / 2, 3, 4, and 7). All maps were marked with grid points at 1 km intervals. A total of 1,293 grid samples were collected across the district, excluding grids in water bodies and inaccessible forest areas. Representative soil samples (0-25 cm depth) were gathered from each grid point for analysis. The soil samples were air-dried, sieved, ground, and analyzed for various parameters: pH was measured using a glass electrode in a 1:2.5 soil/water suspension, organic carbon was determined by Walkley and Black (1934), available potassium was extracted with 1 M NH</w:t>
      </w:r>
      <w:r w:rsidR="00B03810" w:rsidRPr="00DB0070">
        <w:rPr>
          <w:rFonts w:ascii="Arial" w:hAnsi="Arial" w:cs="Arial"/>
          <w:sz w:val="20"/>
          <w:szCs w:val="20"/>
          <w:vertAlign w:val="subscript"/>
        </w:rPr>
        <w:t>4</w:t>
      </w:r>
      <w:r w:rsidR="00B03810" w:rsidRPr="00DB0070">
        <w:rPr>
          <w:rFonts w:ascii="Arial" w:hAnsi="Arial" w:cs="Arial"/>
          <w:sz w:val="20"/>
          <w:szCs w:val="20"/>
        </w:rPr>
        <w:t xml:space="preserve">OAc and measured by flame photometer, available nitrogen was determined by Subbiah and Asija (1956), available phosphorus was measured by Bray P-1 (Bray and Kurtz 1945), and cationic micronutrients were assessed by Lindsay and Norvell (1978) using an atomic absorption spectrophotometer (Shimadzu model No. AA-6300). The soils were then classified into different fertility assessment classes as per </w:t>
      </w:r>
      <w:proofErr w:type="spellStart"/>
      <w:r w:rsidR="00B03810" w:rsidRPr="00DB0070">
        <w:rPr>
          <w:rFonts w:ascii="Arial" w:hAnsi="Arial" w:cs="Arial"/>
          <w:sz w:val="20"/>
          <w:szCs w:val="20"/>
        </w:rPr>
        <w:t>Takkar's</w:t>
      </w:r>
      <w:proofErr w:type="spellEnd"/>
      <w:r w:rsidR="00B03810" w:rsidRPr="00DB0070">
        <w:rPr>
          <w:rFonts w:ascii="Arial" w:hAnsi="Arial" w:cs="Arial"/>
          <w:sz w:val="20"/>
          <w:szCs w:val="20"/>
        </w:rPr>
        <w:t xml:space="preserve"> (2009) guidelines.</w:t>
      </w:r>
    </w:p>
    <w:p w14:paraId="40C1E940" w14:textId="77777777" w:rsidR="00DB0070" w:rsidRPr="00DB0070" w:rsidRDefault="00DB0070" w:rsidP="00DB0070">
      <w:pPr>
        <w:autoSpaceDE w:val="0"/>
        <w:autoSpaceDN w:val="0"/>
        <w:adjustRightInd w:val="0"/>
        <w:spacing w:after="0" w:line="360" w:lineRule="auto"/>
        <w:rPr>
          <w:rFonts w:ascii="Arial" w:hAnsi="Arial" w:cs="Arial"/>
          <w:b/>
          <w:sz w:val="20"/>
          <w:szCs w:val="20"/>
        </w:rPr>
      </w:pPr>
      <w:r w:rsidRPr="00DB0070">
        <w:rPr>
          <w:rFonts w:ascii="Arial" w:hAnsi="Arial" w:cs="Arial"/>
          <w:b/>
          <w:sz w:val="20"/>
          <w:szCs w:val="20"/>
        </w:rPr>
        <w:t>2.2.1 Per cent sample category</w:t>
      </w:r>
    </w:p>
    <w:p w14:paraId="6A1E21DA" w14:textId="77777777" w:rsidR="00B03810" w:rsidRPr="00DB0070" w:rsidRDefault="00B03810" w:rsidP="00B03810">
      <w:pPr>
        <w:autoSpaceDE w:val="0"/>
        <w:autoSpaceDN w:val="0"/>
        <w:adjustRightInd w:val="0"/>
        <w:spacing w:after="0" w:line="360" w:lineRule="auto"/>
        <w:ind w:firstLine="720"/>
        <w:jc w:val="both"/>
        <w:rPr>
          <w:rFonts w:ascii="Arial" w:hAnsi="Arial" w:cs="Arial"/>
          <w:sz w:val="20"/>
          <w:szCs w:val="20"/>
        </w:rPr>
      </w:pPr>
      <w:r w:rsidRPr="00DB0070">
        <w:rPr>
          <w:rFonts w:ascii="Arial" w:hAnsi="Arial" w:cs="Arial"/>
          <w:sz w:val="20"/>
          <w:szCs w:val="20"/>
        </w:rPr>
        <w:t>The analytical results for each soil sample were categorized into low, medium, and high categories for organic carbon and macronutrients, and as deficient, moderate, or sufficient based on the critical limits for available micronutrients in Assam. The percentage of samples in each category and nutrient index values (NIV) were computed using the provided formulae.</w:t>
      </w:r>
    </w:p>
    <w:p w14:paraId="21058DBA" w14:textId="77777777" w:rsidR="003D4455" w:rsidRPr="00DB0070" w:rsidRDefault="003D4455" w:rsidP="009A5569">
      <w:pPr>
        <w:autoSpaceDE w:val="0"/>
        <w:autoSpaceDN w:val="0"/>
        <w:adjustRightInd w:val="0"/>
        <w:spacing w:after="0" w:line="360" w:lineRule="auto"/>
        <w:rPr>
          <w:rFonts w:ascii="Arial" w:hAnsi="Arial" w:cs="Arial"/>
          <w:sz w:val="20"/>
          <w:szCs w:val="20"/>
        </w:rPr>
      </w:pPr>
      <w:r w:rsidRPr="00DB0070">
        <w:rPr>
          <w:rFonts w:ascii="Arial" w:hAnsi="Arial" w:cs="Arial"/>
          <w:sz w:val="20"/>
          <w:szCs w:val="20"/>
        </w:rPr>
        <w:t xml:space="preserve">                           </w:t>
      </w:r>
      <w:r w:rsidR="00DB0070">
        <w:rPr>
          <w:rFonts w:ascii="Arial" w:hAnsi="Arial" w:cs="Arial"/>
          <w:sz w:val="20"/>
          <w:szCs w:val="20"/>
        </w:rPr>
        <w:t xml:space="preserve">                       </w:t>
      </w:r>
      <w:r w:rsidRPr="00DB0070">
        <w:rPr>
          <w:rFonts w:ascii="Arial" w:hAnsi="Arial" w:cs="Arial"/>
          <w:sz w:val="20"/>
          <w:szCs w:val="20"/>
        </w:rPr>
        <w:t>No. of "low (L)" or "medium (M)" or "high (H)" category</w:t>
      </w:r>
    </w:p>
    <w:p w14:paraId="6D1AD0C4" w14:textId="77777777" w:rsidR="003D4455" w:rsidRPr="00DB0070" w:rsidRDefault="003D4455" w:rsidP="009A5569">
      <w:pPr>
        <w:autoSpaceDE w:val="0"/>
        <w:autoSpaceDN w:val="0"/>
        <w:adjustRightInd w:val="0"/>
        <w:spacing w:after="0" w:line="360" w:lineRule="auto"/>
        <w:rPr>
          <w:rFonts w:ascii="Arial" w:hAnsi="Arial" w:cs="Arial"/>
          <w:sz w:val="20"/>
          <w:szCs w:val="20"/>
        </w:rPr>
      </w:pPr>
      <w:r w:rsidRPr="00DB0070">
        <w:rPr>
          <w:rFonts w:ascii="Arial" w:hAnsi="Arial" w:cs="Arial"/>
          <w:sz w:val="20"/>
          <w:szCs w:val="20"/>
        </w:rPr>
        <w:t xml:space="preserve"> </w:t>
      </w:r>
      <w:r w:rsidR="00DB0070" w:rsidRPr="00DB0070">
        <w:rPr>
          <w:rFonts w:ascii="Arial" w:hAnsi="Arial" w:cs="Arial"/>
          <w:sz w:val="20"/>
          <w:szCs w:val="20"/>
        </w:rPr>
        <w:t>Per cent sample category</w:t>
      </w:r>
      <w:r w:rsidRPr="00DB0070">
        <w:rPr>
          <w:rFonts w:ascii="Arial" w:hAnsi="Arial" w:cs="Arial"/>
          <w:sz w:val="20"/>
          <w:szCs w:val="20"/>
        </w:rPr>
        <w:t xml:space="preserve"> = —–––––––––––––———————————————— × 100</w:t>
      </w:r>
    </w:p>
    <w:p w14:paraId="38C7D1E2" w14:textId="77777777" w:rsidR="003D4455" w:rsidRPr="00DB0070" w:rsidRDefault="003D4455" w:rsidP="009A5569">
      <w:pPr>
        <w:spacing w:after="0" w:line="360" w:lineRule="auto"/>
        <w:jc w:val="both"/>
        <w:rPr>
          <w:rFonts w:ascii="Arial" w:hAnsi="Arial" w:cs="Arial"/>
          <w:sz w:val="20"/>
          <w:szCs w:val="20"/>
        </w:rPr>
      </w:pPr>
      <w:r w:rsidRPr="00DB0070">
        <w:rPr>
          <w:rFonts w:ascii="Arial" w:hAnsi="Arial" w:cs="Arial"/>
          <w:sz w:val="20"/>
          <w:szCs w:val="20"/>
        </w:rPr>
        <w:t xml:space="preserve">                                                                     </w:t>
      </w:r>
      <w:r w:rsidR="00DB0070">
        <w:rPr>
          <w:rFonts w:ascii="Arial" w:hAnsi="Arial" w:cs="Arial"/>
          <w:sz w:val="20"/>
          <w:szCs w:val="20"/>
        </w:rPr>
        <w:t xml:space="preserve">          </w:t>
      </w:r>
      <w:r w:rsidRPr="00DB0070">
        <w:rPr>
          <w:rFonts w:ascii="Arial" w:hAnsi="Arial" w:cs="Arial"/>
          <w:sz w:val="20"/>
          <w:szCs w:val="20"/>
        </w:rPr>
        <w:t>Total no. of samples</w:t>
      </w:r>
    </w:p>
    <w:p w14:paraId="64CBAD7B" w14:textId="77777777" w:rsidR="00393B13" w:rsidRPr="00DB0070" w:rsidRDefault="00393B13" w:rsidP="009A5569">
      <w:pPr>
        <w:spacing w:after="0" w:line="360" w:lineRule="auto"/>
        <w:jc w:val="both"/>
        <w:rPr>
          <w:rFonts w:ascii="Arial" w:hAnsi="Arial" w:cs="Arial"/>
          <w:b/>
          <w:iCs/>
          <w:sz w:val="20"/>
          <w:szCs w:val="20"/>
        </w:rPr>
      </w:pPr>
      <w:r w:rsidRPr="00DB0070">
        <w:rPr>
          <w:rFonts w:ascii="Arial" w:hAnsi="Arial" w:cs="Arial"/>
          <w:b/>
          <w:sz w:val="20"/>
          <w:szCs w:val="20"/>
        </w:rPr>
        <w:t xml:space="preserve"> </w:t>
      </w:r>
      <w:r w:rsidR="00DB0070" w:rsidRPr="00DB0070">
        <w:rPr>
          <w:rFonts w:ascii="Arial" w:hAnsi="Arial" w:cs="Arial"/>
          <w:b/>
          <w:sz w:val="20"/>
          <w:szCs w:val="20"/>
        </w:rPr>
        <w:t xml:space="preserve">2.2.2 </w:t>
      </w:r>
      <w:r w:rsidRPr="00DB0070">
        <w:rPr>
          <w:rFonts w:ascii="Arial" w:hAnsi="Arial" w:cs="Arial"/>
          <w:b/>
          <w:iCs/>
          <w:sz w:val="20"/>
          <w:szCs w:val="20"/>
        </w:rPr>
        <w:t>Nutrient index values and fertility rating</w:t>
      </w:r>
    </w:p>
    <w:p w14:paraId="74CB347A" w14:textId="77777777" w:rsidR="001C2B85" w:rsidRPr="00DB0070" w:rsidRDefault="0097444B" w:rsidP="001C2B85">
      <w:pPr>
        <w:autoSpaceDE w:val="0"/>
        <w:autoSpaceDN w:val="0"/>
        <w:adjustRightInd w:val="0"/>
        <w:spacing w:after="0" w:line="360" w:lineRule="auto"/>
        <w:jc w:val="both"/>
        <w:rPr>
          <w:rFonts w:ascii="Arial" w:hAnsi="Arial" w:cs="Arial"/>
          <w:sz w:val="20"/>
          <w:szCs w:val="20"/>
        </w:rPr>
      </w:pPr>
      <w:r w:rsidRPr="00DB0070">
        <w:rPr>
          <w:rFonts w:ascii="Arial" w:hAnsi="Arial" w:cs="Arial"/>
          <w:sz w:val="20"/>
          <w:szCs w:val="20"/>
        </w:rPr>
        <w:tab/>
      </w:r>
      <w:r w:rsidR="001C2B85" w:rsidRPr="00DB0070">
        <w:rPr>
          <w:rFonts w:ascii="Arial" w:hAnsi="Arial" w:cs="Arial"/>
          <w:sz w:val="20"/>
          <w:szCs w:val="20"/>
        </w:rPr>
        <w:t>The Nutrient Index Value (NIV) is calculated based on the proportion of soils falling into low, medium, and high available nutrient categories, using the formula:</w:t>
      </w:r>
    </w:p>
    <w:p w14:paraId="32A922A2" w14:textId="77777777" w:rsidR="00393B13" w:rsidRPr="00DB0070" w:rsidRDefault="00393B13" w:rsidP="009A5569">
      <w:pPr>
        <w:autoSpaceDE w:val="0"/>
        <w:autoSpaceDN w:val="0"/>
        <w:adjustRightInd w:val="0"/>
        <w:spacing w:after="0" w:line="360" w:lineRule="auto"/>
        <w:jc w:val="both"/>
        <w:rPr>
          <w:rFonts w:ascii="Arial" w:hAnsi="Arial" w:cs="Arial"/>
          <w:sz w:val="20"/>
          <w:szCs w:val="20"/>
        </w:rPr>
      </w:pPr>
    </w:p>
    <w:p w14:paraId="1DA27380" w14:textId="77777777" w:rsidR="00393B13" w:rsidRPr="00DB0070" w:rsidRDefault="00393B13" w:rsidP="009A5569">
      <w:pPr>
        <w:autoSpaceDE w:val="0"/>
        <w:autoSpaceDN w:val="0"/>
        <w:adjustRightInd w:val="0"/>
        <w:spacing w:after="0" w:line="360" w:lineRule="auto"/>
        <w:jc w:val="center"/>
        <w:rPr>
          <w:rFonts w:ascii="Arial" w:hAnsi="Arial" w:cs="Arial"/>
          <w:sz w:val="20"/>
          <w:szCs w:val="20"/>
        </w:rPr>
      </w:pPr>
      <w:r w:rsidRPr="00DB0070">
        <w:rPr>
          <w:rFonts w:ascii="Arial" w:hAnsi="Arial" w:cs="Arial"/>
          <w:sz w:val="20"/>
          <w:szCs w:val="20"/>
        </w:rPr>
        <w:t xml:space="preserve">          [(P</w:t>
      </w:r>
      <w:r w:rsidRPr="00DB0070">
        <w:rPr>
          <w:rFonts w:ascii="Arial" w:hAnsi="Arial" w:cs="Arial"/>
          <w:sz w:val="20"/>
          <w:szCs w:val="20"/>
          <w:vertAlign w:val="subscript"/>
        </w:rPr>
        <w:t>H</w:t>
      </w:r>
      <w:r w:rsidRPr="00DB0070">
        <w:rPr>
          <w:rFonts w:ascii="Arial" w:hAnsi="Arial" w:cs="Arial"/>
          <w:sz w:val="20"/>
          <w:szCs w:val="20"/>
        </w:rPr>
        <w:t>×</w:t>
      </w:r>
      <w:proofErr w:type="gramStart"/>
      <w:r w:rsidRPr="00DB0070">
        <w:rPr>
          <w:rFonts w:ascii="Arial" w:hAnsi="Arial" w:cs="Arial"/>
          <w:sz w:val="20"/>
          <w:szCs w:val="20"/>
        </w:rPr>
        <w:t>3)+(</w:t>
      </w:r>
      <w:proofErr w:type="gramEnd"/>
      <w:r w:rsidRPr="00DB0070">
        <w:rPr>
          <w:rFonts w:ascii="Arial" w:hAnsi="Arial" w:cs="Arial"/>
          <w:sz w:val="20"/>
          <w:szCs w:val="20"/>
        </w:rPr>
        <w:t>P</w:t>
      </w:r>
      <w:r w:rsidRPr="00DB0070">
        <w:rPr>
          <w:rFonts w:ascii="Arial" w:hAnsi="Arial" w:cs="Arial"/>
          <w:sz w:val="20"/>
          <w:szCs w:val="20"/>
          <w:vertAlign w:val="subscript"/>
        </w:rPr>
        <w:t>M</w:t>
      </w:r>
      <w:r w:rsidRPr="00DB0070">
        <w:rPr>
          <w:rFonts w:ascii="Arial" w:hAnsi="Arial" w:cs="Arial"/>
          <w:sz w:val="20"/>
          <w:szCs w:val="20"/>
        </w:rPr>
        <w:t>×2)+(P</w:t>
      </w:r>
      <w:r w:rsidRPr="00DB0070">
        <w:rPr>
          <w:rFonts w:ascii="Arial" w:hAnsi="Arial" w:cs="Arial"/>
          <w:sz w:val="20"/>
          <w:szCs w:val="20"/>
          <w:vertAlign w:val="subscript"/>
        </w:rPr>
        <w:t>L</w:t>
      </w:r>
      <w:r w:rsidRPr="00DB0070">
        <w:rPr>
          <w:rFonts w:ascii="Arial" w:hAnsi="Arial" w:cs="Arial"/>
          <w:sz w:val="20"/>
          <w:szCs w:val="20"/>
        </w:rPr>
        <w:t>×1)]</w:t>
      </w:r>
    </w:p>
    <w:p w14:paraId="7C35B662" w14:textId="77777777" w:rsidR="00393B13" w:rsidRPr="00DB0070" w:rsidRDefault="00393B13" w:rsidP="009A5569">
      <w:pPr>
        <w:autoSpaceDE w:val="0"/>
        <w:autoSpaceDN w:val="0"/>
        <w:adjustRightInd w:val="0"/>
        <w:spacing w:after="0" w:line="360" w:lineRule="auto"/>
        <w:jc w:val="center"/>
        <w:rPr>
          <w:rFonts w:ascii="Arial" w:hAnsi="Arial" w:cs="Arial"/>
          <w:sz w:val="20"/>
          <w:szCs w:val="20"/>
        </w:rPr>
      </w:pPr>
      <w:r w:rsidRPr="00DB0070">
        <w:rPr>
          <w:rFonts w:ascii="Arial" w:hAnsi="Arial" w:cs="Arial"/>
          <w:sz w:val="20"/>
          <w:szCs w:val="20"/>
        </w:rPr>
        <w:t>NIV=   ––––––––––––––––––––––</w:t>
      </w:r>
    </w:p>
    <w:p w14:paraId="33A2D958" w14:textId="77777777" w:rsidR="00393B13" w:rsidRPr="00DB0070" w:rsidRDefault="00393B13" w:rsidP="009A5569">
      <w:pPr>
        <w:autoSpaceDE w:val="0"/>
        <w:autoSpaceDN w:val="0"/>
        <w:adjustRightInd w:val="0"/>
        <w:spacing w:after="0" w:line="360" w:lineRule="auto"/>
        <w:jc w:val="center"/>
        <w:rPr>
          <w:rFonts w:ascii="Arial" w:hAnsi="Arial" w:cs="Arial"/>
          <w:sz w:val="20"/>
          <w:szCs w:val="20"/>
        </w:rPr>
      </w:pPr>
      <w:r w:rsidRPr="00DB0070">
        <w:rPr>
          <w:rFonts w:ascii="Arial" w:hAnsi="Arial" w:cs="Arial"/>
          <w:sz w:val="20"/>
          <w:szCs w:val="20"/>
        </w:rPr>
        <w:t>100</w:t>
      </w:r>
    </w:p>
    <w:p w14:paraId="0978D5AC" w14:textId="77777777" w:rsidR="00393B13" w:rsidRPr="00DB0070" w:rsidRDefault="001C2B85" w:rsidP="009A5569">
      <w:pPr>
        <w:autoSpaceDE w:val="0"/>
        <w:autoSpaceDN w:val="0"/>
        <w:adjustRightInd w:val="0"/>
        <w:spacing w:after="0" w:line="360" w:lineRule="auto"/>
        <w:jc w:val="both"/>
        <w:rPr>
          <w:rFonts w:ascii="Arial" w:hAnsi="Arial" w:cs="Arial"/>
          <w:sz w:val="20"/>
          <w:szCs w:val="20"/>
        </w:rPr>
      </w:pPr>
      <w:r w:rsidRPr="00DB0070">
        <w:rPr>
          <w:rFonts w:ascii="Arial" w:hAnsi="Arial" w:cs="Arial"/>
          <w:sz w:val="20"/>
          <w:szCs w:val="20"/>
        </w:rPr>
        <w:t xml:space="preserve">Here, </w:t>
      </w:r>
      <w:r w:rsidRPr="00DB0070">
        <w:rPr>
          <w:rFonts w:ascii="Arial" w:hAnsi="Arial" w:cs="Arial"/>
          <w:bCs/>
          <w:sz w:val="20"/>
          <w:szCs w:val="20"/>
        </w:rPr>
        <w:t>NIV</w:t>
      </w:r>
      <w:r w:rsidRPr="00DB0070">
        <w:rPr>
          <w:rFonts w:ascii="Arial" w:hAnsi="Arial" w:cs="Arial"/>
          <w:sz w:val="20"/>
          <w:szCs w:val="20"/>
        </w:rPr>
        <w:t xml:space="preserve"> represents the nutrient index value; </w:t>
      </w:r>
      <w:r w:rsidRPr="00DB0070">
        <w:rPr>
          <w:rFonts w:ascii="Arial" w:hAnsi="Arial" w:cs="Arial"/>
          <w:bCs/>
          <w:sz w:val="20"/>
          <w:szCs w:val="20"/>
        </w:rPr>
        <w:t>P</w:t>
      </w:r>
      <w:r w:rsidRPr="00DB0070">
        <w:rPr>
          <w:rFonts w:ascii="Arial" w:hAnsi="Arial" w:cs="Arial"/>
          <w:bCs/>
          <w:sz w:val="20"/>
          <w:szCs w:val="20"/>
          <w:vertAlign w:val="subscript"/>
        </w:rPr>
        <w:t>L</w:t>
      </w:r>
      <w:r w:rsidRPr="00DB0070">
        <w:rPr>
          <w:rFonts w:ascii="Arial" w:hAnsi="Arial" w:cs="Arial"/>
          <w:sz w:val="20"/>
          <w:szCs w:val="20"/>
        </w:rPr>
        <w:t xml:space="preserve">, </w:t>
      </w:r>
      <w:r w:rsidRPr="00DB0070">
        <w:rPr>
          <w:rFonts w:ascii="Arial" w:hAnsi="Arial" w:cs="Arial"/>
          <w:bCs/>
          <w:sz w:val="20"/>
          <w:szCs w:val="20"/>
        </w:rPr>
        <w:t>P</w:t>
      </w:r>
      <w:r w:rsidRPr="00DB0070">
        <w:rPr>
          <w:rFonts w:ascii="Arial" w:hAnsi="Arial" w:cs="Arial"/>
          <w:bCs/>
          <w:sz w:val="20"/>
          <w:szCs w:val="20"/>
          <w:vertAlign w:val="subscript"/>
        </w:rPr>
        <w:t>M</w:t>
      </w:r>
      <w:r w:rsidRPr="00DB0070">
        <w:rPr>
          <w:rFonts w:ascii="Arial" w:hAnsi="Arial" w:cs="Arial"/>
          <w:sz w:val="20"/>
          <w:szCs w:val="20"/>
        </w:rPr>
        <w:t xml:space="preserve">, and </w:t>
      </w:r>
      <w:r w:rsidRPr="00DB0070">
        <w:rPr>
          <w:rFonts w:ascii="Arial" w:hAnsi="Arial" w:cs="Arial"/>
          <w:bCs/>
          <w:sz w:val="20"/>
          <w:szCs w:val="20"/>
        </w:rPr>
        <w:t>P</w:t>
      </w:r>
      <w:r w:rsidRPr="00DB0070">
        <w:rPr>
          <w:rFonts w:ascii="Arial" w:hAnsi="Arial" w:cs="Arial"/>
          <w:bCs/>
          <w:sz w:val="20"/>
          <w:szCs w:val="20"/>
          <w:vertAlign w:val="subscript"/>
        </w:rPr>
        <w:t>H</w:t>
      </w:r>
      <w:r w:rsidRPr="00DB0070">
        <w:rPr>
          <w:rFonts w:ascii="Arial" w:hAnsi="Arial" w:cs="Arial"/>
          <w:sz w:val="20"/>
          <w:szCs w:val="20"/>
        </w:rPr>
        <w:t xml:space="preserve"> are the percentages of soil samples falling in the low, medium, and high nutrient status categories, respectively. These categories are given weightages of one, two, and three, respectively (Ramamoorthy and Bajaj, 1969). </w:t>
      </w:r>
      <w:r w:rsidR="00393B13" w:rsidRPr="00DB0070">
        <w:rPr>
          <w:rFonts w:ascii="Arial" w:hAnsi="Arial" w:cs="Arial"/>
          <w:sz w:val="20"/>
          <w:szCs w:val="20"/>
        </w:rPr>
        <w:t>The index values are</w:t>
      </w:r>
      <w:r w:rsidRPr="00DB0070">
        <w:rPr>
          <w:rFonts w:ascii="Arial" w:hAnsi="Arial" w:cs="Arial"/>
          <w:sz w:val="20"/>
          <w:szCs w:val="20"/>
        </w:rPr>
        <w:t xml:space="preserve"> then</w:t>
      </w:r>
      <w:r w:rsidR="00393B13" w:rsidRPr="00DB0070">
        <w:rPr>
          <w:rFonts w:ascii="Arial" w:hAnsi="Arial" w:cs="Arial"/>
          <w:sz w:val="20"/>
          <w:szCs w:val="20"/>
        </w:rPr>
        <w:t xml:space="preserve"> rated into various categories </w:t>
      </w:r>
      <w:r w:rsidR="00393B13" w:rsidRPr="00DB0070">
        <w:rPr>
          <w:rFonts w:ascii="Arial" w:hAnsi="Arial" w:cs="Arial"/>
          <w:i/>
          <w:iCs/>
          <w:sz w:val="20"/>
          <w:szCs w:val="20"/>
        </w:rPr>
        <w:t>viz</w:t>
      </w:r>
      <w:r w:rsidR="00393B13" w:rsidRPr="00DB0070">
        <w:rPr>
          <w:rFonts w:ascii="Arial" w:hAnsi="Arial" w:cs="Arial"/>
          <w:sz w:val="20"/>
          <w:szCs w:val="20"/>
        </w:rPr>
        <w:t xml:space="preserve">., low (&lt;1.67), medium (1.67-2.33) and high (&gt;2.33) for OC and available N, P and K. For available micronutrients, the ratings are very low (&lt;1.33), low (1.33-1.66), marginal (1.66-2.00), adequate (2.00-2.33), high (2.33-2.66) and very high (&gt;2.66). </w:t>
      </w:r>
    </w:p>
    <w:p w14:paraId="7BA9CCA5" w14:textId="77777777" w:rsidR="00393B13" w:rsidRPr="00DB0070" w:rsidRDefault="00D93F09" w:rsidP="009A5569">
      <w:pPr>
        <w:spacing w:after="0" w:line="360" w:lineRule="auto"/>
        <w:jc w:val="both"/>
        <w:rPr>
          <w:rFonts w:ascii="Arial" w:hAnsi="Arial" w:cs="Arial"/>
          <w:i/>
          <w:iCs/>
          <w:sz w:val="20"/>
          <w:szCs w:val="20"/>
        </w:rPr>
      </w:pPr>
      <w:r w:rsidRPr="00DB0070">
        <w:rPr>
          <w:rFonts w:ascii="Arial" w:hAnsi="Arial" w:cs="Arial"/>
          <w:i/>
          <w:sz w:val="20"/>
          <w:szCs w:val="20"/>
        </w:rPr>
        <w:t xml:space="preserve">Statistical Analysis &amp; </w:t>
      </w:r>
      <w:r w:rsidR="00393B13" w:rsidRPr="00DB0070">
        <w:rPr>
          <w:rFonts w:ascii="Arial" w:hAnsi="Arial" w:cs="Arial"/>
          <w:i/>
          <w:iCs/>
          <w:sz w:val="20"/>
          <w:szCs w:val="20"/>
        </w:rPr>
        <w:t>Generation of thematic soil fertility maps</w:t>
      </w:r>
    </w:p>
    <w:p w14:paraId="3C1CD9BE" w14:textId="77777777" w:rsidR="00D93F09" w:rsidRPr="00DB0070" w:rsidRDefault="00A20E8C" w:rsidP="00A20E8C">
      <w:pPr>
        <w:autoSpaceDE w:val="0"/>
        <w:autoSpaceDN w:val="0"/>
        <w:adjustRightInd w:val="0"/>
        <w:spacing w:after="0" w:line="360" w:lineRule="auto"/>
        <w:ind w:firstLine="720"/>
        <w:jc w:val="both"/>
        <w:rPr>
          <w:rFonts w:ascii="Arial" w:hAnsi="Arial" w:cs="Arial"/>
          <w:iCs/>
          <w:sz w:val="20"/>
          <w:szCs w:val="20"/>
        </w:rPr>
      </w:pPr>
      <w:r w:rsidRPr="00DB0070">
        <w:rPr>
          <w:rFonts w:ascii="Arial" w:hAnsi="Arial" w:cs="Arial"/>
          <w:iCs/>
          <w:sz w:val="20"/>
          <w:szCs w:val="20"/>
        </w:rPr>
        <w:t>Descriptive statistics (mean and range) of soil parameters were computed using an Excel data sheet. The point-wise analytical database was imported into the GIS platform (ArcGIS software version 10.3.1) to create soil nutrient maps. Point data were transformed into area features using the Spline method of interpolation. Based on the available nutrient status, thematic maps were generated in GIS, ranking macro-nutrients as 'low', 'medium', and 'high', and micro-nutrients as 'deficient', 'moderate', and 'sufficient'.</w:t>
      </w:r>
    </w:p>
    <w:p w14:paraId="39DA14FB" w14:textId="77777777" w:rsidR="00D93F09" w:rsidRPr="00C022D5" w:rsidRDefault="00BB79C9" w:rsidP="009C452A">
      <w:pPr>
        <w:autoSpaceDE w:val="0"/>
        <w:autoSpaceDN w:val="0"/>
        <w:adjustRightInd w:val="0"/>
        <w:spacing w:after="0" w:line="360" w:lineRule="auto"/>
        <w:jc w:val="both"/>
        <w:rPr>
          <w:rFonts w:ascii="Arial" w:hAnsi="Arial" w:cs="Arial"/>
          <w:b/>
          <w:iCs/>
          <w:szCs w:val="24"/>
        </w:rPr>
      </w:pPr>
      <w:r w:rsidRPr="00C022D5">
        <w:rPr>
          <w:rFonts w:ascii="Arial" w:hAnsi="Arial" w:cs="Arial"/>
          <w:b/>
          <w:iCs/>
          <w:szCs w:val="24"/>
        </w:rPr>
        <w:t>3</w:t>
      </w:r>
      <w:r w:rsidR="00A0647B" w:rsidRPr="00C022D5">
        <w:rPr>
          <w:rFonts w:ascii="Arial" w:hAnsi="Arial" w:cs="Arial"/>
          <w:b/>
          <w:iCs/>
          <w:szCs w:val="24"/>
        </w:rPr>
        <w:t xml:space="preserve">. </w:t>
      </w:r>
      <w:r w:rsidRPr="00C022D5">
        <w:rPr>
          <w:rFonts w:ascii="Arial" w:hAnsi="Arial" w:cs="Arial"/>
          <w:b/>
          <w:iCs/>
          <w:szCs w:val="24"/>
        </w:rPr>
        <w:t xml:space="preserve"> </w:t>
      </w:r>
      <w:r w:rsidR="00D93F09" w:rsidRPr="00C022D5">
        <w:rPr>
          <w:rFonts w:ascii="Arial" w:hAnsi="Arial" w:cs="Arial"/>
          <w:b/>
          <w:iCs/>
          <w:szCs w:val="24"/>
        </w:rPr>
        <w:t>Result and discussion</w:t>
      </w:r>
    </w:p>
    <w:p w14:paraId="7E63BB8B" w14:textId="77777777" w:rsidR="009C452A" w:rsidRPr="00C022D5" w:rsidRDefault="00BB79C9" w:rsidP="009C452A">
      <w:pPr>
        <w:autoSpaceDE w:val="0"/>
        <w:autoSpaceDN w:val="0"/>
        <w:adjustRightInd w:val="0"/>
        <w:spacing w:after="0" w:line="360" w:lineRule="auto"/>
        <w:jc w:val="both"/>
        <w:rPr>
          <w:rFonts w:ascii="Arial" w:hAnsi="Arial" w:cs="Arial"/>
          <w:b/>
          <w:iCs/>
          <w:szCs w:val="24"/>
        </w:rPr>
      </w:pPr>
      <w:r w:rsidRPr="00C022D5">
        <w:rPr>
          <w:rFonts w:ascii="Arial" w:hAnsi="Arial" w:cs="Arial"/>
          <w:b/>
          <w:iCs/>
          <w:szCs w:val="24"/>
        </w:rPr>
        <w:lastRenderedPageBreak/>
        <w:t xml:space="preserve">3.1 </w:t>
      </w:r>
      <w:r w:rsidR="009C452A" w:rsidRPr="00C022D5">
        <w:rPr>
          <w:rFonts w:ascii="Arial" w:hAnsi="Arial" w:cs="Arial"/>
          <w:b/>
          <w:iCs/>
          <w:szCs w:val="24"/>
        </w:rPr>
        <w:t xml:space="preserve">Soil reaction (pH) </w:t>
      </w:r>
    </w:p>
    <w:p w14:paraId="531EC5F2" w14:textId="77777777" w:rsidR="002E2D25" w:rsidRPr="00C022D5" w:rsidRDefault="009C452A" w:rsidP="002E2D25">
      <w:pPr>
        <w:autoSpaceDE w:val="0"/>
        <w:autoSpaceDN w:val="0"/>
        <w:adjustRightInd w:val="0"/>
        <w:spacing w:after="0" w:line="360" w:lineRule="auto"/>
        <w:jc w:val="both"/>
        <w:rPr>
          <w:rFonts w:ascii="Arial" w:hAnsi="Arial" w:cs="Arial"/>
          <w:sz w:val="20"/>
          <w:szCs w:val="24"/>
        </w:rPr>
      </w:pPr>
      <w:r w:rsidRPr="009C452A">
        <w:rPr>
          <w:rFonts w:ascii="Times New Roman" w:hAnsi="Times New Roman" w:cs="Times New Roman"/>
          <w:sz w:val="24"/>
          <w:szCs w:val="24"/>
        </w:rPr>
        <w:tab/>
      </w:r>
      <w:r w:rsidR="002E2D25" w:rsidRPr="00C022D5">
        <w:rPr>
          <w:rFonts w:ascii="Arial" w:hAnsi="Arial" w:cs="Arial"/>
          <w:sz w:val="20"/>
          <w:szCs w:val="24"/>
        </w:rPr>
        <w:t>The pH of the surface soil</w:t>
      </w:r>
      <w:r w:rsidR="00150E9A" w:rsidRPr="00C022D5">
        <w:rPr>
          <w:rFonts w:ascii="Arial" w:hAnsi="Arial" w:cs="Arial"/>
          <w:sz w:val="20"/>
          <w:szCs w:val="24"/>
        </w:rPr>
        <w:t xml:space="preserve"> (Table 1</w:t>
      </w:r>
      <w:r w:rsidR="0091660D" w:rsidRPr="00C022D5">
        <w:rPr>
          <w:rFonts w:ascii="Arial" w:hAnsi="Arial" w:cs="Arial"/>
          <w:sz w:val="20"/>
          <w:szCs w:val="24"/>
        </w:rPr>
        <w:t>) ranged</w:t>
      </w:r>
      <w:r w:rsidR="002E2D25" w:rsidRPr="00C022D5">
        <w:rPr>
          <w:rFonts w:ascii="Arial" w:hAnsi="Arial" w:cs="Arial"/>
          <w:sz w:val="20"/>
          <w:szCs w:val="24"/>
        </w:rPr>
        <w:t xml:space="preserve"> from 3.99 to 8.4, with a mean of 5.91. Approximately 53.0% of the samples were found to be acidic, likely due to the high annual rainfall (2000-2500 mm) in this region, which leads to low base saturation of the soil (Prasenjit Ray et al., 2018).</w:t>
      </w:r>
      <w:r w:rsidR="002944FD" w:rsidRPr="00C022D5">
        <w:rPr>
          <w:rFonts w:ascii="Arial" w:hAnsi="Arial" w:cs="Arial"/>
          <w:sz w:val="20"/>
          <w:szCs w:val="24"/>
        </w:rPr>
        <w:t xml:space="preserve"> Similar </w:t>
      </w:r>
      <w:r w:rsidR="00150E9A" w:rsidRPr="00C022D5">
        <w:rPr>
          <w:rFonts w:ascii="Arial" w:hAnsi="Arial" w:cs="Arial"/>
          <w:sz w:val="20"/>
          <w:szCs w:val="24"/>
        </w:rPr>
        <w:t>results were</w:t>
      </w:r>
      <w:r w:rsidR="002944FD" w:rsidRPr="00C022D5">
        <w:rPr>
          <w:rFonts w:ascii="Arial" w:hAnsi="Arial" w:cs="Arial"/>
          <w:sz w:val="20"/>
          <w:szCs w:val="24"/>
        </w:rPr>
        <w:t xml:space="preserve"> observed in Lakhimpur soils of Assam (</w:t>
      </w:r>
      <w:r w:rsidR="002944FD" w:rsidRPr="00C022D5">
        <w:rPr>
          <w:rFonts w:ascii="Arial" w:hAnsi="Arial" w:cs="Arial"/>
          <w:sz w:val="20"/>
        </w:rPr>
        <w:t xml:space="preserve">Bikram </w:t>
      </w:r>
      <w:proofErr w:type="spellStart"/>
      <w:r w:rsidR="002944FD" w:rsidRPr="00C022D5">
        <w:rPr>
          <w:rFonts w:ascii="Arial" w:hAnsi="Arial" w:cs="Arial"/>
          <w:sz w:val="20"/>
        </w:rPr>
        <w:t>Borkotoki</w:t>
      </w:r>
      <w:proofErr w:type="spellEnd"/>
      <w:r w:rsidR="002944FD" w:rsidRPr="00C022D5">
        <w:rPr>
          <w:rFonts w:ascii="Arial" w:hAnsi="Arial" w:cs="Arial"/>
          <w:sz w:val="20"/>
        </w:rPr>
        <w:t xml:space="preserve"> et al., 2024).</w:t>
      </w:r>
      <w:r w:rsidR="002E2D25" w:rsidRPr="00C022D5">
        <w:rPr>
          <w:rFonts w:ascii="Arial" w:hAnsi="Arial" w:cs="Arial"/>
          <w:sz w:val="20"/>
          <w:szCs w:val="24"/>
        </w:rPr>
        <w:t xml:space="preserve"> In contrast, 21.5% of the samples exhibited neutral to alkaline pH, which may be attributed to a higher degree of base saturation (Waghmare et al., 2008; Sharma et al., 2008). The extensive area with low pH is also influenced by the long-term use of inorganic fertilizers instead of green manure, farmyard manure, and rice-straw residues, which has contributed to a decrease in soil pH (Tiwary et al., 2003).</w:t>
      </w:r>
    </w:p>
    <w:p w14:paraId="5E9CB7E5" w14:textId="77777777" w:rsidR="009C452A" w:rsidRPr="00C022D5" w:rsidRDefault="009C452A" w:rsidP="009C452A">
      <w:pPr>
        <w:autoSpaceDE w:val="0"/>
        <w:autoSpaceDN w:val="0"/>
        <w:adjustRightInd w:val="0"/>
        <w:spacing w:after="0" w:line="360" w:lineRule="auto"/>
        <w:jc w:val="both"/>
        <w:rPr>
          <w:rFonts w:ascii="Arial" w:hAnsi="Arial" w:cs="Arial"/>
          <w:i/>
          <w:iCs/>
          <w:sz w:val="20"/>
          <w:szCs w:val="24"/>
        </w:rPr>
      </w:pPr>
      <w:r w:rsidRPr="00C022D5">
        <w:rPr>
          <w:rFonts w:ascii="Arial" w:hAnsi="Arial" w:cs="Arial"/>
          <w:i/>
          <w:iCs/>
          <w:sz w:val="20"/>
          <w:szCs w:val="24"/>
        </w:rPr>
        <w:t>Organic carbon</w:t>
      </w:r>
    </w:p>
    <w:p w14:paraId="3D47A402" w14:textId="77777777" w:rsidR="00882CF6" w:rsidRPr="00C022D5" w:rsidRDefault="009C452A" w:rsidP="00882CF6">
      <w:pPr>
        <w:autoSpaceDE w:val="0"/>
        <w:autoSpaceDN w:val="0"/>
        <w:adjustRightInd w:val="0"/>
        <w:spacing w:after="0" w:line="360" w:lineRule="auto"/>
        <w:jc w:val="both"/>
        <w:rPr>
          <w:rFonts w:ascii="Arial" w:hAnsi="Arial" w:cs="Arial"/>
          <w:sz w:val="20"/>
          <w:szCs w:val="24"/>
        </w:rPr>
      </w:pPr>
      <w:r w:rsidRPr="00C022D5">
        <w:rPr>
          <w:rFonts w:ascii="Arial" w:hAnsi="Arial" w:cs="Arial"/>
          <w:sz w:val="20"/>
          <w:szCs w:val="24"/>
        </w:rPr>
        <w:tab/>
      </w:r>
      <w:r w:rsidR="00882CF6" w:rsidRPr="00C022D5">
        <w:rPr>
          <w:rFonts w:ascii="Arial" w:hAnsi="Arial" w:cs="Arial"/>
          <w:sz w:val="20"/>
          <w:szCs w:val="24"/>
        </w:rPr>
        <w:t>The overall organic carbon (OC) status of the soil (Table 1) ranged from 0.02% to 3.47%, with a mean value of 0.80%. The OC levels were recorded as high, medium, and low in 42.9%, 24.1%, and 7.6% of the area, respectively. About 7.6% of the soil samples were categorized as low OC status, resulting in an overall fertility rating of 'high.' This low OC status is primarily due to high temperatures leading to a higher rate of organic matter decomposition (</w:t>
      </w:r>
      <w:proofErr w:type="spellStart"/>
      <w:r w:rsidR="00882CF6" w:rsidRPr="00C022D5">
        <w:rPr>
          <w:rFonts w:ascii="Arial" w:hAnsi="Arial" w:cs="Arial"/>
          <w:sz w:val="20"/>
          <w:szCs w:val="24"/>
        </w:rPr>
        <w:t>Kameriya</w:t>
      </w:r>
      <w:proofErr w:type="spellEnd"/>
      <w:r w:rsidR="00882CF6" w:rsidRPr="00C022D5">
        <w:rPr>
          <w:rFonts w:ascii="Arial" w:hAnsi="Arial" w:cs="Arial"/>
          <w:sz w:val="20"/>
          <w:szCs w:val="24"/>
        </w:rPr>
        <w:t>, 1995), and the lack of organic matter additions (Rego et al., 2003). This indicates a need for rejuvenation for high crop productivity. The maximum area with high and medium OC can be attributed to the frequent addition of crop residues, higher root mass density, and organic root tissue (Behera and Shukla, 2014).</w:t>
      </w:r>
    </w:p>
    <w:p w14:paraId="006BB613" w14:textId="77777777" w:rsidR="009C452A" w:rsidRPr="00184065" w:rsidRDefault="009606CE" w:rsidP="009C452A">
      <w:pPr>
        <w:autoSpaceDE w:val="0"/>
        <w:autoSpaceDN w:val="0"/>
        <w:adjustRightInd w:val="0"/>
        <w:spacing w:after="0" w:line="360" w:lineRule="auto"/>
        <w:rPr>
          <w:rFonts w:ascii="Arial" w:hAnsi="Arial" w:cs="Arial"/>
          <w:b/>
          <w:iCs/>
          <w:szCs w:val="24"/>
        </w:rPr>
      </w:pPr>
      <w:r w:rsidRPr="00184065">
        <w:rPr>
          <w:rFonts w:ascii="Arial" w:hAnsi="Arial" w:cs="Arial"/>
          <w:b/>
          <w:iCs/>
          <w:szCs w:val="24"/>
        </w:rPr>
        <w:t>3.2 Available N</w:t>
      </w:r>
      <w:r w:rsidR="009C452A" w:rsidRPr="00184065">
        <w:rPr>
          <w:rFonts w:ascii="Arial" w:hAnsi="Arial" w:cs="Arial"/>
          <w:b/>
          <w:iCs/>
          <w:szCs w:val="24"/>
        </w:rPr>
        <w:t>, P and K</w:t>
      </w:r>
    </w:p>
    <w:p w14:paraId="3F34A61C" w14:textId="77777777" w:rsidR="00144102" w:rsidRPr="00184065" w:rsidRDefault="009C452A" w:rsidP="00144102">
      <w:pPr>
        <w:autoSpaceDE w:val="0"/>
        <w:autoSpaceDN w:val="0"/>
        <w:adjustRightInd w:val="0"/>
        <w:spacing w:after="0" w:line="360" w:lineRule="auto"/>
        <w:jc w:val="both"/>
        <w:rPr>
          <w:rFonts w:ascii="Arial" w:eastAsia="Times New Roman" w:hAnsi="Arial" w:cs="Arial"/>
          <w:sz w:val="20"/>
          <w:szCs w:val="24"/>
        </w:rPr>
      </w:pPr>
      <w:r w:rsidRPr="009C452A">
        <w:rPr>
          <w:rFonts w:ascii="Times New Roman" w:hAnsi="Times New Roman" w:cs="Times New Roman"/>
          <w:sz w:val="24"/>
          <w:szCs w:val="24"/>
        </w:rPr>
        <w:tab/>
      </w:r>
      <w:r w:rsidR="00144102" w:rsidRPr="00184065">
        <w:rPr>
          <w:rFonts w:ascii="Arial" w:eastAsia="Times New Roman" w:hAnsi="Arial" w:cs="Arial"/>
          <w:sz w:val="20"/>
          <w:szCs w:val="24"/>
        </w:rPr>
        <w:t>The overall available nitrogen (N) status (Table 1) ranged from 91 to 685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with a mean value of 336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The results indicated that 48.2% of the district's soils had a medium availability of nitrogen (280-560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 xml:space="preserve">¹). </w:t>
      </w:r>
      <w:r w:rsidR="004649EA" w:rsidRPr="00184065">
        <w:rPr>
          <w:rFonts w:ascii="Arial" w:eastAsia="Times New Roman" w:hAnsi="Arial" w:cs="Arial"/>
          <w:sz w:val="20"/>
          <w:szCs w:val="24"/>
        </w:rPr>
        <w:t xml:space="preserve">In Lakhimpur, Assam, 65% of the soils fall into the medium category (Bikram </w:t>
      </w:r>
      <w:proofErr w:type="spellStart"/>
      <w:r w:rsidR="004649EA" w:rsidRPr="00184065">
        <w:rPr>
          <w:rFonts w:ascii="Arial" w:eastAsia="Times New Roman" w:hAnsi="Arial" w:cs="Arial"/>
          <w:sz w:val="20"/>
          <w:szCs w:val="24"/>
        </w:rPr>
        <w:t>Borkotoki</w:t>
      </w:r>
      <w:proofErr w:type="spellEnd"/>
      <w:r w:rsidR="004649EA" w:rsidRPr="00184065">
        <w:rPr>
          <w:rFonts w:ascii="Arial" w:eastAsia="Times New Roman" w:hAnsi="Arial" w:cs="Arial"/>
          <w:sz w:val="20"/>
          <w:szCs w:val="24"/>
        </w:rPr>
        <w:t xml:space="preserve"> et al., 2024). </w:t>
      </w:r>
      <w:r w:rsidR="00144102" w:rsidRPr="00184065">
        <w:rPr>
          <w:rFonts w:ascii="Arial" w:eastAsia="Times New Roman" w:hAnsi="Arial" w:cs="Arial"/>
          <w:sz w:val="20"/>
          <w:szCs w:val="24"/>
        </w:rPr>
        <w:t>Another 22.7% of the area showed low nitrogen availability (&lt;280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while only 3.7% had high nitrogen availability (&gt;560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The majority of soil samples (48.2%) had a medium status with an overall fertility rating of 'medium.' This could be attributed to the higher OC content in the surface, which might have aided in the mineralization of soil nitrogen, leading to a build-up of higher available nitrogen (</w:t>
      </w:r>
      <w:proofErr w:type="spellStart"/>
      <w:r w:rsidR="00144102" w:rsidRPr="00184065">
        <w:rPr>
          <w:rFonts w:ascii="Arial" w:eastAsia="Times New Roman" w:hAnsi="Arial" w:cs="Arial"/>
          <w:sz w:val="20"/>
          <w:szCs w:val="24"/>
        </w:rPr>
        <w:t>Urkurkar</w:t>
      </w:r>
      <w:proofErr w:type="spellEnd"/>
      <w:r w:rsidR="00144102" w:rsidRPr="00184065">
        <w:rPr>
          <w:rFonts w:ascii="Arial" w:eastAsia="Times New Roman" w:hAnsi="Arial" w:cs="Arial"/>
          <w:sz w:val="20"/>
          <w:szCs w:val="24"/>
        </w:rPr>
        <w:t xml:space="preserve"> et al., 2010; Sharma et al., 2007). The Bray-P (Table 1) ranged from 18 to 359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with an overall mean value of 55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 xml:space="preserve">¹. The sample categories revealed 30.8% under medium status with an overall fertility rating of 'medium,' and 22.3% in the </w:t>
      </w:r>
      <w:proofErr w:type="gramStart"/>
      <w:r w:rsidR="00144102" w:rsidRPr="00184065">
        <w:rPr>
          <w:rFonts w:ascii="Arial" w:eastAsia="Times New Roman" w:hAnsi="Arial" w:cs="Arial"/>
          <w:sz w:val="20"/>
          <w:szCs w:val="24"/>
        </w:rPr>
        <w:t>high status</w:t>
      </w:r>
      <w:proofErr w:type="gramEnd"/>
      <w:r w:rsidR="00144102" w:rsidRPr="00184065">
        <w:rPr>
          <w:rFonts w:ascii="Arial" w:eastAsia="Times New Roman" w:hAnsi="Arial" w:cs="Arial"/>
          <w:sz w:val="20"/>
          <w:szCs w:val="24"/>
        </w:rPr>
        <w:t xml:space="preserve"> category. This high status could be due to the continuous application of single superphosphate (SSP) for crops, which would have built up soil available phosphorus, and the high rate of soil organic matter (SOM) mineralization of organic phosphorus to available phosphorus. It may also be partly due to inheritance from parent materials and the effects of continuous application of phosphate fertilizers over the past 2-3 decades (Singh et al., 2007). The low sample category status, covering 21.5% of the area, may be due to high rainfall and a higher rate of SOM decomposition, which increases the leaching of available phosphorus from surface soils (</w:t>
      </w:r>
      <w:proofErr w:type="spellStart"/>
      <w:r w:rsidR="00144102" w:rsidRPr="00184065">
        <w:rPr>
          <w:rFonts w:ascii="Arial" w:eastAsia="Times New Roman" w:hAnsi="Arial" w:cs="Arial"/>
          <w:sz w:val="20"/>
          <w:szCs w:val="24"/>
        </w:rPr>
        <w:t>Urkurkar</w:t>
      </w:r>
      <w:proofErr w:type="spellEnd"/>
      <w:r w:rsidR="00144102" w:rsidRPr="00184065">
        <w:rPr>
          <w:rFonts w:ascii="Arial" w:eastAsia="Times New Roman" w:hAnsi="Arial" w:cs="Arial"/>
          <w:sz w:val="20"/>
          <w:szCs w:val="24"/>
        </w:rPr>
        <w:t xml:space="preserve"> et al., 2010) and precipitation of phosphorus as iron and </w:t>
      </w:r>
      <w:proofErr w:type="spellStart"/>
      <w:r w:rsidR="00144102" w:rsidRPr="00184065">
        <w:rPr>
          <w:rFonts w:ascii="Arial" w:eastAsia="Times New Roman" w:hAnsi="Arial" w:cs="Arial"/>
          <w:sz w:val="20"/>
          <w:szCs w:val="24"/>
        </w:rPr>
        <w:t>aluminium</w:t>
      </w:r>
      <w:proofErr w:type="spellEnd"/>
      <w:r w:rsidR="00144102" w:rsidRPr="00184065">
        <w:rPr>
          <w:rFonts w:ascii="Arial" w:eastAsia="Times New Roman" w:hAnsi="Arial" w:cs="Arial"/>
          <w:sz w:val="20"/>
          <w:szCs w:val="24"/>
        </w:rPr>
        <w:t xml:space="preserve"> complexes due to soil acidity (Prasenjit Ray et al., 2018). The available potassium (K) ranged from 40 to 479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with a mean of 134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 xml:space="preserve">¹. The sample categories under low, medium, and high were 42.9%, 26.5%, and 5.2%, respectively, with an overall medium fertility rating. The 'low' available potassium in these soils may be </w:t>
      </w:r>
      <w:r w:rsidR="00144102" w:rsidRPr="00184065">
        <w:rPr>
          <w:rFonts w:ascii="Arial" w:eastAsia="Times New Roman" w:hAnsi="Arial" w:cs="Arial"/>
          <w:sz w:val="20"/>
          <w:szCs w:val="24"/>
        </w:rPr>
        <w:lastRenderedPageBreak/>
        <w:t xml:space="preserve">due to the continuous drain of potassium from the soil reserve over the years with inadequate supply of chemical fertilizers to meet crop needs. Mining of potassium has started appearing in the soils, which is a matter of concern. In Assam, potassium deficiency is observed due to higher amounts of non-exchangeable potassium content in the soil than potassium in solution (Dutta and Zaman, 2013), and a negative balance of potassium has been reported by Basumatary and Talukdar (1999) and </w:t>
      </w:r>
      <w:proofErr w:type="spellStart"/>
      <w:r w:rsidR="00144102" w:rsidRPr="00184065">
        <w:rPr>
          <w:rFonts w:ascii="Arial" w:eastAsia="Times New Roman" w:hAnsi="Arial" w:cs="Arial"/>
          <w:sz w:val="20"/>
          <w:szCs w:val="24"/>
        </w:rPr>
        <w:t>Borkakati</w:t>
      </w:r>
      <w:proofErr w:type="spellEnd"/>
      <w:r w:rsidR="00144102" w:rsidRPr="00184065">
        <w:rPr>
          <w:rFonts w:ascii="Arial" w:eastAsia="Times New Roman" w:hAnsi="Arial" w:cs="Arial"/>
          <w:sz w:val="20"/>
          <w:szCs w:val="24"/>
        </w:rPr>
        <w:t xml:space="preserve"> et al. (2001). Moreover, the application of higher amounts of nitrogenous fertilizers than phosphorus-type and potassium-type fertilizers may result in decreased soil available phosphorus and exchangeable potassium (Singh et al., 2010).</w:t>
      </w:r>
    </w:p>
    <w:p w14:paraId="61D54448" w14:textId="77777777" w:rsidR="009C452A" w:rsidRPr="00184065" w:rsidRDefault="009606CE" w:rsidP="005F1D54">
      <w:pPr>
        <w:spacing w:after="0" w:line="360" w:lineRule="auto"/>
        <w:rPr>
          <w:rFonts w:ascii="Arial" w:hAnsi="Arial" w:cs="Arial"/>
          <w:b/>
          <w:szCs w:val="24"/>
        </w:rPr>
      </w:pPr>
      <w:r w:rsidRPr="00184065">
        <w:rPr>
          <w:rFonts w:ascii="Arial" w:hAnsi="Arial" w:cs="Arial"/>
          <w:b/>
          <w:iCs/>
          <w:szCs w:val="24"/>
        </w:rPr>
        <w:t xml:space="preserve">3.3 </w:t>
      </w:r>
      <w:r w:rsidR="009C452A" w:rsidRPr="00184065">
        <w:rPr>
          <w:rFonts w:ascii="Arial" w:hAnsi="Arial" w:cs="Arial"/>
          <w:b/>
          <w:iCs/>
          <w:szCs w:val="24"/>
        </w:rPr>
        <w:t>Available micronutrients</w:t>
      </w:r>
    </w:p>
    <w:p w14:paraId="4DA967BB" w14:textId="77777777" w:rsidR="00AA6746" w:rsidRPr="00184065" w:rsidRDefault="00AA6746" w:rsidP="005F1D54">
      <w:pPr>
        <w:spacing w:after="0" w:line="360" w:lineRule="auto"/>
        <w:ind w:firstLine="720"/>
        <w:jc w:val="both"/>
        <w:rPr>
          <w:rFonts w:ascii="Arial" w:eastAsia="Times New Roman" w:hAnsi="Arial" w:cs="Arial"/>
          <w:sz w:val="20"/>
          <w:szCs w:val="24"/>
        </w:rPr>
      </w:pPr>
      <w:r w:rsidRPr="00184065">
        <w:rPr>
          <w:rFonts w:ascii="Arial" w:eastAsia="Times New Roman" w:hAnsi="Arial" w:cs="Arial"/>
          <w:sz w:val="20"/>
          <w:szCs w:val="24"/>
        </w:rPr>
        <w:t>Iron is a crucial micronutrient for plants, playing a significant role in various metabolic processes (Rout and Sahoo, 2015). The available Fe status (Table 1 and Fig. 7) ranged from 0.95 to 197.7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with a mean of 66.3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 xml:space="preserve">¹. Deficient, moderate, and sufficient Fe statuses were observed in 4.2%, 47.7%, and 22.6% of the samples, respectively, with a mean fertility rating of adequate based on the nutrient index value (NIV). Fe solubility increases with a reduction in soil pH (Shukla et al., 2015), which aligns closely with the findings of Brady and Weil (2002). Soils in </w:t>
      </w:r>
      <w:proofErr w:type="spellStart"/>
      <w:r w:rsidRPr="00184065">
        <w:rPr>
          <w:rFonts w:ascii="Arial" w:eastAsia="Times New Roman" w:hAnsi="Arial" w:cs="Arial"/>
          <w:sz w:val="20"/>
          <w:szCs w:val="24"/>
        </w:rPr>
        <w:t>Barpeta</w:t>
      </w:r>
      <w:proofErr w:type="spellEnd"/>
      <w:r w:rsidRPr="00184065">
        <w:rPr>
          <w:rFonts w:ascii="Arial" w:eastAsia="Times New Roman" w:hAnsi="Arial" w:cs="Arial"/>
          <w:sz w:val="20"/>
          <w:szCs w:val="24"/>
        </w:rPr>
        <w:t xml:space="preserve"> with higher organic matter content may contribute to increased Fe levels, consistent with Khalifa et al. (1996) and Goldberg et al. (2002).</w:t>
      </w:r>
    </w:p>
    <w:p w14:paraId="76FD4826" w14:textId="77777777" w:rsidR="00AA6746" w:rsidRPr="00184065" w:rsidRDefault="00AA6746" w:rsidP="00184065">
      <w:pPr>
        <w:spacing w:before="100" w:beforeAutospacing="1" w:after="100" w:afterAutospacing="1" w:line="360" w:lineRule="auto"/>
        <w:ind w:firstLine="720"/>
        <w:jc w:val="both"/>
        <w:rPr>
          <w:rFonts w:ascii="Arial" w:eastAsia="Times New Roman" w:hAnsi="Arial" w:cs="Arial"/>
          <w:sz w:val="20"/>
          <w:szCs w:val="24"/>
        </w:rPr>
      </w:pPr>
      <w:r w:rsidRPr="00184065">
        <w:rPr>
          <w:rFonts w:ascii="Arial" w:eastAsia="Times New Roman" w:hAnsi="Arial" w:cs="Arial"/>
          <w:sz w:val="20"/>
          <w:szCs w:val="24"/>
        </w:rPr>
        <w:t>Manganese is another essential micronutrient involved in various plant metabolic processes, including photosynthesis and acting as an enzyme antioxidant-cofactor (</w:t>
      </w:r>
      <w:proofErr w:type="spellStart"/>
      <w:r w:rsidRPr="00184065">
        <w:rPr>
          <w:rFonts w:ascii="Arial" w:eastAsia="Times New Roman" w:hAnsi="Arial" w:cs="Arial"/>
          <w:sz w:val="20"/>
          <w:szCs w:val="24"/>
        </w:rPr>
        <w:t>Millaleo</w:t>
      </w:r>
      <w:proofErr w:type="spellEnd"/>
      <w:r w:rsidRPr="00184065">
        <w:rPr>
          <w:rFonts w:ascii="Arial" w:eastAsia="Times New Roman" w:hAnsi="Arial" w:cs="Arial"/>
          <w:sz w:val="20"/>
          <w:szCs w:val="24"/>
        </w:rPr>
        <w:t xml:space="preserve"> et al., 2010). The available Mn status ranged from 1.12 to 136.77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with a mean value of 21.14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About 75% of the samples had moderate Mn levels, with an overall fertility rating of "adequate." This may be due to the decomposition of organic matter releasing micronutrients and lowering the soil pH around plant roots, thus increasing the solubility of cationic micronutrients (Sharma and Chaudhary, 2007).</w:t>
      </w:r>
    </w:p>
    <w:p w14:paraId="6DC5C420" w14:textId="77777777" w:rsidR="00AA6746" w:rsidRPr="00184065" w:rsidRDefault="00AA6746" w:rsidP="00184065">
      <w:pPr>
        <w:spacing w:before="100" w:beforeAutospacing="1" w:after="100" w:afterAutospacing="1" w:line="360" w:lineRule="auto"/>
        <w:ind w:firstLine="720"/>
        <w:jc w:val="both"/>
        <w:rPr>
          <w:rFonts w:ascii="Arial" w:eastAsia="Times New Roman" w:hAnsi="Arial" w:cs="Arial"/>
          <w:sz w:val="20"/>
          <w:szCs w:val="24"/>
        </w:rPr>
      </w:pPr>
      <w:r w:rsidRPr="00184065">
        <w:rPr>
          <w:rFonts w:ascii="Arial" w:eastAsia="Times New Roman" w:hAnsi="Arial" w:cs="Arial"/>
          <w:sz w:val="20"/>
          <w:szCs w:val="24"/>
        </w:rPr>
        <w:t>Copper is an essential micronutrient for plant growth and development, though it can be toxic in high amounts (</w:t>
      </w:r>
      <w:proofErr w:type="spellStart"/>
      <w:r w:rsidRPr="00184065">
        <w:rPr>
          <w:rFonts w:ascii="Arial" w:eastAsia="Times New Roman" w:hAnsi="Arial" w:cs="Arial"/>
          <w:sz w:val="20"/>
          <w:szCs w:val="24"/>
        </w:rPr>
        <w:t>Yruela</w:t>
      </w:r>
      <w:proofErr w:type="spellEnd"/>
      <w:r w:rsidRPr="00184065">
        <w:rPr>
          <w:rFonts w:ascii="Arial" w:eastAsia="Times New Roman" w:hAnsi="Arial" w:cs="Arial"/>
          <w:sz w:val="20"/>
          <w:szCs w:val="24"/>
        </w:rPr>
        <w:t>, 2005). The available Cu status ranged from 0.23 to 17.31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with a mean of 3.31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About 50% of the samples showed sufficient Cu levels, with an overall fertility rating of "high." This may be due to the high organic carbon content and acidic pH of the soils, which favor Cu solubility (Prasenjit Ray et al., 2018).</w:t>
      </w:r>
    </w:p>
    <w:p w14:paraId="5701F63C" w14:textId="77777777" w:rsidR="00AA6746" w:rsidRPr="00184065" w:rsidRDefault="00AA6746" w:rsidP="00184065">
      <w:pPr>
        <w:spacing w:before="100" w:beforeAutospacing="1" w:after="0" w:line="360" w:lineRule="auto"/>
        <w:ind w:firstLine="720"/>
        <w:jc w:val="both"/>
        <w:rPr>
          <w:rFonts w:ascii="Arial" w:eastAsia="Times New Roman" w:hAnsi="Arial" w:cs="Arial"/>
          <w:sz w:val="20"/>
          <w:szCs w:val="24"/>
        </w:rPr>
      </w:pPr>
      <w:r w:rsidRPr="00184065">
        <w:rPr>
          <w:rFonts w:ascii="Arial" w:eastAsia="Times New Roman" w:hAnsi="Arial" w:cs="Arial"/>
          <w:sz w:val="20"/>
          <w:szCs w:val="24"/>
        </w:rPr>
        <w:t>Zinc deficiency is a significant micronutrient constraint for food production globally, and its application has shown positive responses in almost all crops (Welch, 2002). The available Zn status (Table 1 and Fig. 10) ranged from 0.04 to 0.85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with a mean of 0.58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 xml:space="preserve">¹. About 70% of the soil samples were deficient in available Zn, with an overall rating of "low," consistent with findings by Bhuyan et al. (2014) in Lakhimpur district, Assam. Zn deficiency in </w:t>
      </w:r>
      <w:proofErr w:type="spellStart"/>
      <w:r w:rsidRPr="00184065">
        <w:rPr>
          <w:rFonts w:ascii="Arial" w:eastAsia="Times New Roman" w:hAnsi="Arial" w:cs="Arial"/>
          <w:sz w:val="20"/>
          <w:szCs w:val="24"/>
        </w:rPr>
        <w:t>Barpeta</w:t>
      </w:r>
      <w:proofErr w:type="spellEnd"/>
      <w:r w:rsidRPr="00184065">
        <w:rPr>
          <w:rFonts w:ascii="Arial" w:eastAsia="Times New Roman" w:hAnsi="Arial" w:cs="Arial"/>
          <w:sz w:val="20"/>
          <w:szCs w:val="24"/>
        </w:rPr>
        <w:t xml:space="preserve"> may be due to the coarse soil texture and intensified agricultural systems leading to imbalanced micronutrient use (Shukla et al., 2014). The total Zn content in soils largely depends on the parent rock materials (</w:t>
      </w:r>
      <w:proofErr w:type="spellStart"/>
      <w:r w:rsidRPr="00184065">
        <w:rPr>
          <w:rFonts w:ascii="Arial" w:eastAsia="Times New Roman" w:hAnsi="Arial" w:cs="Arial"/>
          <w:sz w:val="20"/>
          <w:szCs w:val="24"/>
        </w:rPr>
        <w:t>Kabata-Pendias</w:t>
      </w:r>
      <w:proofErr w:type="spellEnd"/>
      <w:r w:rsidRPr="00184065">
        <w:rPr>
          <w:rFonts w:ascii="Arial" w:eastAsia="Times New Roman" w:hAnsi="Arial" w:cs="Arial"/>
          <w:sz w:val="20"/>
          <w:szCs w:val="24"/>
        </w:rPr>
        <w:t xml:space="preserve"> and </w:t>
      </w:r>
      <w:proofErr w:type="spellStart"/>
      <w:r w:rsidRPr="00184065">
        <w:rPr>
          <w:rFonts w:ascii="Arial" w:eastAsia="Times New Roman" w:hAnsi="Arial" w:cs="Arial"/>
          <w:sz w:val="20"/>
          <w:szCs w:val="24"/>
        </w:rPr>
        <w:t>Pendias</w:t>
      </w:r>
      <w:proofErr w:type="spellEnd"/>
      <w:r w:rsidRPr="00184065">
        <w:rPr>
          <w:rFonts w:ascii="Arial" w:eastAsia="Times New Roman" w:hAnsi="Arial" w:cs="Arial"/>
          <w:sz w:val="20"/>
          <w:szCs w:val="24"/>
        </w:rPr>
        <w:t xml:space="preserve">, 1992), and Zn deficiency is often more common in sandy soils than in clayey soils due to higher Zn adsorption in clay soils, controlled by cation exchange capacity (CEC) </w:t>
      </w:r>
      <w:r w:rsidRPr="00184065">
        <w:rPr>
          <w:rFonts w:ascii="Arial" w:eastAsia="Times New Roman" w:hAnsi="Arial" w:cs="Arial"/>
          <w:sz w:val="20"/>
          <w:szCs w:val="24"/>
        </w:rPr>
        <w:lastRenderedPageBreak/>
        <w:t>and pH (Ellis and Knezek, 1972). The lowest Zn levels were recorded in the soils of the recent alluvial high flood plain (Ray and Banik, 2016).</w:t>
      </w:r>
    </w:p>
    <w:p w14:paraId="01504A52" w14:textId="77777777" w:rsidR="009C452A" w:rsidRPr="00184065" w:rsidRDefault="009606CE" w:rsidP="009C452A">
      <w:pPr>
        <w:autoSpaceDE w:val="0"/>
        <w:autoSpaceDN w:val="0"/>
        <w:adjustRightInd w:val="0"/>
        <w:spacing w:after="0" w:line="360" w:lineRule="auto"/>
        <w:rPr>
          <w:rFonts w:ascii="Arial" w:hAnsi="Arial" w:cs="Arial"/>
          <w:b/>
          <w:iCs/>
          <w:szCs w:val="24"/>
        </w:rPr>
      </w:pPr>
      <w:r w:rsidRPr="00184065">
        <w:rPr>
          <w:rFonts w:ascii="Arial" w:hAnsi="Arial" w:cs="Arial"/>
          <w:b/>
          <w:iCs/>
          <w:szCs w:val="24"/>
        </w:rPr>
        <w:t xml:space="preserve">3.4 </w:t>
      </w:r>
      <w:r w:rsidR="009C452A" w:rsidRPr="00184065">
        <w:rPr>
          <w:rFonts w:ascii="Arial" w:hAnsi="Arial" w:cs="Arial"/>
          <w:b/>
          <w:iCs/>
          <w:szCs w:val="24"/>
        </w:rPr>
        <w:t>Thematic Soil Fertility Maps</w:t>
      </w:r>
    </w:p>
    <w:p w14:paraId="003FDC32" w14:textId="77777777" w:rsidR="00024D4A" w:rsidRPr="00184065" w:rsidRDefault="009C452A" w:rsidP="00024D4A">
      <w:pPr>
        <w:autoSpaceDE w:val="0"/>
        <w:autoSpaceDN w:val="0"/>
        <w:adjustRightInd w:val="0"/>
        <w:spacing w:after="0" w:line="360" w:lineRule="auto"/>
        <w:jc w:val="both"/>
        <w:rPr>
          <w:rFonts w:ascii="Arial" w:hAnsi="Arial" w:cs="Arial"/>
          <w:sz w:val="20"/>
        </w:rPr>
      </w:pPr>
      <w:r w:rsidRPr="009C452A">
        <w:rPr>
          <w:rFonts w:ascii="Times New Roman" w:hAnsi="Times New Roman" w:cs="Times New Roman"/>
          <w:sz w:val="24"/>
          <w:szCs w:val="24"/>
        </w:rPr>
        <w:tab/>
      </w:r>
      <w:r w:rsidR="00024D4A" w:rsidRPr="00184065">
        <w:rPr>
          <w:rFonts w:ascii="Arial" w:hAnsi="Arial" w:cs="Arial"/>
          <w:sz w:val="20"/>
        </w:rPr>
        <w:t>The percentage area based on soil fertility maps for all nine chemical parameters is depicted in Figures 2 to 10.</w:t>
      </w:r>
    </w:p>
    <w:p w14:paraId="2CEF2AAE" w14:textId="77777777" w:rsidR="009C452A" w:rsidRPr="00184065" w:rsidRDefault="009606CE" w:rsidP="00024D4A">
      <w:pPr>
        <w:autoSpaceDE w:val="0"/>
        <w:autoSpaceDN w:val="0"/>
        <w:adjustRightInd w:val="0"/>
        <w:spacing w:after="0" w:line="360" w:lineRule="auto"/>
        <w:rPr>
          <w:rFonts w:ascii="Arial" w:hAnsi="Arial" w:cs="Arial"/>
          <w:b/>
          <w:iCs/>
          <w:szCs w:val="24"/>
        </w:rPr>
      </w:pPr>
      <w:r w:rsidRPr="00184065">
        <w:rPr>
          <w:rFonts w:ascii="Arial" w:hAnsi="Arial" w:cs="Arial"/>
          <w:b/>
          <w:iCs/>
          <w:szCs w:val="24"/>
        </w:rPr>
        <w:t xml:space="preserve">3.5 </w:t>
      </w:r>
      <w:r w:rsidR="009C452A" w:rsidRPr="00184065">
        <w:rPr>
          <w:rFonts w:ascii="Arial" w:hAnsi="Arial" w:cs="Arial"/>
          <w:b/>
          <w:iCs/>
          <w:szCs w:val="24"/>
        </w:rPr>
        <w:t>Soil pH and Organic Carbon</w:t>
      </w:r>
    </w:p>
    <w:p w14:paraId="6E45233F" w14:textId="77777777" w:rsidR="00024D4A" w:rsidRPr="00184065" w:rsidRDefault="00024D4A" w:rsidP="00024D4A">
      <w:pPr>
        <w:autoSpaceDE w:val="0"/>
        <w:autoSpaceDN w:val="0"/>
        <w:adjustRightInd w:val="0"/>
        <w:spacing w:after="0" w:line="360" w:lineRule="auto"/>
        <w:ind w:firstLine="720"/>
        <w:jc w:val="both"/>
        <w:rPr>
          <w:rFonts w:ascii="Arial" w:hAnsi="Arial" w:cs="Arial"/>
          <w:szCs w:val="24"/>
        </w:rPr>
      </w:pPr>
      <w:r w:rsidRPr="00184065">
        <w:rPr>
          <w:rFonts w:ascii="Arial" w:hAnsi="Arial" w:cs="Arial"/>
          <w:sz w:val="20"/>
        </w:rPr>
        <w:t>Regarding soil pH, the soils are primarily acidic, with 53% of the total geographical area falling under this category. Neutral and alkaline soils follow. As for organic carbon (OC) status, it is predominantly high, covering 43% of the total geographical area, followed by a medium status accounting for 24%.</w:t>
      </w:r>
    </w:p>
    <w:p w14:paraId="6D6607A5" w14:textId="77777777" w:rsidR="009C452A" w:rsidRPr="00184065" w:rsidRDefault="009606CE" w:rsidP="009C452A">
      <w:pPr>
        <w:autoSpaceDE w:val="0"/>
        <w:autoSpaceDN w:val="0"/>
        <w:adjustRightInd w:val="0"/>
        <w:spacing w:after="0" w:line="360" w:lineRule="auto"/>
        <w:rPr>
          <w:rFonts w:ascii="Arial" w:hAnsi="Arial" w:cs="Arial"/>
          <w:b/>
          <w:iCs/>
          <w:szCs w:val="24"/>
        </w:rPr>
      </w:pPr>
      <w:r w:rsidRPr="00184065">
        <w:rPr>
          <w:rFonts w:ascii="Arial" w:hAnsi="Arial" w:cs="Arial"/>
          <w:b/>
          <w:iCs/>
          <w:szCs w:val="24"/>
        </w:rPr>
        <w:t xml:space="preserve">3.6 </w:t>
      </w:r>
      <w:r w:rsidR="009C452A" w:rsidRPr="00184065">
        <w:rPr>
          <w:rFonts w:ascii="Arial" w:hAnsi="Arial" w:cs="Arial"/>
          <w:b/>
          <w:iCs/>
          <w:szCs w:val="24"/>
        </w:rPr>
        <w:t>Available Nutrients</w:t>
      </w:r>
    </w:p>
    <w:p w14:paraId="7E40242C" w14:textId="77777777" w:rsidR="009E7E3F" w:rsidRPr="00061B43" w:rsidRDefault="009E7E3F" w:rsidP="009E7E3F">
      <w:pPr>
        <w:autoSpaceDE w:val="0"/>
        <w:autoSpaceDN w:val="0"/>
        <w:adjustRightInd w:val="0"/>
        <w:spacing w:after="0" w:line="360" w:lineRule="auto"/>
        <w:ind w:firstLine="720"/>
        <w:jc w:val="both"/>
        <w:rPr>
          <w:rFonts w:ascii="Arial" w:hAnsi="Arial" w:cs="Arial"/>
          <w:sz w:val="20"/>
          <w:szCs w:val="24"/>
        </w:rPr>
      </w:pPr>
      <w:r w:rsidRPr="00061B43">
        <w:rPr>
          <w:rFonts w:ascii="Arial" w:hAnsi="Arial" w:cs="Arial"/>
          <w:sz w:val="20"/>
          <w:szCs w:val="24"/>
        </w:rPr>
        <w:t>About 48% of the area falls under the medium category for available nitrogen (N). For available phosphorus (P), approximately 31% of the area is medium, 22% is high, and 21% is low. Around 43% of the area is low in available potassium (K), 26% is medium, and only 5% is high. Regarding micronutrients, iron (Fe) status is moderate in 48% of the area, sufficient in 23%, and deficient in 5%. Manganese (Mn) is predominantly moderate in 48% of the area, sufficient in 20%, and deficient in 7%. Copper (Cu) is sufficient in 42% of the area, with 35% and 33% of the area under sufficient and moderate status, respectively. Zinc (Zn) is predominantly deficient in 47% of the area, moderate in 21%, and sufficient in only 7% of the total geographical area (TGA).</w:t>
      </w:r>
    </w:p>
    <w:p w14:paraId="7DB8A717" w14:textId="77777777" w:rsidR="009C452A" w:rsidRPr="00061B43" w:rsidRDefault="00061B43" w:rsidP="009C452A">
      <w:pPr>
        <w:autoSpaceDE w:val="0"/>
        <w:autoSpaceDN w:val="0"/>
        <w:adjustRightInd w:val="0"/>
        <w:spacing w:after="0" w:line="360" w:lineRule="auto"/>
        <w:rPr>
          <w:rFonts w:ascii="Arial" w:hAnsi="Arial" w:cs="Arial"/>
          <w:b/>
          <w:iCs/>
          <w:szCs w:val="24"/>
        </w:rPr>
      </w:pPr>
      <w:r w:rsidRPr="00061B43">
        <w:rPr>
          <w:rFonts w:ascii="Arial" w:hAnsi="Arial" w:cs="Arial"/>
          <w:b/>
          <w:iCs/>
          <w:szCs w:val="24"/>
        </w:rPr>
        <w:t xml:space="preserve">3.7 </w:t>
      </w:r>
      <w:r w:rsidR="009C452A" w:rsidRPr="00061B43">
        <w:rPr>
          <w:rFonts w:ascii="Arial" w:hAnsi="Arial" w:cs="Arial"/>
          <w:b/>
          <w:iCs/>
          <w:szCs w:val="24"/>
        </w:rPr>
        <w:t xml:space="preserve">Proposed nutrient plan for </w:t>
      </w:r>
      <w:proofErr w:type="spellStart"/>
      <w:r w:rsidR="009C452A" w:rsidRPr="00061B43">
        <w:rPr>
          <w:rFonts w:ascii="Arial" w:hAnsi="Arial" w:cs="Arial"/>
          <w:b/>
          <w:iCs/>
          <w:szCs w:val="24"/>
        </w:rPr>
        <w:t>Barpeta</w:t>
      </w:r>
      <w:proofErr w:type="spellEnd"/>
      <w:r w:rsidR="009C452A" w:rsidRPr="00061B43">
        <w:rPr>
          <w:rFonts w:ascii="Arial" w:hAnsi="Arial" w:cs="Arial"/>
          <w:b/>
          <w:iCs/>
          <w:szCs w:val="24"/>
        </w:rPr>
        <w:t xml:space="preserve"> district</w:t>
      </w:r>
    </w:p>
    <w:p w14:paraId="2FEF07FB" w14:textId="77777777" w:rsidR="00324578" w:rsidRPr="00061B43" w:rsidRDefault="009C452A" w:rsidP="00C062F8">
      <w:pPr>
        <w:autoSpaceDE w:val="0"/>
        <w:autoSpaceDN w:val="0"/>
        <w:adjustRightInd w:val="0"/>
        <w:spacing w:after="0" w:line="360" w:lineRule="auto"/>
        <w:rPr>
          <w:rFonts w:ascii="Arial" w:hAnsi="Arial" w:cs="Arial"/>
          <w:sz w:val="20"/>
          <w:szCs w:val="24"/>
        </w:rPr>
      </w:pPr>
      <w:r w:rsidRPr="009C452A">
        <w:rPr>
          <w:rFonts w:ascii="Times New Roman" w:hAnsi="Times New Roman" w:cs="Times New Roman"/>
          <w:sz w:val="24"/>
          <w:szCs w:val="24"/>
        </w:rPr>
        <w:tab/>
      </w:r>
      <w:r w:rsidR="00C062F8" w:rsidRPr="00061B43">
        <w:rPr>
          <w:rFonts w:ascii="Arial" w:hAnsi="Arial" w:cs="Arial"/>
          <w:sz w:val="20"/>
          <w:szCs w:val="24"/>
        </w:rPr>
        <w:t>Based on the soil fertility appraisal of the district, a nutrient plan for various revenue circles/tehsils has been prepared and is presented in Table 2 for implementation.</w:t>
      </w:r>
    </w:p>
    <w:p w14:paraId="0011EDF2" w14:textId="77777777" w:rsidR="009C452A" w:rsidRPr="00061B43" w:rsidRDefault="009606CE" w:rsidP="009C452A">
      <w:pPr>
        <w:spacing w:line="360" w:lineRule="auto"/>
        <w:rPr>
          <w:rFonts w:ascii="Arial" w:hAnsi="Arial" w:cs="Arial"/>
          <w:b/>
          <w:szCs w:val="24"/>
        </w:rPr>
      </w:pPr>
      <w:r w:rsidRPr="00061B43">
        <w:rPr>
          <w:rFonts w:ascii="Arial" w:hAnsi="Arial" w:cs="Arial"/>
          <w:b/>
          <w:szCs w:val="24"/>
        </w:rPr>
        <w:t xml:space="preserve">4. </w:t>
      </w:r>
      <w:r w:rsidR="009C452A" w:rsidRPr="00061B43">
        <w:rPr>
          <w:rFonts w:ascii="Arial" w:hAnsi="Arial" w:cs="Arial"/>
          <w:b/>
          <w:szCs w:val="24"/>
        </w:rPr>
        <w:t>Conclusion</w:t>
      </w:r>
    </w:p>
    <w:p w14:paraId="4AE21483" w14:textId="77777777" w:rsidR="009B602D" w:rsidRPr="00061B43" w:rsidRDefault="009B602D" w:rsidP="009B602D">
      <w:pPr>
        <w:autoSpaceDE w:val="0"/>
        <w:autoSpaceDN w:val="0"/>
        <w:adjustRightInd w:val="0"/>
        <w:spacing w:after="0" w:line="360" w:lineRule="auto"/>
        <w:ind w:firstLine="720"/>
        <w:jc w:val="both"/>
        <w:rPr>
          <w:rFonts w:ascii="Arial" w:hAnsi="Arial" w:cs="Arial"/>
          <w:szCs w:val="24"/>
        </w:rPr>
      </w:pPr>
      <w:r w:rsidRPr="00061B43">
        <w:rPr>
          <w:rFonts w:ascii="Arial" w:hAnsi="Arial" w:cs="Arial"/>
          <w:szCs w:val="24"/>
        </w:rPr>
        <w:t xml:space="preserve">The study </w:t>
      </w:r>
      <w:r w:rsidR="00395577" w:rsidRPr="00061B43">
        <w:rPr>
          <w:rFonts w:ascii="Arial" w:hAnsi="Arial" w:cs="Arial"/>
          <w:szCs w:val="24"/>
        </w:rPr>
        <w:t>reveals</w:t>
      </w:r>
      <w:r w:rsidRPr="00061B43">
        <w:rPr>
          <w:rFonts w:ascii="Arial" w:hAnsi="Arial" w:cs="Arial"/>
          <w:szCs w:val="24"/>
        </w:rPr>
        <w:t xml:space="preserve"> that a significant area of the soils in </w:t>
      </w:r>
      <w:proofErr w:type="spellStart"/>
      <w:r w:rsidRPr="00061B43">
        <w:rPr>
          <w:rFonts w:ascii="Arial" w:hAnsi="Arial" w:cs="Arial"/>
          <w:szCs w:val="24"/>
        </w:rPr>
        <w:t>Barpeta</w:t>
      </w:r>
      <w:proofErr w:type="spellEnd"/>
      <w:r w:rsidRPr="00061B43">
        <w:rPr>
          <w:rFonts w:ascii="Arial" w:hAnsi="Arial" w:cs="Arial"/>
          <w:szCs w:val="24"/>
        </w:rPr>
        <w:t xml:space="preserve"> district is acidic, high in organic carbon (OC), medium in available nitrogen (N) and phosphorus (P), but low in potassium (K). The status of iron (Fe) and manganese (Mn) is moderate, while copper (Cu) is sufficient, and zinc (Zn) is deficient. The major nutrient constraints in </w:t>
      </w:r>
      <w:proofErr w:type="spellStart"/>
      <w:r w:rsidRPr="00061B43">
        <w:rPr>
          <w:rFonts w:ascii="Arial" w:hAnsi="Arial" w:cs="Arial"/>
          <w:szCs w:val="24"/>
        </w:rPr>
        <w:t>Barpeta</w:t>
      </w:r>
      <w:proofErr w:type="spellEnd"/>
      <w:r w:rsidRPr="00061B43">
        <w:rPr>
          <w:rFonts w:ascii="Arial" w:hAnsi="Arial" w:cs="Arial"/>
          <w:szCs w:val="24"/>
        </w:rPr>
        <w:t xml:space="preserve"> district are available potassium and zinc. To address these deficiencies and enhance crop productivity and fertilizer use efficiency, it is recommended to adopt a soil test crop response-based integrated system for various crops and cropping systems. Implementing this nutrient plan will ensure balanced nutrition for crops, optimizing yields. Georeferenced sampling sites can be revisited using GPS to monitor soil fertility changes over time. Based on the soil fertility appraisal, the available information can be disseminated to various revenue circles/tehsils for implementation. </w:t>
      </w:r>
    </w:p>
    <w:p w14:paraId="20883DB3" w14:textId="77777777" w:rsidR="001522FD" w:rsidRDefault="001522FD" w:rsidP="0001561E">
      <w:pPr>
        <w:jc w:val="both"/>
        <w:rPr>
          <w:rFonts w:ascii="Arial" w:hAnsi="Arial" w:cs="Arial"/>
          <w:b/>
        </w:rPr>
      </w:pPr>
      <w:bookmarkStart w:id="0" w:name="_Hlk180763317"/>
    </w:p>
    <w:p w14:paraId="22DFF658" w14:textId="355532BD" w:rsidR="0001561E" w:rsidRPr="0001561E" w:rsidRDefault="0001561E" w:rsidP="0001561E">
      <w:pPr>
        <w:jc w:val="both"/>
        <w:rPr>
          <w:rFonts w:ascii="Arial" w:hAnsi="Arial" w:cs="Arial"/>
          <w:b/>
        </w:rPr>
      </w:pPr>
      <w:r w:rsidRPr="0001561E">
        <w:rPr>
          <w:rFonts w:ascii="Arial" w:hAnsi="Arial" w:cs="Arial"/>
          <w:b/>
        </w:rPr>
        <w:t xml:space="preserve">Declaration of </w:t>
      </w:r>
      <w:proofErr w:type="gramStart"/>
      <w:r w:rsidRPr="0001561E">
        <w:rPr>
          <w:rFonts w:ascii="Arial" w:hAnsi="Arial" w:cs="Arial"/>
          <w:b/>
        </w:rPr>
        <w:t>interests</w:t>
      </w:r>
      <w:proofErr w:type="gramEnd"/>
      <w:r w:rsidRPr="0001561E">
        <w:rPr>
          <w:rFonts w:ascii="Arial" w:hAnsi="Arial" w:cs="Arial"/>
          <w:b/>
        </w:rPr>
        <w:t xml:space="preserve"> statement</w:t>
      </w:r>
    </w:p>
    <w:p w14:paraId="04FA47AB" w14:textId="77777777" w:rsidR="0001561E" w:rsidRPr="0001561E" w:rsidRDefault="0001561E" w:rsidP="0001561E">
      <w:pPr>
        <w:jc w:val="both"/>
        <w:rPr>
          <w:rFonts w:ascii="Arial" w:hAnsi="Arial" w:cs="Arial"/>
        </w:rPr>
      </w:pPr>
      <w:r w:rsidRPr="0001561E">
        <w:rPr>
          <w:rFonts w:ascii="Arial" w:hAnsi="Arial" w:cs="Arial"/>
        </w:rPr>
        <w:t xml:space="preserve">Authors do not have any conflicts of interests to declare. </w:t>
      </w:r>
    </w:p>
    <w:bookmarkEnd w:id="0"/>
    <w:p w14:paraId="109C195B" w14:textId="77777777" w:rsidR="009C452A" w:rsidRPr="0001561E" w:rsidRDefault="009C452A" w:rsidP="00141E43">
      <w:pPr>
        <w:spacing w:after="0" w:line="360" w:lineRule="auto"/>
        <w:rPr>
          <w:rFonts w:ascii="Arial" w:hAnsi="Arial" w:cs="Arial"/>
          <w:b/>
          <w:szCs w:val="24"/>
        </w:rPr>
      </w:pPr>
      <w:r w:rsidRPr="0001561E">
        <w:rPr>
          <w:rFonts w:ascii="Arial" w:hAnsi="Arial" w:cs="Arial"/>
          <w:b/>
          <w:szCs w:val="24"/>
        </w:rPr>
        <w:lastRenderedPageBreak/>
        <w:t>References</w:t>
      </w:r>
    </w:p>
    <w:p w14:paraId="4F856E4E" w14:textId="77777777" w:rsidR="001F021F" w:rsidRPr="0001561E" w:rsidRDefault="001F021F" w:rsidP="00141E43">
      <w:pPr>
        <w:spacing w:after="0"/>
        <w:ind w:left="993" w:hanging="993"/>
        <w:jc w:val="both"/>
        <w:rPr>
          <w:rFonts w:ascii="Arial" w:hAnsi="Arial" w:cs="Arial"/>
          <w:sz w:val="20"/>
          <w:szCs w:val="24"/>
        </w:rPr>
      </w:pPr>
      <w:r w:rsidRPr="0001561E">
        <w:rPr>
          <w:rFonts w:ascii="Arial" w:hAnsi="Arial" w:cs="Arial"/>
          <w:sz w:val="20"/>
          <w:szCs w:val="24"/>
        </w:rPr>
        <w:t>Barua P. K. and Bora. P. K. (1969)</w:t>
      </w:r>
      <w:r w:rsidR="00C06DAB" w:rsidRPr="0001561E">
        <w:rPr>
          <w:rFonts w:ascii="Arial" w:hAnsi="Arial" w:cs="Arial"/>
          <w:sz w:val="20"/>
          <w:szCs w:val="24"/>
        </w:rPr>
        <w:t>.</w:t>
      </w:r>
      <w:r w:rsidRPr="0001561E">
        <w:rPr>
          <w:rFonts w:ascii="Arial" w:hAnsi="Arial" w:cs="Arial"/>
          <w:sz w:val="20"/>
          <w:szCs w:val="24"/>
        </w:rPr>
        <w:t xml:space="preserve"> Progress of Soil Testing Works in Assam, Summary Report of the Soil Testing Laboratory (from Inception to 1969), Soil Fertility Series No.1, Department of Agriculture, Assam, India.</w:t>
      </w:r>
    </w:p>
    <w:p w14:paraId="4CE593A8"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Basumatary, A. and Talukdar, M. C. (1999)</w:t>
      </w:r>
      <w:r w:rsidR="003E2203" w:rsidRPr="0001561E">
        <w:rPr>
          <w:rFonts w:ascii="Arial" w:hAnsi="Arial" w:cs="Arial"/>
          <w:sz w:val="20"/>
          <w:szCs w:val="24"/>
        </w:rPr>
        <w:t>.</w:t>
      </w:r>
      <w:r w:rsidRPr="0001561E">
        <w:rPr>
          <w:rFonts w:ascii="Arial" w:hAnsi="Arial" w:cs="Arial"/>
          <w:sz w:val="20"/>
          <w:szCs w:val="24"/>
        </w:rPr>
        <w:t xml:space="preserve"> Changes in available nutrients as affected by integrated supply system in rice-rice sequence. </w:t>
      </w:r>
      <w:r w:rsidRPr="0001561E">
        <w:rPr>
          <w:rFonts w:ascii="Arial" w:hAnsi="Arial" w:cs="Arial"/>
          <w:i/>
          <w:sz w:val="20"/>
          <w:szCs w:val="24"/>
        </w:rPr>
        <w:t>New Agriculturist</w:t>
      </w:r>
      <w:r w:rsidRPr="0001561E">
        <w:rPr>
          <w:rFonts w:ascii="Arial" w:hAnsi="Arial" w:cs="Arial"/>
          <w:sz w:val="20"/>
          <w:szCs w:val="24"/>
        </w:rPr>
        <w:t xml:space="preserve"> 10</w:t>
      </w:r>
      <w:r w:rsidR="00812B95" w:rsidRPr="0001561E">
        <w:rPr>
          <w:rFonts w:ascii="Arial" w:hAnsi="Arial" w:cs="Arial"/>
          <w:sz w:val="20"/>
          <w:szCs w:val="24"/>
        </w:rPr>
        <w:t xml:space="preserve"> </w:t>
      </w:r>
      <w:r w:rsidRPr="0001561E">
        <w:rPr>
          <w:rFonts w:ascii="Arial" w:hAnsi="Arial" w:cs="Arial"/>
          <w:sz w:val="20"/>
          <w:szCs w:val="24"/>
        </w:rPr>
        <w:t>(1, 2)</w:t>
      </w:r>
      <w:r w:rsidR="00812B95" w:rsidRPr="0001561E">
        <w:rPr>
          <w:rFonts w:ascii="Arial" w:hAnsi="Arial" w:cs="Arial"/>
          <w:sz w:val="20"/>
          <w:szCs w:val="24"/>
        </w:rPr>
        <w:t>,</w:t>
      </w:r>
      <w:r w:rsidRPr="0001561E">
        <w:rPr>
          <w:rFonts w:ascii="Arial" w:hAnsi="Arial" w:cs="Arial"/>
          <w:sz w:val="20"/>
          <w:szCs w:val="24"/>
        </w:rPr>
        <w:t xml:space="preserve"> 81-4.</w:t>
      </w:r>
    </w:p>
    <w:p w14:paraId="1E5E6E66"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Behera, S. K. </w:t>
      </w:r>
      <w:proofErr w:type="gramStart"/>
      <w:r w:rsidRPr="0001561E">
        <w:rPr>
          <w:rFonts w:ascii="Arial" w:hAnsi="Arial" w:cs="Arial"/>
          <w:sz w:val="20"/>
          <w:szCs w:val="24"/>
        </w:rPr>
        <w:t>And  Shukla</w:t>
      </w:r>
      <w:proofErr w:type="gramEnd"/>
      <w:r w:rsidRPr="0001561E">
        <w:rPr>
          <w:rFonts w:ascii="Arial" w:hAnsi="Arial" w:cs="Arial"/>
          <w:sz w:val="20"/>
          <w:szCs w:val="24"/>
        </w:rPr>
        <w:t>, A. K. (2015)</w:t>
      </w:r>
      <w:r w:rsidR="003E2203" w:rsidRPr="0001561E">
        <w:rPr>
          <w:rFonts w:ascii="Arial" w:hAnsi="Arial" w:cs="Arial"/>
          <w:sz w:val="20"/>
          <w:szCs w:val="24"/>
        </w:rPr>
        <w:t>.</w:t>
      </w:r>
      <w:r w:rsidRPr="0001561E">
        <w:rPr>
          <w:rFonts w:ascii="Arial" w:hAnsi="Arial" w:cs="Arial"/>
          <w:sz w:val="20"/>
          <w:szCs w:val="24"/>
        </w:rPr>
        <w:t xml:space="preserve"> Spatial distribution of surface soil acidity, electrical conductivity, soil organic carbon content and exchangeable potassium, calcium and magnesium in some cropped acid soils of India. </w:t>
      </w:r>
      <w:r w:rsidRPr="0001561E">
        <w:rPr>
          <w:rFonts w:ascii="Arial" w:hAnsi="Arial" w:cs="Arial"/>
          <w:i/>
          <w:sz w:val="20"/>
          <w:szCs w:val="24"/>
        </w:rPr>
        <w:t>Land Degradation &amp; Development</w:t>
      </w:r>
      <w:r w:rsidRPr="0001561E">
        <w:rPr>
          <w:rFonts w:ascii="Arial" w:hAnsi="Arial" w:cs="Arial"/>
          <w:sz w:val="20"/>
          <w:szCs w:val="24"/>
        </w:rPr>
        <w:t xml:space="preserve"> 26</w:t>
      </w:r>
      <w:r w:rsidR="00812B95" w:rsidRPr="0001561E">
        <w:rPr>
          <w:rFonts w:ascii="Arial" w:hAnsi="Arial" w:cs="Arial"/>
          <w:sz w:val="20"/>
          <w:szCs w:val="24"/>
        </w:rPr>
        <w:t>,</w:t>
      </w:r>
      <w:r w:rsidRPr="0001561E">
        <w:rPr>
          <w:rFonts w:ascii="Arial" w:hAnsi="Arial" w:cs="Arial"/>
          <w:sz w:val="20"/>
          <w:szCs w:val="24"/>
        </w:rPr>
        <w:t xml:space="preserve"> 71–79.</w:t>
      </w:r>
    </w:p>
    <w:p w14:paraId="27BDF4C8" w14:textId="77777777" w:rsidR="001F021F" w:rsidRPr="0001561E" w:rsidRDefault="001F021F" w:rsidP="00141E43">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hAnsi="Arial" w:cs="Arial"/>
          <w:sz w:val="20"/>
          <w:szCs w:val="24"/>
        </w:rPr>
        <w:t xml:space="preserve">Bhupen K., Baruah, </w:t>
      </w:r>
      <w:proofErr w:type="spellStart"/>
      <w:r w:rsidRPr="0001561E">
        <w:rPr>
          <w:rFonts w:ascii="Arial" w:hAnsi="Arial" w:cs="Arial"/>
          <w:sz w:val="20"/>
          <w:szCs w:val="24"/>
        </w:rPr>
        <w:t>Bhanita</w:t>
      </w:r>
      <w:proofErr w:type="spellEnd"/>
      <w:r w:rsidRPr="0001561E">
        <w:rPr>
          <w:rFonts w:ascii="Arial" w:hAnsi="Arial" w:cs="Arial"/>
          <w:sz w:val="20"/>
          <w:szCs w:val="24"/>
        </w:rPr>
        <w:t xml:space="preserve"> Das, Chitrani Medhi. and Abani K. Misra (2013)</w:t>
      </w:r>
      <w:r w:rsidR="00E728F3" w:rsidRPr="0001561E">
        <w:rPr>
          <w:rFonts w:ascii="Arial" w:hAnsi="Arial" w:cs="Arial"/>
          <w:sz w:val="20"/>
          <w:szCs w:val="24"/>
        </w:rPr>
        <w:t>.</w:t>
      </w:r>
      <w:r w:rsidRPr="0001561E">
        <w:rPr>
          <w:rFonts w:ascii="Arial" w:hAnsi="Arial" w:cs="Arial"/>
          <w:sz w:val="20"/>
          <w:szCs w:val="24"/>
        </w:rPr>
        <w:t xml:space="preserve"> Fertility Status of Soil in the Tea Garden Belts of </w:t>
      </w:r>
      <w:proofErr w:type="spellStart"/>
      <w:r w:rsidRPr="0001561E">
        <w:rPr>
          <w:rFonts w:ascii="Arial" w:hAnsi="Arial" w:cs="Arial"/>
          <w:sz w:val="20"/>
          <w:szCs w:val="24"/>
        </w:rPr>
        <w:t>Golaghat</w:t>
      </w:r>
      <w:proofErr w:type="spellEnd"/>
      <w:r w:rsidRPr="0001561E">
        <w:rPr>
          <w:rFonts w:ascii="Arial" w:hAnsi="Arial" w:cs="Arial"/>
          <w:sz w:val="20"/>
          <w:szCs w:val="24"/>
        </w:rPr>
        <w:t xml:space="preserve"> District, Assam, India. </w:t>
      </w:r>
      <w:r w:rsidRPr="0001561E">
        <w:rPr>
          <w:rFonts w:ascii="Arial" w:eastAsia="MinionPro-Regular-Identity-H" w:hAnsi="Arial" w:cs="Arial"/>
          <w:i/>
          <w:sz w:val="20"/>
          <w:szCs w:val="24"/>
        </w:rPr>
        <w:t>Journal of Chemistry</w:t>
      </w:r>
      <w:r w:rsidRPr="0001561E">
        <w:rPr>
          <w:rFonts w:ascii="Arial" w:eastAsia="MinionPro-Regular-Identity-H" w:hAnsi="Arial" w:cs="Arial"/>
          <w:sz w:val="20"/>
          <w:szCs w:val="24"/>
        </w:rPr>
        <w:t xml:space="preserve"> 1</w:t>
      </w:r>
      <w:r w:rsidR="00812B95" w:rsidRPr="0001561E">
        <w:rPr>
          <w:rFonts w:ascii="Arial" w:eastAsia="MinionPro-Regular-Identity-H" w:hAnsi="Arial" w:cs="Arial"/>
          <w:sz w:val="20"/>
          <w:szCs w:val="24"/>
        </w:rPr>
        <w:t>,</w:t>
      </w:r>
      <w:r w:rsidRPr="0001561E">
        <w:rPr>
          <w:rFonts w:ascii="Arial" w:eastAsia="MinionPro-Regular-Identity-H" w:hAnsi="Arial" w:cs="Arial"/>
          <w:sz w:val="20"/>
          <w:szCs w:val="24"/>
        </w:rPr>
        <w:t xml:space="preserve"> 1- 6.</w:t>
      </w:r>
    </w:p>
    <w:p w14:paraId="3D645933" w14:textId="77777777" w:rsidR="001F021F" w:rsidRPr="0001561E" w:rsidRDefault="001F021F" w:rsidP="00141E43">
      <w:pPr>
        <w:spacing w:after="0"/>
        <w:ind w:left="993" w:hanging="993"/>
        <w:jc w:val="both"/>
        <w:rPr>
          <w:rFonts w:ascii="Arial" w:hAnsi="Arial" w:cs="Arial"/>
          <w:sz w:val="20"/>
          <w:szCs w:val="24"/>
        </w:rPr>
      </w:pPr>
      <w:r w:rsidRPr="0001561E">
        <w:rPr>
          <w:rFonts w:ascii="Arial" w:hAnsi="Arial" w:cs="Arial"/>
          <w:sz w:val="20"/>
          <w:szCs w:val="24"/>
        </w:rPr>
        <w:t>Bingham, F. T. (1982)</w:t>
      </w:r>
      <w:r w:rsidR="00E728F3" w:rsidRPr="0001561E">
        <w:rPr>
          <w:rFonts w:ascii="Arial" w:hAnsi="Arial" w:cs="Arial"/>
          <w:sz w:val="20"/>
          <w:szCs w:val="24"/>
        </w:rPr>
        <w:t>.</w:t>
      </w:r>
      <w:r w:rsidRPr="0001561E">
        <w:rPr>
          <w:rFonts w:ascii="Arial" w:hAnsi="Arial" w:cs="Arial"/>
          <w:sz w:val="20"/>
          <w:szCs w:val="24"/>
        </w:rPr>
        <w:t xml:space="preserve"> Boron. In Methods of Soil Analysis, Part 2, 2nd Ed. A. L. Page </w:t>
      </w:r>
      <w:r w:rsidRPr="0001561E">
        <w:rPr>
          <w:rFonts w:ascii="Arial" w:hAnsi="Arial" w:cs="Arial"/>
          <w:i/>
          <w:sz w:val="20"/>
          <w:szCs w:val="24"/>
        </w:rPr>
        <w:t>et al</w:t>
      </w:r>
      <w:r w:rsidRPr="0001561E">
        <w:rPr>
          <w:rFonts w:ascii="Arial" w:hAnsi="Arial" w:cs="Arial"/>
          <w:sz w:val="20"/>
          <w:szCs w:val="24"/>
        </w:rPr>
        <w:t xml:space="preserve">. (eds.) Agron. </w:t>
      </w:r>
      <w:proofErr w:type="spellStart"/>
      <w:r w:rsidRPr="0001561E">
        <w:rPr>
          <w:rFonts w:ascii="Arial" w:hAnsi="Arial" w:cs="Arial"/>
          <w:sz w:val="20"/>
          <w:szCs w:val="24"/>
        </w:rPr>
        <w:t>Monogr</w:t>
      </w:r>
      <w:proofErr w:type="spellEnd"/>
      <w:r w:rsidRPr="0001561E">
        <w:rPr>
          <w:rFonts w:ascii="Arial" w:hAnsi="Arial" w:cs="Arial"/>
          <w:sz w:val="20"/>
          <w:szCs w:val="24"/>
        </w:rPr>
        <w:t>. No. 9. ASA and SSSA, Madison, WI, pp. 437–447.</w:t>
      </w:r>
    </w:p>
    <w:p w14:paraId="4DBECA60"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Borkakti</w:t>
      </w:r>
      <w:proofErr w:type="spellEnd"/>
      <w:r w:rsidRPr="0001561E">
        <w:rPr>
          <w:rFonts w:ascii="Arial" w:hAnsi="Arial" w:cs="Arial"/>
          <w:sz w:val="20"/>
          <w:szCs w:val="24"/>
        </w:rPr>
        <w:t>, K., Bhattacharyya, H. C. and Karmakar. (2001)</w:t>
      </w:r>
      <w:r w:rsidR="00E728F3" w:rsidRPr="0001561E">
        <w:rPr>
          <w:rFonts w:ascii="Arial" w:hAnsi="Arial" w:cs="Arial"/>
          <w:sz w:val="20"/>
          <w:szCs w:val="24"/>
        </w:rPr>
        <w:t>.</w:t>
      </w:r>
      <w:r w:rsidRPr="0001561E">
        <w:rPr>
          <w:rFonts w:ascii="Arial" w:hAnsi="Arial" w:cs="Arial"/>
          <w:sz w:val="20"/>
          <w:szCs w:val="24"/>
        </w:rPr>
        <w:t xml:space="preserve"> Nutrient mining in agroclimatic zones of Assam. </w:t>
      </w:r>
      <w:r w:rsidR="00812B95" w:rsidRPr="0001561E">
        <w:rPr>
          <w:rFonts w:ascii="Arial" w:hAnsi="Arial" w:cs="Arial"/>
          <w:i/>
          <w:sz w:val="20"/>
          <w:szCs w:val="24"/>
        </w:rPr>
        <w:t xml:space="preserve">Fertilizer </w:t>
      </w:r>
      <w:proofErr w:type="gramStart"/>
      <w:r w:rsidR="00812B95" w:rsidRPr="0001561E">
        <w:rPr>
          <w:rFonts w:ascii="Arial" w:hAnsi="Arial" w:cs="Arial"/>
          <w:i/>
          <w:sz w:val="20"/>
          <w:szCs w:val="24"/>
        </w:rPr>
        <w:t>News</w:t>
      </w:r>
      <w:r w:rsidRPr="0001561E">
        <w:rPr>
          <w:rFonts w:ascii="Arial" w:hAnsi="Arial" w:cs="Arial"/>
          <w:sz w:val="20"/>
          <w:szCs w:val="24"/>
        </w:rPr>
        <w:t xml:space="preserve">  </w:t>
      </w:r>
      <w:r w:rsidR="00812B95" w:rsidRPr="0001561E">
        <w:rPr>
          <w:rFonts w:ascii="Arial" w:hAnsi="Arial" w:cs="Arial"/>
          <w:sz w:val="20"/>
          <w:szCs w:val="24"/>
        </w:rPr>
        <w:t>46</w:t>
      </w:r>
      <w:proofErr w:type="gramEnd"/>
      <w:r w:rsidR="00812B95" w:rsidRPr="0001561E">
        <w:rPr>
          <w:rFonts w:ascii="Arial" w:hAnsi="Arial" w:cs="Arial"/>
          <w:sz w:val="20"/>
          <w:szCs w:val="24"/>
        </w:rPr>
        <w:t>(5),</w:t>
      </w:r>
      <w:r w:rsidRPr="0001561E">
        <w:rPr>
          <w:rFonts w:ascii="Arial" w:hAnsi="Arial" w:cs="Arial"/>
          <w:sz w:val="20"/>
          <w:szCs w:val="24"/>
        </w:rPr>
        <w:t xml:space="preserve"> 61-63.</w:t>
      </w:r>
    </w:p>
    <w:p w14:paraId="2B669E57" w14:textId="77777777" w:rsidR="00D211EE" w:rsidRPr="0001561E" w:rsidRDefault="00D211EE" w:rsidP="00D211EE">
      <w:pPr>
        <w:spacing w:after="0"/>
        <w:ind w:left="993" w:hanging="993"/>
        <w:jc w:val="both"/>
        <w:rPr>
          <w:rFonts w:ascii="Arial" w:hAnsi="Arial" w:cs="Arial"/>
          <w:color w:val="000000"/>
          <w:sz w:val="20"/>
          <w:szCs w:val="24"/>
        </w:rPr>
      </w:pPr>
      <w:proofErr w:type="spellStart"/>
      <w:r w:rsidRPr="0001561E">
        <w:rPr>
          <w:rFonts w:ascii="Arial" w:hAnsi="Arial" w:cs="Arial"/>
          <w:sz w:val="20"/>
        </w:rPr>
        <w:t>Borkotoki</w:t>
      </w:r>
      <w:proofErr w:type="spellEnd"/>
      <w:r w:rsidRPr="0001561E">
        <w:rPr>
          <w:rFonts w:ascii="Arial" w:hAnsi="Arial" w:cs="Arial"/>
          <w:sz w:val="20"/>
        </w:rPr>
        <w:t>, B., Bhattacharyya, D., Sharma, K. K., Saikia, P., Goswami, P and Bora, B</w:t>
      </w:r>
      <w:r w:rsidRPr="0001561E">
        <w:rPr>
          <w:rFonts w:ascii="Arial" w:hAnsi="Arial" w:cs="Arial"/>
          <w:color w:val="000000"/>
          <w:szCs w:val="24"/>
        </w:rPr>
        <w:t xml:space="preserve"> </w:t>
      </w:r>
      <w:r w:rsidRPr="0001561E">
        <w:rPr>
          <w:rFonts w:ascii="Arial" w:hAnsi="Arial" w:cs="Arial"/>
          <w:color w:val="000000"/>
          <w:sz w:val="20"/>
          <w:szCs w:val="24"/>
        </w:rPr>
        <w:t>(2024)</w:t>
      </w:r>
      <w:r w:rsidR="00E728F3" w:rsidRPr="0001561E">
        <w:rPr>
          <w:rFonts w:ascii="Arial" w:hAnsi="Arial" w:cs="Arial"/>
          <w:color w:val="000000"/>
          <w:sz w:val="20"/>
          <w:szCs w:val="24"/>
        </w:rPr>
        <w:t>.</w:t>
      </w:r>
      <w:r w:rsidRPr="0001561E">
        <w:rPr>
          <w:rFonts w:ascii="Arial" w:hAnsi="Arial" w:cs="Arial"/>
          <w:color w:val="000000"/>
          <w:sz w:val="20"/>
          <w:szCs w:val="24"/>
        </w:rPr>
        <w:t xml:space="preserve"> Soil nutrient mapping of the Lakhimpur district of Assam using geospatial technology. </w:t>
      </w:r>
      <w:r w:rsidRPr="0001561E">
        <w:rPr>
          <w:rFonts w:ascii="Arial" w:hAnsi="Arial" w:cs="Arial"/>
          <w:i/>
          <w:color w:val="000000"/>
          <w:sz w:val="20"/>
          <w:szCs w:val="24"/>
        </w:rPr>
        <w:t>Annals of Plant and Soil Research</w:t>
      </w:r>
      <w:r w:rsidRPr="0001561E">
        <w:rPr>
          <w:rFonts w:ascii="Arial" w:hAnsi="Arial" w:cs="Arial"/>
          <w:color w:val="000000"/>
          <w:sz w:val="20"/>
          <w:szCs w:val="24"/>
        </w:rPr>
        <w:t xml:space="preserve"> 26(1), 1-13.</w:t>
      </w:r>
    </w:p>
    <w:p w14:paraId="1AD544CD" w14:textId="77777777" w:rsidR="001F021F" w:rsidRPr="0001561E" w:rsidRDefault="001F021F" w:rsidP="00D211EE">
      <w:pPr>
        <w:spacing w:after="0"/>
        <w:ind w:left="993" w:hanging="993"/>
        <w:jc w:val="both"/>
        <w:rPr>
          <w:rFonts w:ascii="Arial" w:hAnsi="Arial" w:cs="Arial"/>
          <w:sz w:val="20"/>
          <w:szCs w:val="24"/>
        </w:rPr>
      </w:pPr>
      <w:r w:rsidRPr="0001561E">
        <w:rPr>
          <w:rFonts w:ascii="Arial" w:hAnsi="Arial" w:cs="Arial"/>
          <w:sz w:val="20"/>
          <w:szCs w:val="24"/>
        </w:rPr>
        <w:t>Bowman, R. A., Vigil, M. F., Nielsen, D. C. and Anderson, R. L. (1999)</w:t>
      </w:r>
      <w:r w:rsidR="00E728F3" w:rsidRPr="0001561E">
        <w:rPr>
          <w:rFonts w:ascii="Arial" w:hAnsi="Arial" w:cs="Arial"/>
          <w:sz w:val="20"/>
          <w:szCs w:val="24"/>
        </w:rPr>
        <w:t>.</w:t>
      </w:r>
      <w:r w:rsidRPr="0001561E">
        <w:rPr>
          <w:rFonts w:ascii="Arial" w:hAnsi="Arial" w:cs="Arial"/>
          <w:sz w:val="20"/>
          <w:szCs w:val="24"/>
        </w:rPr>
        <w:t xml:space="preserve"> Soil organic matter changes in intensively cropped dry land systems, </w:t>
      </w:r>
      <w:r w:rsidRPr="0001561E">
        <w:rPr>
          <w:rFonts w:ascii="Arial" w:hAnsi="Arial" w:cs="Arial"/>
          <w:i/>
          <w:sz w:val="20"/>
          <w:szCs w:val="24"/>
        </w:rPr>
        <w:t xml:space="preserve">Soil Science Society of America </w:t>
      </w:r>
      <w:proofErr w:type="gramStart"/>
      <w:r w:rsidRPr="0001561E">
        <w:rPr>
          <w:rFonts w:ascii="Arial" w:hAnsi="Arial" w:cs="Arial"/>
          <w:i/>
          <w:sz w:val="20"/>
          <w:szCs w:val="24"/>
        </w:rPr>
        <w:t>Journal</w:t>
      </w:r>
      <w:r w:rsidRPr="0001561E">
        <w:rPr>
          <w:rFonts w:ascii="Arial" w:hAnsi="Arial" w:cs="Arial"/>
          <w:sz w:val="20"/>
          <w:szCs w:val="24"/>
        </w:rPr>
        <w:t xml:space="preserve">  63</w:t>
      </w:r>
      <w:proofErr w:type="gramEnd"/>
      <w:r w:rsidRPr="0001561E">
        <w:rPr>
          <w:rFonts w:ascii="Arial" w:hAnsi="Arial" w:cs="Arial"/>
          <w:sz w:val="20"/>
          <w:szCs w:val="24"/>
        </w:rPr>
        <w:t xml:space="preserve"> (1)</w:t>
      </w:r>
      <w:r w:rsidR="00812B95" w:rsidRPr="0001561E">
        <w:rPr>
          <w:rFonts w:ascii="Arial" w:hAnsi="Arial" w:cs="Arial"/>
          <w:sz w:val="20"/>
          <w:szCs w:val="24"/>
        </w:rPr>
        <w:t xml:space="preserve">, </w:t>
      </w:r>
      <w:r w:rsidRPr="0001561E">
        <w:rPr>
          <w:rFonts w:ascii="Arial" w:hAnsi="Arial" w:cs="Arial"/>
          <w:sz w:val="20"/>
          <w:szCs w:val="24"/>
        </w:rPr>
        <w:t>186–191.</w:t>
      </w:r>
    </w:p>
    <w:p w14:paraId="02BD341C"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Brady, N.C. and Weil, R.R. (2002)</w:t>
      </w:r>
      <w:r w:rsidR="00E728F3" w:rsidRPr="0001561E">
        <w:rPr>
          <w:rFonts w:ascii="Arial" w:hAnsi="Arial" w:cs="Arial"/>
          <w:sz w:val="20"/>
          <w:szCs w:val="24"/>
        </w:rPr>
        <w:t>.</w:t>
      </w:r>
      <w:r w:rsidRPr="0001561E">
        <w:rPr>
          <w:rFonts w:ascii="Arial" w:hAnsi="Arial" w:cs="Arial"/>
          <w:sz w:val="20"/>
          <w:szCs w:val="24"/>
        </w:rPr>
        <w:t xml:space="preserve"> The </w:t>
      </w:r>
      <w:r w:rsidR="00E728F3" w:rsidRPr="0001561E">
        <w:rPr>
          <w:rFonts w:ascii="Arial" w:hAnsi="Arial" w:cs="Arial"/>
          <w:sz w:val="20"/>
          <w:szCs w:val="24"/>
        </w:rPr>
        <w:t>N</w:t>
      </w:r>
      <w:r w:rsidRPr="0001561E">
        <w:rPr>
          <w:rFonts w:ascii="Arial" w:hAnsi="Arial" w:cs="Arial"/>
          <w:sz w:val="20"/>
          <w:szCs w:val="24"/>
        </w:rPr>
        <w:t>ature and Properties of Soils, 13th Ed. Prentice- Hall Inc., New Jersey, USA, 960.</w:t>
      </w:r>
    </w:p>
    <w:p w14:paraId="2F84BC29"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Bray, R.H. and Kurtz, L.T. (1945) Determination of total, organic and available forms of phosphorus in soils. </w:t>
      </w:r>
      <w:r w:rsidR="00812B95" w:rsidRPr="0001561E">
        <w:rPr>
          <w:rFonts w:ascii="Arial" w:hAnsi="Arial" w:cs="Arial"/>
          <w:i/>
          <w:iCs/>
          <w:sz w:val="20"/>
          <w:szCs w:val="24"/>
        </w:rPr>
        <w:t xml:space="preserve">Soil </w:t>
      </w:r>
      <w:proofErr w:type="gramStart"/>
      <w:r w:rsidR="00812B95" w:rsidRPr="0001561E">
        <w:rPr>
          <w:rFonts w:ascii="Arial" w:hAnsi="Arial" w:cs="Arial"/>
          <w:i/>
          <w:iCs/>
          <w:sz w:val="20"/>
          <w:szCs w:val="24"/>
        </w:rPr>
        <w:t xml:space="preserve">Science </w:t>
      </w:r>
      <w:r w:rsidRPr="0001561E">
        <w:rPr>
          <w:rFonts w:ascii="Arial" w:hAnsi="Arial" w:cs="Arial"/>
          <w:i/>
          <w:iCs/>
          <w:sz w:val="20"/>
          <w:szCs w:val="24"/>
        </w:rPr>
        <w:t xml:space="preserve"> </w:t>
      </w:r>
      <w:r w:rsidRPr="0001561E">
        <w:rPr>
          <w:rFonts w:ascii="Arial" w:hAnsi="Arial" w:cs="Arial"/>
          <w:bCs/>
          <w:sz w:val="20"/>
          <w:szCs w:val="24"/>
        </w:rPr>
        <w:t>59</w:t>
      </w:r>
      <w:proofErr w:type="gramEnd"/>
      <w:r w:rsidRPr="0001561E">
        <w:rPr>
          <w:rFonts w:ascii="Arial" w:hAnsi="Arial" w:cs="Arial"/>
          <w:sz w:val="20"/>
          <w:szCs w:val="24"/>
        </w:rPr>
        <w:t>, 39-45.</w:t>
      </w:r>
    </w:p>
    <w:p w14:paraId="12334E43" w14:textId="77777777" w:rsidR="001F021F" w:rsidRPr="0001561E" w:rsidRDefault="001F021F" w:rsidP="00141E43">
      <w:pPr>
        <w:autoSpaceDE w:val="0"/>
        <w:autoSpaceDN w:val="0"/>
        <w:adjustRightInd w:val="0"/>
        <w:spacing w:after="0"/>
        <w:ind w:left="993" w:hanging="993"/>
        <w:jc w:val="both"/>
        <w:rPr>
          <w:rFonts w:ascii="Arial" w:hAnsi="Arial" w:cs="Arial"/>
          <w:sz w:val="24"/>
          <w:szCs w:val="24"/>
        </w:rPr>
      </w:pPr>
      <w:proofErr w:type="spellStart"/>
      <w:r w:rsidRPr="0001561E">
        <w:rPr>
          <w:rFonts w:ascii="Arial" w:hAnsi="Arial" w:cs="Arial"/>
          <w:sz w:val="20"/>
          <w:szCs w:val="20"/>
        </w:rPr>
        <w:t>Cambardella</w:t>
      </w:r>
      <w:proofErr w:type="spellEnd"/>
      <w:r w:rsidRPr="0001561E">
        <w:rPr>
          <w:rFonts w:ascii="Arial" w:hAnsi="Arial" w:cs="Arial"/>
          <w:sz w:val="20"/>
          <w:szCs w:val="20"/>
        </w:rPr>
        <w:t>, C.A. and Karlen, D.L. (1999)</w:t>
      </w:r>
      <w:r w:rsidR="00E728F3" w:rsidRPr="0001561E">
        <w:rPr>
          <w:rFonts w:ascii="Arial" w:hAnsi="Arial" w:cs="Arial"/>
          <w:sz w:val="20"/>
          <w:szCs w:val="20"/>
        </w:rPr>
        <w:t>.</w:t>
      </w:r>
      <w:r w:rsidRPr="0001561E">
        <w:rPr>
          <w:rFonts w:ascii="Arial" w:hAnsi="Arial" w:cs="Arial"/>
          <w:sz w:val="20"/>
          <w:szCs w:val="20"/>
        </w:rPr>
        <w:t xml:space="preserve"> Spatial analysis of soil fertility parameters. </w:t>
      </w:r>
      <w:r w:rsidRPr="0001561E">
        <w:rPr>
          <w:rFonts w:ascii="Arial" w:hAnsi="Arial" w:cs="Arial"/>
          <w:i/>
          <w:iCs/>
          <w:sz w:val="20"/>
          <w:szCs w:val="20"/>
        </w:rPr>
        <w:t xml:space="preserve">Precision Agriculture </w:t>
      </w:r>
      <w:r w:rsidRPr="0001561E">
        <w:rPr>
          <w:rFonts w:ascii="Arial" w:hAnsi="Arial" w:cs="Arial"/>
          <w:sz w:val="20"/>
          <w:szCs w:val="20"/>
        </w:rPr>
        <w:t>1(1)</w:t>
      </w:r>
      <w:r w:rsidR="00812B95" w:rsidRPr="0001561E">
        <w:rPr>
          <w:rFonts w:ascii="Arial" w:hAnsi="Arial" w:cs="Arial"/>
          <w:sz w:val="20"/>
          <w:szCs w:val="20"/>
        </w:rPr>
        <w:t>,</w:t>
      </w:r>
      <w:r w:rsidRPr="0001561E">
        <w:rPr>
          <w:rFonts w:ascii="Arial" w:hAnsi="Arial" w:cs="Arial"/>
          <w:sz w:val="20"/>
          <w:szCs w:val="20"/>
        </w:rPr>
        <w:t xml:space="preserve"> 5-14.</w:t>
      </w:r>
    </w:p>
    <w:p w14:paraId="554E10E4" w14:textId="77777777" w:rsidR="001F021F" w:rsidRPr="0001561E" w:rsidRDefault="001F021F" w:rsidP="00141E43">
      <w:pPr>
        <w:spacing w:after="0"/>
        <w:ind w:left="993" w:hanging="993"/>
        <w:jc w:val="both"/>
        <w:rPr>
          <w:rFonts w:ascii="Arial" w:hAnsi="Arial" w:cs="Arial"/>
          <w:sz w:val="20"/>
          <w:szCs w:val="24"/>
        </w:rPr>
      </w:pPr>
      <w:proofErr w:type="spellStart"/>
      <w:r w:rsidRPr="0001561E">
        <w:rPr>
          <w:rFonts w:ascii="Arial" w:hAnsi="Arial" w:cs="Arial"/>
          <w:color w:val="000000"/>
          <w:sz w:val="20"/>
          <w:szCs w:val="24"/>
          <w:shd w:val="clear" w:color="auto" w:fill="FFFFFF"/>
        </w:rPr>
        <w:t>Chesnin</w:t>
      </w:r>
      <w:proofErr w:type="spellEnd"/>
      <w:r w:rsidRPr="0001561E">
        <w:rPr>
          <w:rFonts w:ascii="Arial" w:hAnsi="Arial" w:cs="Arial"/>
          <w:color w:val="000000"/>
          <w:sz w:val="20"/>
          <w:szCs w:val="24"/>
          <w:shd w:val="clear" w:color="auto" w:fill="FFFFFF"/>
        </w:rPr>
        <w:t>, L., &amp; Yien, C. H. (1950)</w:t>
      </w:r>
      <w:r w:rsidR="00E728F3" w:rsidRPr="0001561E">
        <w:rPr>
          <w:rFonts w:ascii="Arial" w:hAnsi="Arial" w:cs="Arial"/>
          <w:color w:val="000000"/>
          <w:sz w:val="20"/>
          <w:szCs w:val="24"/>
          <w:shd w:val="clear" w:color="auto" w:fill="FFFFFF"/>
        </w:rPr>
        <w:t>.</w:t>
      </w:r>
      <w:r w:rsidRPr="0001561E">
        <w:rPr>
          <w:rFonts w:ascii="Arial" w:hAnsi="Arial" w:cs="Arial"/>
          <w:color w:val="000000"/>
          <w:sz w:val="20"/>
          <w:szCs w:val="24"/>
          <w:shd w:val="clear" w:color="auto" w:fill="FFFFFF"/>
        </w:rPr>
        <w:t xml:space="preserve"> Turbidimetric Determination of Available Sulphates. Soil </w:t>
      </w:r>
      <w:r w:rsidRPr="0001561E">
        <w:rPr>
          <w:rFonts w:ascii="Arial" w:hAnsi="Arial" w:cs="Arial"/>
          <w:i/>
          <w:color w:val="000000"/>
          <w:sz w:val="20"/>
          <w:szCs w:val="24"/>
          <w:shd w:val="clear" w:color="auto" w:fill="FFFFFF"/>
        </w:rPr>
        <w:t>Science Society of America Journal</w:t>
      </w:r>
      <w:r w:rsidRPr="0001561E">
        <w:rPr>
          <w:rFonts w:ascii="Arial" w:hAnsi="Arial" w:cs="Arial"/>
          <w:color w:val="000000"/>
          <w:sz w:val="20"/>
          <w:szCs w:val="24"/>
          <w:shd w:val="clear" w:color="auto" w:fill="FFFFFF"/>
        </w:rPr>
        <w:t xml:space="preserve"> 15</w:t>
      </w:r>
      <w:r w:rsidR="00812B95" w:rsidRPr="0001561E">
        <w:rPr>
          <w:rFonts w:ascii="Arial" w:hAnsi="Arial" w:cs="Arial"/>
          <w:color w:val="000000"/>
          <w:sz w:val="20"/>
          <w:szCs w:val="24"/>
          <w:shd w:val="clear" w:color="auto" w:fill="FFFFFF"/>
        </w:rPr>
        <w:t>,</w:t>
      </w:r>
      <w:r w:rsidRPr="0001561E">
        <w:rPr>
          <w:rFonts w:ascii="Arial" w:hAnsi="Arial" w:cs="Arial"/>
          <w:color w:val="000000"/>
          <w:sz w:val="20"/>
          <w:szCs w:val="24"/>
          <w:shd w:val="clear" w:color="auto" w:fill="FFFFFF"/>
        </w:rPr>
        <w:t xml:space="preserve"> 149-151. </w:t>
      </w:r>
    </w:p>
    <w:p w14:paraId="2EEAEFA5" w14:textId="77777777" w:rsidR="001F021F" w:rsidRPr="0001561E" w:rsidRDefault="001F021F" w:rsidP="00141E43">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eastAsia="MinionPro-Regular-Identity-H" w:hAnsi="Arial" w:cs="Arial"/>
          <w:sz w:val="20"/>
          <w:szCs w:val="24"/>
        </w:rPr>
        <w:t>Dutta, S. and Zaman, A.S.N. (2013)</w:t>
      </w:r>
      <w:r w:rsidR="00E728F3" w:rsidRPr="0001561E">
        <w:rPr>
          <w:rFonts w:ascii="Arial" w:eastAsia="MinionPro-Regular-Identity-H" w:hAnsi="Arial" w:cs="Arial"/>
          <w:sz w:val="20"/>
          <w:szCs w:val="24"/>
        </w:rPr>
        <w:t>.</w:t>
      </w:r>
      <w:r w:rsidRPr="0001561E">
        <w:rPr>
          <w:rFonts w:ascii="Arial" w:eastAsia="MinionPro-Regular-Identity-H" w:hAnsi="Arial" w:cs="Arial"/>
          <w:sz w:val="20"/>
          <w:szCs w:val="24"/>
        </w:rPr>
        <w:t xml:space="preserve"> Potassium Indexing of summer rice grown in the shallow tube well command areas of Central </w:t>
      </w:r>
      <w:proofErr w:type="spellStart"/>
      <w:r w:rsidRPr="0001561E">
        <w:rPr>
          <w:rFonts w:ascii="Arial" w:eastAsia="MinionPro-Regular-Identity-H" w:hAnsi="Arial" w:cs="Arial"/>
          <w:sz w:val="20"/>
          <w:szCs w:val="24"/>
        </w:rPr>
        <w:t>Bramaputra</w:t>
      </w:r>
      <w:proofErr w:type="spellEnd"/>
      <w:r w:rsidRPr="0001561E">
        <w:rPr>
          <w:rFonts w:ascii="Arial" w:eastAsia="MinionPro-Regular-Identity-H" w:hAnsi="Arial" w:cs="Arial"/>
          <w:sz w:val="20"/>
          <w:szCs w:val="24"/>
        </w:rPr>
        <w:t xml:space="preserve"> Valley Zone of Assam, India. </w:t>
      </w:r>
      <w:r w:rsidRPr="0001561E">
        <w:rPr>
          <w:rFonts w:ascii="Arial" w:eastAsia="MinionPro-Regular-Identity-H" w:hAnsi="Arial" w:cs="Arial"/>
          <w:i/>
          <w:sz w:val="20"/>
          <w:szCs w:val="24"/>
        </w:rPr>
        <w:t>Agricultural Science Digest</w:t>
      </w:r>
      <w:r w:rsidRPr="0001561E">
        <w:rPr>
          <w:rFonts w:ascii="Arial" w:eastAsia="MinionPro-Regular-Identity-H" w:hAnsi="Arial" w:cs="Arial"/>
          <w:sz w:val="20"/>
          <w:szCs w:val="24"/>
        </w:rPr>
        <w:t xml:space="preserve"> </w:t>
      </w:r>
      <w:r w:rsidR="00812B95" w:rsidRPr="0001561E">
        <w:rPr>
          <w:rFonts w:ascii="Arial" w:eastAsia="MinionPro-Regular-Identity-H" w:hAnsi="Arial" w:cs="Arial"/>
          <w:sz w:val="20"/>
          <w:szCs w:val="24"/>
        </w:rPr>
        <w:t>33(4),</w:t>
      </w:r>
      <w:r w:rsidRPr="0001561E">
        <w:rPr>
          <w:rFonts w:ascii="Arial" w:eastAsia="MinionPro-Regular-Identity-H" w:hAnsi="Arial" w:cs="Arial"/>
          <w:sz w:val="20"/>
          <w:szCs w:val="24"/>
        </w:rPr>
        <w:t xml:space="preserve"> 259-263.</w:t>
      </w:r>
    </w:p>
    <w:p w14:paraId="05F8473D"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Ellis, B.G. and Knezek, B. D. (1972)</w:t>
      </w:r>
      <w:r w:rsidR="00E728F3" w:rsidRPr="0001561E">
        <w:rPr>
          <w:rFonts w:ascii="Arial" w:hAnsi="Arial" w:cs="Arial"/>
          <w:sz w:val="20"/>
          <w:szCs w:val="24"/>
        </w:rPr>
        <w:t>.</w:t>
      </w:r>
      <w:r w:rsidRPr="0001561E">
        <w:rPr>
          <w:rFonts w:ascii="Arial" w:hAnsi="Arial" w:cs="Arial"/>
          <w:sz w:val="20"/>
          <w:szCs w:val="24"/>
        </w:rPr>
        <w:t xml:space="preserve"> Adsorption Reactions of Micronutrients in Soils. In Mortvedt, J., Giordano J. and Lindsay W.L. (ed), Micronutrient in Agriculture. </w:t>
      </w:r>
      <w:r w:rsidRPr="0001561E">
        <w:rPr>
          <w:rFonts w:ascii="Arial" w:hAnsi="Arial" w:cs="Arial"/>
          <w:i/>
          <w:sz w:val="20"/>
          <w:szCs w:val="24"/>
        </w:rPr>
        <w:t>Soil Science Society of America</w:t>
      </w:r>
      <w:r w:rsidRPr="0001561E">
        <w:rPr>
          <w:rFonts w:ascii="Arial" w:hAnsi="Arial" w:cs="Arial"/>
          <w:sz w:val="20"/>
          <w:szCs w:val="24"/>
        </w:rPr>
        <w:t xml:space="preserve">. Madison, Washington, </w:t>
      </w:r>
      <w:proofErr w:type="gramStart"/>
      <w:r w:rsidRPr="0001561E">
        <w:rPr>
          <w:rFonts w:ascii="Arial" w:hAnsi="Arial" w:cs="Arial"/>
          <w:sz w:val="20"/>
          <w:szCs w:val="24"/>
        </w:rPr>
        <w:t>America,  pp.</w:t>
      </w:r>
      <w:proofErr w:type="gramEnd"/>
      <w:r w:rsidRPr="0001561E">
        <w:rPr>
          <w:rFonts w:ascii="Arial" w:hAnsi="Arial" w:cs="Arial"/>
          <w:sz w:val="20"/>
          <w:szCs w:val="24"/>
        </w:rPr>
        <w:t xml:space="preserve"> 59-78. </w:t>
      </w:r>
    </w:p>
    <w:p w14:paraId="20D1AEC7" w14:textId="77777777" w:rsidR="001F021F" w:rsidRPr="0001561E" w:rsidRDefault="001F021F" w:rsidP="00141E43">
      <w:pPr>
        <w:spacing w:after="0"/>
        <w:ind w:left="993" w:hanging="993"/>
        <w:jc w:val="both"/>
        <w:rPr>
          <w:rFonts w:ascii="Arial" w:hAnsi="Arial" w:cs="Arial"/>
          <w:sz w:val="20"/>
          <w:szCs w:val="24"/>
        </w:rPr>
      </w:pPr>
      <w:r w:rsidRPr="0001561E">
        <w:rPr>
          <w:rFonts w:ascii="Arial" w:hAnsi="Arial" w:cs="Arial"/>
          <w:color w:val="000000"/>
          <w:sz w:val="20"/>
          <w:szCs w:val="24"/>
        </w:rPr>
        <w:t>Goldberg, S., Shouse, P. J., Lesch, S. M., Grieve, M.J., Poss, C.A., Forster, H. S. and Suarez, D. L. (2002)</w:t>
      </w:r>
      <w:r w:rsidR="00E728F3" w:rsidRPr="0001561E">
        <w:rPr>
          <w:rFonts w:ascii="Arial" w:hAnsi="Arial" w:cs="Arial"/>
          <w:color w:val="000000"/>
          <w:sz w:val="20"/>
          <w:szCs w:val="24"/>
        </w:rPr>
        <w:t>.</w:t>
      </w:r>
      <w:r w:rsidRPr="0001561E">
        <w:rPr>
          <w:rFonts w:ascii="Arial" w:hAnsi="Arial" w:cs="Arial"/>
          <w:color w:val="000000"/>
          <w:sz w:val="20"/>
          <w:szCs w:val="24"/>
        </w:rPr>
        <w:t xml:space="preserve"> Soil boron extractions as indicators of boron content of field grown crops. </w:t>
      </w:r>
      <w:r w:rsidRPr="0001561E">
        <w:rPr>
          <w:rFonts w:ascii="Arial" w:hAnsi="Arial" w:cs="Arial"/>
          <w:i/>
          <w:color w:val="000000"/>
          <w:sz w:val="20"/>
          <w:szCs w:val="24"/>
        </w:rPr>
        <w:t>Soil Science</w:t>
      </w:r>
      <w:r w:rsidRPr="0001561E">
        <w:rPr>
          <w:rFonts w:ascii="Arial" w:hAnsi="Arial" w:cs="Arial"/>
          <w:color w:val="000000"/>
          <w:sz w:val="20"/>
          <w:szCs w:val="24"/>
        </w:rPr>
        <w:t xml:space="preserve"> 167(11)</w:t>
      </w:r>
      <w:r w:rsidR="00812B95" w:rsidRPr="0001561E">
        <w:rPr>
          <w:rFonts w:ascii="Arial" w:hAnsi="Arial" w:cs="Arial"/>
          <w:color w:val="000000"/>
          <w:sz w:val="20"/>
          <w:szCs w:val="24"/>
        </w:rPr>
        <w:t>,</w:t>
      </w:r>
      <w:r w:rsidRPr="0001561E">
        <w:rPr>
          <w:rFonts w:ascii="Arial" w:hAnsi="Arial" w:cs="Arial"/>
          <w:color w:val="000000"/>
          <w:sz w:val="20"/>
          <w:szCs w:val="24"/>
        </w:rPr>
        <w:t xml:space="preserve"> 720-728.</w:t>
      </w:r>
    </w:p>
    <w:p w14:paraId="272AC3F0"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Kabata</w:t>
      </w:r>
      <w:proofErr w:type="spellEnd"/>
      <w:r w:rsidRPr="0001561E">
        <w:rPr>
          <w:rFonts w:ascii="Arial" w:hAnsi="Arial" w:cs="Arial"/>
          <w:sz w:val="20"/>
          <w:szCs w:val="24"/>
        </w:rPr>
        <w:t xml:space="preserve"> </w:t>
      </w:r>
      <w:proofErr w:type="spellStart"/>
      <w:r w:rsidRPr="0001561E">
        <w:rPr>
          <w:rFonts w:ascii="Arial" w:hAnsi="Arial" w:cs="Arial"/>
          <w:sz w:val="20"/>
          <w:szCs w:val="24"/>
        </w:rPr>
        <w:t>Pendias</w:t>
      </w:r>
      <w:proofErr w:type="spellEnd"/>
      <w:r w:rsidRPr="0001561E">
        <w:rPr>
          <w:rFonts w:ascii="Arial" w:hAnsi="Arial" w:cs="Arial"/>
          <w:sz w:val="20"/>
          <w:szCs w:val="24"/>
        </w:rPr>
        <w:t xml:space="preserve">, A. and </w:t>
      </w:r>
      <w:proofErr w:type="spellStart"/>
      <w:r w:rsidRPr="0001561E">
        <w:rPr>
          <w:rFonts w:ascii="Arial" w:hAnsi="Arial" w:cs="Arial"/>
          <w:sz w:val="20"/>
          <w:szCs w:val="24"/>
        </w:rPr>
        <w:t>Pendias</w:t>
      </w:r>
      <w:proofErr w:type="spellEnd"/>
      <w:r w:rsidRPr="0001561E">
        <w:rPr>
          <w:rFonts w:ascii="Arial" w:hAnsi="Arial" w:cs="Arial"/>
          <w:sz w:val="20"/>
          <w:szCs w:val="24"/>
        </w:rPr>
        <w:t>, H. (1992)</w:t>
      </w:r>
      <w:r w:rsidR="00E728F3" w:rsidRPr="0001561E">
        <w:rPr>
          <w:rFonts w:ascii="Arial" w:hAnsi="Arial" w:cs="Arial"/>
          <w:sz w:val="20"/>
          <w:szCs w:val="24"/>
        </w:rPr>
        <w:t>.</w:t>
      </w:r>
      <w:r w:rsidRPr="0001561E">
        <w:rPr>
          <w:rFonts w:ascii="Arial" w:hAnsi="Arial" w:cs="Arial"/>
          <w:sz w:val="20"/>
          <w:szCs w:val="24"/>
        </w:rPr>
        <w:t xml:space="preserve"> Trace elements in soils and plants. 2nd. Ed., CRC Press, Boca Raton, Florida.</w:t>
      </w:r>
    </w:p>
    <w:p w14:paraId="2EAB9825"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Kameriya</w:t>
      </w:r>
      <w:proofErr w:type="spellEnd"/>
      <w:r w:rsidRPr="0001561E">
        <w:rPr>
          <w:rFonts w:ascii="Arial" w:hAnsi="Arial" w:cs="Arial"/>
          <w:sz w:val="20"/>
          <w:szCs w:val="24"/>
        </w:rPr>
        <w:t>, P. R. (1995)</w:t>
      </w:r>
      <w:r w:rsidR="00E728F3" w:rsidRPr="0001561E">
        <w:rPr>
          <w:rFonts w:ascii="Arial" w:hAnsi="Arial" w:cs="Arial"/>
          <w:sz w:val="20"/>
          <w:szCs w:val="24"/>
        </w:rPr>
        <w:t>.</w:t>
      </w:r>
      <w:r w:rsidRPr="0001561E">
        <w:rPr>
          <w:rFonts w:ascii="Arial" w:hAnsi="Arial" w:cs="Arial"/>
          <w:sz w:val="20"/>
          <w:szCs w:val="24"/>
        </w:rPr>
        <w:t xml:space="preserve"> Characterization of soils of agro climatic zone of transitional plain of inland drainage (Zone II-A) of Rajasthan, </w:t>
      </w:r>
      <w:r w:rsidRPr="0001561E">
        <w:rPr>
          <w:rFonts w:ascii="Arial" w:hAnsi="Arial" w:cs="Arial"/>
          <w:i/>
          <w:iCs/>
          <w:sz w:val="20"/>
          <w:szCs w:val="24"/>
        </w:rPr>
        <w:t>Ph.D. Thesis</w:t>
      </w:r>
      <w:r w:rsidRPr="0001561E">
        <w:rPr>
          <w:rFonts w:ascii="Arial" w:hAnsi="Arial" w:cs="Arial"/>
          <w:sz w:val="20"/>
          <w:szCs w:val="24"/>
        </w:rPr>
        <w:t>, R.A.U., Bikaner.</w:t>
      </w:r>
    </w:p>
    <w:p w14:paraId="07F881A3" w14:textId="77777777" w:rsidR="001F021F" w:rsidRPr="0001561E" w:rsidRDefault="001F021F" w:rsidP="00141E43">
      <w:pPr>
        <w:spacing w:after="0"/>
        <w:ind w:left="993" w:hanging="993"/>
        <w:jc w:val="both"/>
        <w:rPr>
          <w:rFonts w:ascii="Arial" w:hAnsi="Arial" w:cs="Arial"/>
          <w:color w:val="000000"/>
          <w:sz w:val="20"/>
          <w:szCs w:val="24"/>
        </w:rPr>
      </w:pPr>
      <w:r w:rsidRPr="0001561E">
        <w:rPr>
          <w:rFonts w:ascii="Arial" w:hAnsi="Arial" w:cs="Arial"/>
          <w:color w:val="000000"/>
          <w:sz w:val="20"/>
          <w:szCs w:val="24"/>
        </w:rPr>
        <w:t>Khalifa, E. M., El-</w:t>
      </w:r>
      <w:proofErr w:type="spellStart"/>
      <w:r w:rsidRPr="0001561E">
        <w:rPr>
          <w:rFonts w:ascii="Arial" w:hAnsi="Arial" w:cs="Arial"/>
          <w:color w:val="000000"/>
          <w:sz w:val="20"/>
          <w:szCs w:val="24"/>
        </w:rPr>
        <w:t>Desoky</w:t>
      </w:r>
      <w:proofErr w:type="spellEnd"/>
      <w:r w:rsidRPr="0001561E">
        <w:rPr>
          <w:rFonts w:ascii="Arial" w:hAnsi="Arial" w:cs="Arial"/>
          <w:color w:val="000000"/>
          <w:sz w:val="20"/>
          <w:szCs w:val="24"/>
        </w:rPr>
        <w:t xml:space="preserve">, M. A., </w:t>
      </w:r>
      <w:proofErr w:type="spellStart"/>
      <w:r w:rsidRPr="0001561E">
        <w:rPr>
          <w:rFonts w:ascii="Arial" w:hAnsi="Arial" w:cs="Arial"/>
          <w:color w:val="000000"/>
          <w:sz w:val="20"/>
          <w:szCs w:val="24"/>
        </w:rPr>
        <w:t>Gameh</w:t>
      </w:r>
      <w:proofErr w:type="spellEnd"/>
      <w:r w:rsidRPr="0001561E">
        <w:rPr>
          <w:rFonts w:ascii="Arial" w:hAnsi="Arial" w:cs="Arial"/>
          <w:color w:val="000000"/>
          <w:sz w:val="20"/>
          <w:szCs w:val="24"/>
        </w:rPr>
        <w:t xml:space="preserve"> M. A. and </w:t>
      </w:r>
      <w:proofErr w:type="spellStart"/>
      <w:r w:rsidRPr="0001561E">
        <w:rPr>
          <w:rFonts w:ascii="Arial" w:hAnsi="Arial" w:cs="Arial"/>
          <w:color w:val="000000"/>
          <w:sz w:val="20"/>
          <w:szCs w:val="24"/>
        </w:rPr>
        <w:t>Faragallah</w:t>
      </w:r>
      <w:proofErr w:type="spellEnd"/>
      <w:r w:rsidRPr="0001561E">
        <w:rPr>
          <w:rFonts w:ascii="Arial" w:hAnsi="Arial" w:cs="Arial"/>
          <w:color w:val="000000"/>
          <w:sz w:val="20"/>
          <w:szCs w:val="24"/>
        </w:rPr>
        <w:t>. M. E. (1996)</w:t>
      </w:r>
      <w:r w:rsidR="00E728F3" w:rsidRPr="0001561E">
        <w:rPr>
          <w:rFonts w:ascii="Arial" w:hAnsi="Arial" w:cs="Arial"/>
          <w:color w:val="000000"/>
          <w:sz w:val="20"/>
          <w:szCs w:val="24"/>
        </w:rPr>
        <w:t>.</w:t>
      </w:r>
      <w:r w:rsidRPr="0001561E">
        <w:rPr>
          <w:rFonts w:ascii="Arial" w:hAnsi="Arial" w:cs="Arial"/>
          <w:color w:val="000000"/>
          <w:sz w:val="20"/>
          <w:szCs w:val="24"/>
        </w:rPr>
        <w:t xml:space="preserve"> Status of some micronutrients and their relations to mineral composition of the Nile valley desert interference zone soils, East of Assiut city. </w:t>
      </w:r>
      <w:r w:rsidRPr="0001561E">
        <w:rPr>
          <w:rFonts w:ascii="Arial" w:hAnsi="Arial" w:cs="Arial"/>
          <w:i/>
          <w:color w:val="000000"/>
          <w:sz w:val="20"/>
          <w:szCs w:val="24"/>
        </w:rPr>
        <w:t>Assiut Journal of Agricultural Sciences</w:t>
      </w:r>
      <w:r w:rsidRPr="0001561E">
        <w:rPr>
          <w:rFonts w:ascii="Arial" w:hAnsi="Arial" w:cs="Arial"/>
          <w:color w:val="000000"/>
          <w:sz w:val="20"/>
          <w:szCs w:val="24"/>
        </w:rPr>
        <w:t xml:space="preserve"> 27(3)</w:t>
      </w:r>
      <w:r w:rsidR="00812B95" w:rsidRPr="0001561E">
        <w:rPr>
          <w:rFonts w:ascii="Arial" w:hAnsi="Arial" w:cs="Arial"/>
          <w:color w:val="000000"/>
          <w:sz w:val="20"/>
          <w:szCs w:val="24"/>
        </w:rPr>
        <w:t>,</w:t>
      </w:r>
      <w:r w:rsidRPr="0001561E">
        <w:rPr>
          <w:rFonts w:ascii="Arial" w:hAnsi="Arial" w:cs="Arial"/>
          <w:color w:val="000000"/>
          <w:sz w:val="20"/>
          <w:szCs w:val="24"/>
        </w:rPr>
        <w:t xml:space="preserve"> 107-127.</w:t>
      </w:r>
    </w:p>
    <w:p w14:paraId="6391F48C"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Lindsay, N.L. and Norvell, W.A. (1978)</w:t>
      </w:r>
      <w:r w:rsidR="00E728F3" w:rsidRPr="0001561E">
        <w:rPr>
          <w:rFonts w:ascii="Arial" w:hAnsi="Arial" w:cs="Arial"/>
          <w:sz w:val="20"/>
          <w:szCs w:val="24"/>
        </w:rPr>
        <w:t>.</w:t>
      </w:r>
      <w:r w:rsidRPr="0001561E">
        <w:rPr>
          <w:rFonts w:ascii="Arial" w:hAnsi="Arial" w:cs="Arial"/>
          <w:sz w:val="20"/>
          <w:szCs w:val="24"/>
        </w:rPr>
        <w:t xml:space="preserve"> Development of DTPA soil test for zinc, iron, manganese and copper. </w:t>
      </w:r>
      <w:r w:rsidRPr="0001561E">
        <w:rPr>
          <w:rFonts w:ascii="Arial" w:hAnsi="Arial" w:cs="Arial"/>
          <w:i/>
          <w:iCs/>
          <w:sz w:val="20"/>
          <w:szCs w:val="24"/>
        </w:rPr>
        <w:t xml:space="preserve">Soil Science Society of America </w:t>
      </w:r>
      <w:r w:rsidRPr="0001561E">
        <w:rPr>
          <w:rFonts w:ascii="Arial" w:hAnsi="Arial" w:cs="Arial"/>
          <w:bCs/>
          <w:sz w:val="20"/>
          <w:szCs w:val="24"/>
        </w:rPr>
        <w:t xml:space="preserve">42, </w:t>
      </w:r>
      <w:r w:rsidRPr="0001561E">
        <w:rPr>
          <w:rFonts w:ascii="Arial" w:hAnsi="Arial" w:cs="Arial"/>
          <w:sz w:val="20"/>
          <w:szCs w:val="24"/>
        </w:rPr>
        <w:t>421-428.</w:t>
      </w:r>
    </w:p>
    <w:p w14:paraId="715F90BF" w14:textId="77777777" w:rsidR="001F021F" w:rsidRPr="0001561E" w:rsidRDefault="001F021F" w:rsidP="00141E43">
      <w:pPr>
        <w:spacing w:after="0"/>
        <w:ind w:left="993" w:hanging="993"/>
        <w:jc w:val="both"/>
        <w:rPr>
          <w:rFonts w:ascii="Arial" w:hAnsi="Arial" w:cs="Arial"/>
          <w:i/>
          <w:sz w:val="20"/>
        </w:rPr>
      </w:pPr>
      <w:proofErr w:type="spellStart"/>
      <w:r w:rsidRPr="0001561E">
        <w:rPr>
          <w:rFonts w:ascii="Arial" w:hAnsi="Arial" w:cs="Arial"/>
          <w:sz w:val="20"/>
        </w:rPr>
        <w:t>Makbul</w:t>
      </w:r>
      <w:proofErr w:type="spellEnd"/>
      <w:r w:rsidRPr="0001561E">
        <w:rPr>
          <w:rFonts w:ascii="Arial" w:hAnsi="Arial" w:cs="Arial"/>
          <w:sz w:val="20"/>
        </w:rPr>
        <w:t xml:space="preserve"> Hussain Khan (2012)</w:t>
      </w:r>
      <w:r w:rsidR="00E728F3" w:rsidRPr="0001561E">
        <w:rPr>
          <w:rFonts w:ascii="Arial" w:hAnsi="Arial" w:cs="Arial"/>
          <w:sz w:val="20"/>
        </w:rPr>
        <w:t>.</w:t>
      </w:r>
      <w:r w:rsidRPr="0001561E">
        <w:rPr>
          <w:rFonts w:ascii="Arial" w:hAnsi="Arial" w:cs="Arial"/>
          <w:sz w:val="20"/>
        </w:rPr>
        <w:t xml:space="preserve"> River Erosion and Its Socio-Economic Impact in </w:t>
      </w:r>
      <w:proofErr w:type="spellStart"/>
      <w:r w:rsidRPr="0001561E">
        <w:rPr>
          <w:rFonts w:ascii="Arial" w:hAnsi="Arial" w:cs="Arial"/>
          <w:sz w:val="20"/>
        </w:rPr>
        <w:t>Barpeta</w:t>
      </w:r>
      <w:proofErr w:type="spellEnd"/>
      <w:r w:rsidRPr="0001561E">
        <w:rPr>
          <w:rFonts w:ascii="Arial" w:hAnsi="Arial" w:cs="Arial"/>
          <w:sz w:val="20"/>
        </w:rPr>
        <w:t xml:space="preserve"> District with Special Reference to Mandia Development Block of Assam. </w:t>
      </w:r>
      <w:r w:rsidRPr="0001561E">
        <w:rPr>
          <w:rFonts w:ascii="Arial" w:hAnsi="Arial" w:cs="Arial"/>
          <w:i/>
          <w:sz w:val="20"/>
        </w:rPr>
        <w:t xml:space="preserve">The International Journal of Engineering and Science </w:t>
      </w:r>
      <w:r w:rsidRPr="0001561E">
        <w:rPr>
          <w:rFonts w:ascii="Arial" w:hAnsi="Arial" w:cs="Arial"/>
          <w:sz w:val="20"/>
        </w:rPr>
        <w:t>1(2)</w:t>
      </w:r>
      <w:r w:rsidR="00812B95" w:rsidRPr="0001561E">
        <w:rPr>
          <w:rFonts w:ascii="Arial" w:hAnsi="Arial" w:cs="Arial"/>
          <w:sz w:val="20"/>
        </w:rPr>
        <w:t>,</w:t>
      </w:r>
      <w:r w:rsidRPr="0001561E">
        <w:rPr>
          <w:rFonts w:ascii="Arial" w:hAnsi="Arial" w:cs="Arial"/>
          <w:i/>
          <w:sz w:val="20"/>
        </w:rPr>
        <w:t xml:space="preserve"> 177-183. </w:t>
      </w:r>
    </w:p>
    <w:p w14:paraId="7A40F32F" w14:textId="77777777" w:rsidR="001F021F" w:rsidRPr="0001561E" w:rsidRDefault="001F021F" w:rsidP="00141E43">
      <w:pPr>
        <w:spacing w:after="0"/>
        <w:ind w:left="993" w:hanging="993"/>
        <w:jc w:val="both"/>
        <w:rPr>
          <w:rFonts w:ascii="Arial" w:hAnsi="Arial" w:cs="Arial"/>
          <w:sz w:val="24"/>
        </w:rPr>
      </w:pPr>
      <w:r w:rsidRPr="0001561E">
        <w:rPr>
          <w:rFonts w:ascii="Arial" w:hAnsi="Arial" w:cs="Arial"/>
          <w:sz w:val="20"/>
          <w:szCs w:val="20"/>
        </w:rPr>
        <w:lastRenderedPageBreak/>
        <w:t>Mandal, A.K. and Sharma, R.C. (2009)</w:t>
      </w:r>
      <w:r w:rsidR="00E728F3" w:rsidRPr="0001561E">
        <w:rPr>
          <w:rFonts w:ascii="Arial" w:hAnsi="Arial" w:cs="Arial"/>
          <w:sz w:val="20"/>
          <w:szCs w:val="20"/>
        </w:rPr>
        <w:t>.</w:t>
      </w:r>
      <w:r w:rsidRPr="0001561E">
        <w:rPr>
          <w:rFonts w:ascii="Arial" w:hAnsi="Arial" w:cs="Arial"/>
          <w:sz w:val="20"/>
          <w:szCs w:val="20"/>
        </w:rPr>
        <w:t xml:space="preserve"> Computerized database of salt affected soils for Peninsular India using GIS. </w:t>
      </w:r>
      <w:proofErr w:type="spellStart"/>
      <w:r w:rsidRPr="0001561E">
        <w:rPr>
          <w:rFonts w:ascii="Arial" w:hAnsi="Arial" w:cs="Arial"/>
          <w:i/>
          <w:iCs/>
          <w:sz w:val="20"/>
          <w:szCs w:val="20"/>
        </w:rPr>
        <w:t>Geocarto</w:t>
      </w:r>
      <w:proofErr w:type="spellEnd"/>
      <w:r w:rsidRPr="0001561E">
        <w:rPr>
          <w:rFonts w:ascii="Arial" w:hAnsi="Arial" w:cs="Arial"/>
          <w:i/>
          <w:iCs/>
          <w:sz w:val="20"/>
          <w:szCs w:val="20"/>
        </w:rPr>
        <w:t xml:space="preserve"> International </w:t>
      </w:r>
      <w:r w:rsidRPr="0001561E">
        <w:rPr>
          <w:rFonts w:ascii="Arial" w:hAnsi="Arial" w:cs="Arial"/>
          <w:sz w:val="20"/>
          <w:szCs w:val="20"/>
        </w:rPr>
        <w:t>24(1)</w:t>
      </w:r>
      <w:r w:rsidR="00812B95" w:rsidRPr="0001561E">
        <w:rPr>
          <w:rFonts w:ascii="Arial" w:hAnsi="Arial" w:cs="Arial"/>
          <w:sz w:val="20"/>
          <w:szCs w:val="20"/>
        </w:rPr>
        <w:t>,</w:t>
      </w:r>
      <w:r w:rsidRPr="0001561E">
        <w:rPr>
          <w:rFonts w:ascii="Arial" w:hAnsi="Arial" w:cs="Arial"/>
          <w:sz w:val="20"/>
          <w:szCs w:val="20"/>
        </w:rPr>
        <w:t xml:space="preserve"> 64-85.</w:t>
      </w:r>
    </w:p>
    <w:p w14:paraId="28BE3F65" w14:textId="77777777" w:rsidR="001F021F" w:rsidRPr="0001561E" w:rsidRDefault="001F021F" w:rsidP="00141E43">
      <w:pPr>
        <w:spacing w:after="0"/>
        <w:ind w:left="993" w:hanging="993"/>
        <w:jc w:val="both"/>
        <w:rPr>
          <w:rFonts w:ascii="Arial" w:hAnsi="Arial" w:cs="Arial"/>
          <w:sz w:val="20"/>
        </w:rPr>
      </w:pPr>
      <w:proofErr w:type="spellStart"/>
      <w:r w:rsidRPr="0001561E">
        <w:rPr>
          <w:rFonts w:ascii="Arial" w:hAnsi="Arial" w:cs="Arial"/>
          <w:sz w:val="20"/>
        </w:rPr>
        <w:t>Millaleo</w:t>
      </w:r>
      <w:proofErr w:type="spellEnd"/>
      <w:r w:rsidRPr="0001561E">
        <w:rPr>
          <w:rFonts w:ascii="Arial" w:hAnsi="Arial" w:cs="Arial"/>
          <w:sz w:val="20"/>
        </w:rPr>
        <w:t xml:space="preserve">, R., Reyes-Díaz, </w:t>
      </w:r>
      <w:proofErr w:type="spellStart"/>
      <w:proofErr w:type="gramStart"/>
      <w:r w:rsidRPr="0001561E">
        <w:rPr>
          <w:rFonts w:ascii="Arial" w:hAnsi="Arial" w:cs="Arial"/>
          <w:sz w:val="20"/>
        </w:rPr>
        <w:t>M.,Ivanov</w:t>
      </w:r>
      <w:proofErr w:type="spellEnd"/>
      <w:proofErr w:type="gramEnd"/>
      <w:r w:rsidRPr="0001561E">
        <w:rPr>
          <w:rFonts w:ascii="Arial" w:hAnsi="Arial" w:cs="Arial"/>
          <w:sz w:val="20"/>
        </w:rPr>
        <w:t>, A.G., Mora, M.L., Alberdi, M. (2010)</w:t>
      </w:r>
      <w:r w:rsidR="00E728F3" w:rsidRPr="0001561E">
        <w:rPr>
          <w:rFonts w:ascii="Arial" w:hAnsi="Arial" w:cs="Arial"/>
          <w:sz w:val="20"/>
        </w:rPr>
        <w:t>.</w:t>
      </w:r>
      <w:r w:rsidRPr="0001561E">
        <w:rPr>
          <w:rFonts w:ascii="Arial" w:hAnsi="Arial" w:cs="Arial"/>
          <w:sz w:val="20"/>
        </w:rPr>
        <w:t xml:space="preserve"> Manganese as essential and toxic element for plants: transport, accumulation and resistance mechanisms. </w:t>
      </w:r>
      <w:r w:rsidRPr="0001561E">
        <w:rPr>
          <w:rFonts w:ascii="Arial" w:hAnsi="Arial" w:cs="Arial"/>
          <w:i/>
          <w:sz w:val="20"/>
        </w:rPr>
        <w:t>Journal of Soil Science and Plant Nutrition</w:t>
      </w:r>
      <w:r w:rsidRPr="0001561E">
        <w:rPr>
          <w:rFonts w:ascii="Arial" w:hAnsi="Arial" w:cs="Arial"/>
          <w:sz w:val="20"/>
        </w:rPr>
        <w:t xml:space="preserve"> 10(4)</w:t>
      </w:r>
      <w:r w:rsidR="00812B95" w:rsidRPr="0001561E">
        <w:rPr>
          <w:rFonts w:ascii="Arial" w:hAnsi="Arial" w:cs="Arial"/>
          <w:sz w:val="20"/>
        </w:rPr>
        <w:t>,</w:t>
      </w:r>
      <w:r w:rsidRPr="0001561E">
        <w:rPr>
          <w:rFonts w:ascii="Arial" w:hAnsi="Arial" w:cs="Arial"/>
          <w:sz w:val="20"/>
        </w:rPr>
        <w:t xml:space="preserve"> 470-481</w:t>
      </w:r>
    </w:p>
    <w:p w14:paraId="2592E022" w14:textId="77777777" w:rsidR="001F021F" w:rsidRPr="0001561E" w:rsidRDefault="001F021F" w:rsidP="00141E43">
      <w:pPr>
        <w:spacing w:after="0"/>
        <w:ind w:left="993" w:hanging="993"/>
        <w:jc w:val="both"/>
        <w:rPr>
          <w:rFonts w:ascii="Arial" w:hAnsi="Arial" w:cs="Arial"/>
          <w:i/>
          <w:color w:val="FF0000"/>
          <w:sz w:val="32"/>
          <w:szCs w:val="24"/>
        </w:rPr>
      </w:pPr>
      <w:r w:rsidRPr="0001561E">
        <w:rPr>
          <w:rFonts w:ascii="Arial" w:hAnsi="Arial" w:cs="Arial"/>
          <w:sz w:val="20"/>
          <w:szCs w:val="20"/>
        </w:rPr>
        <w:t>Mishra, A., Das, D. and Saren, S. (2013)</w:t>
      </w:r>
      <w:r w:rsidR="00E728F3" w:rsidRPr="0001561E">
        <w:rPr>
          <w:rFonts w:ascii="Arial" w:hAnsi="Arial" w:cs="Arial"/>
          <w:sz w:val="20"/>
          <w:szCs w:val="20"/>
        </w:rPr>
        <w:t>.</w:t>
      </w:r>
      <w:r w:rsidRPr="0001561E">
        <w:rPr>
          <w:rFonts w:ascii="Arial" w:hAnsi="Arial" w:cs="Arial"/>
          <w:sz w:val="20"/>
          <w:szCs w:val="20"/>
        </w:rPr>
        <w:t xml:space="preserve"> Preparation of GPS and GIS based soil fertility maps for </w:t>
      </w:r>
      <w:proofErr w:type="spellStart"/>
      <w:r w:rsidRPr="0001561E">
        <w:rPr>
          <w:rFonts w:ascii="Arial" w:hAnsi="Arial" w:cs="Arial"/>
          <w:sz w:val="20"/>
          <w:szCs w:val="20"/>
        </w:rPr>
        <w:t>Khurda</w:t>
      </w:r>
      <w:proofErr w:type="spellEnd"/>
      <w:r w:rsidRPr="0001561E">
        <w:rPr>
          <w:rFonts w:ascii="Arial" w:hAnsi="Arial" w:cs="Arial"/>
          <w:sz w:val="20"/>
          <w:szCs w:val="20"/>
        </w:rPr>
        <w:t xml:space="preserve"> district, Odisha. </w:t>
      </w:r>
      <w:r w:rsidRPr="0001561E">
        <w:rPr>
          <w:rFonts w:ascii="Arial" w:hAnsi="Arial" w:cs="Arial"/>
          <w:i/>
          <w:iCs/>
          <w:sz w:val="20"/>
          <w:szCs w:val="20"/>
        </w:rPr>
        <w:t xml:space="preserve">Indian Agriculturist </w:t>
      </w:r>
      <w:r w:rsidRPr="0001561E">
        <w:rPr>
          <w:rFonts w:ascii="Arial" w:hAnsi="Arial" w:cs="Arial"/>
          <w:sz w:val="20"/>
          <w:szCs w:val="20"/>
        </w:rPr>
        <w:t>57(1)</w:t>
      </w:r>
      <w:r w:rsidR="00812B95" w:rsidRPr="0001561E">
        <w:rPr>
          <w:rFonts w:ascii="Arial" w:hAnsi="Arial" w:cs="Arial"/>
          <w:sz w:val="20"/>
          <w:szCs w:val="20"/>
        </w:rPr>
        <w:t>,</w:t>
      </w:r>
      <w:r w:rsidRPr="0001561E">
        <w:rPr>
          <w:rFonts w:ascii="Arial" w:hAnsi="Arial" w:cs="Arial"/>
          <w:sz w:val="20"/>
          <w:szCs w:val="20"/>
        </w:rPr>
        <w:t xml:space="preserve"> 11-20.</w:t>
      </w:r>
    </w:p>
    <w:p w14:paraId="0EAD350C" w14:textId="77777777" w:rsidR="001F021F" w:rsidRPr="0001561E" w:rsidRDefault="001F021F" w:rsidP="00141E43">
      <w:pPr>
        <w:spacing w:after="0"/>
        <w:ind w:left="993" w:hanging="993"/>
        <w:jc w:val="both"/>
        <w:rPr>
          <w:rFonts w:ascii="Arial" w:hAnsi="Arial" w:cs="Arial"/>
          <w:sz w:val="20"/>
          <w:szCs w:val="24"/>
        </w:rPr>
      </w:pPr>
      <w:r w:rsidRPr="0001561E">
        <w:rPr>
          <w:rFonts w:ascii="Arial" w:hAnsi="Arial" w:cs="Arial"/>
          <w:sz w:val="20"/>
          <w:szCs w:val="24"/>
        </w:rPr>
        <w:t xml:space="preserve">Palm, C., Sanchez, P. Ahamed, S. and Awiti, A. (2007). Soils: a contemporary perspective, </w:t>
      </w:r>
      <w:r w:rsidRPr="0001561E">
        <w:rPr>
          <w:rFonts w:ascii="Arial" w:hAnsi="Arial" w:cs="Arial"/>
          <w:i/>
          <w:sz w:val="20"/>
          <w:szCs w:val="24"/>
        </w:rPr>
        <w:t>Annual Review of Environment and Resources</w:t>
      </w:r>
      <w:r w:rsidRPr="0001561E">
        <w:rPr>
          <w:rFonts w:ascii="Arial" w:hAnsi="Arial" w:cs="Arial"/>
          <w:sz w:val="20"/>
          <w:szCs w:val="24"/>
        </w:rPr>
        <w:t xml:space="preserve"> </w:t>
      </w:r>
      <w:proofErr w:type="gramStart"/>
      <w:r w:rsidRPr="0001561E">
        <w:rPr>
          <w:rFonts w:ascii="Arial" w:hAnsi="Arial" w:cs="Arial"/>
          <w:sz w:val="20"/>
          <w:szCs w:val="24"/>
        </w:rPr>
        <w:t>32</w:t>
      </w:r>
      <w:r w:rsidR="00812B95" w:rsidRPr="0001561E">
        <w:rPr>
          <w:rFonts w:ascii="Arial" w:hAnsi="Arial" w:cs="Arial"/>
          <w:sz w:val="20"/>
          <w:szCs w:val="24"/>
        </w:rPr>
        <w:t xml:space="preserve">, </w:t>
      </w:r>
      <w:r w:rsidRPr="0001561E">
        <w:rPr>
          <w:rFonts w:ascii="Arial" w:hAnsi="Arial" w:cs="Arial"/>
          <w:sz w:val="20"/>
          <w:szCs w:val="24"/>
        </w:rPr>
        <w:t xml:space="preserve"> 99</w:t>
      </w:r>
      <w:proofErr w:type="gramEnd"/>
      <w:r w:rsidRPr="0001561E">
        <w:rPr>
          <w:rFonts w:ascii="Arial" w:hAnsi="Arial" w:cs="Arial"/>
          <w:sz w:val="20"/>
          <w:szCs w:val="24"/>
        </w:rPr>
        <w:t>–129.</w:t>
      </w:r>
    </w:p>
    <w:p w14:paraId="25D8C5C8" w14:textId="77777777" w:rsidR="001F021F" w:rsidRPr="0001561E" w:rsidRDefault="001F021F" w:rsidP="00141E43">
      <w:pPr>
        <w:autoSpaceDE w:val="0"/>
        <w:autoSpaceDN w:val="0"/>
        <w:adjustRightInd w:val="0"/>
        <w:spacing w:after="0"/>
        <w:ind w:left="993" w:hanging="993"/>
        <w:jc w:val="both"/>
        <w:rPr>
          <w:rFonts w:ascii="Arial" w:hAnsi="Arial" w:cs="Arial"/>
          <w:bCs/>
          <w:sz w:val="20"/>
          <w:szCs w:val="24"/>
        </w:rPr>
      </w:pPr>
      <w:r w:rsidRPr="0001561E">
        <w:rPr>
          <w:rFonts w:ascii="Arial" w:hAnsi="Arial" w:cs="Arial"/>
          <w:bCs/>
          <w:sz w:val="20"/>
          <w:szCs w:val="24"/>
        </w:rPr>
        <w:t xml:space="preserve">Prasenjit Ray, S. N. Gogoi, S. Bandyopadhyay, S. Padua, R. K. Jena, P. Deb Roy, S. Ramachandran, G. K. Sharma, K. D. Sah, K. </w:t>
      </w:r>
      <w:proofErr w:type="spellStart"/>
      <w:r w:rsidRPr="0001561E">
        <w:rPr>
          <w:rFonts w:ascii="Arial" w:hAnsi="Arial" w:cs="Arial"/>
          <w:bCs/>
          <w:sz w:val="20"/>
          <w:szCs w:val="24"/>
        </w:rPr>
        <w:t>Trivedy</w:t>
      </w:r>
      <w:proofErr w:type="spellEnd"/>
      <w:r w:rsidRPr="0001561E">
        <w:rPr>
          <w:rFonts w:ascii="Arial" w:hAnsi="Arial" w:cs="Arial"/>
          <w:bCs/>
          <w:sz w:val="20"/>
          <w:szCs w:val="24"/>
        </w:rPr>
        <w:t>, S. K. Singh and S. K. Ray. (2018)</w:t>
      </w:r>
      <w:r w:rsidR="00E728F3" w:rsidRPr="0001561E">
        <w:rPr>
          <w:rFonts w:ascii="Arial" w:hAnsi="Arial" w:cs="Arial"/>
          <w:bCs/>
          <w:sz w:val="20"/>
          <w:szCs w:val="24"/>
        </w:rPr>
        <w:t>.</w:t>
      </w:r>
      <w:r w:rsidRPr="0001561E">
        <w:rPr>
          <w:rFonts w:ascii="Arial" w:hAnsi="Arial" w:cs="Arial"/>
          <w:bCs/>
          <w:sz w:val="20"/>
          <w:szCs w:val="24"/>
        </w:rPr>
        <w:t xml:space="preserve"> Fertility status of mulberry (</w:t>
      </w:r>
      <w:r w:rsidRPr="0001561E">
        <w:rPr>
          <w:rFonts w:ascii="Arial" w:hAnsi="Arial" w:cs="Arial"/>
          <w:bCs/>
          <w:i/>
          <w:iCs/>
          <w:sz w:val="20"/>
          <w:szCs w:val="24"/>
        </w:rPr>
        <w:t xml:space="preserve">Morus indica </w:t>
      </w:r>
      <w:r w:rsidRPr="0001561E">
        <w:rPr>
          <w:rFonts w:ascii="Arial" w:hAnsi="Arial" w:cs="Arial"/>
          <w:bCs/>
          <w:sz w:val="20"/>
          <w:szCs w:val="24"/>
        </w:rPr>
        <w:t xml:space="preserve">L.) growing soils of upper Brahmaputra valley region of north eastern India. </w:t>
      </w:r>
      <w:r w:rsidR="00812B95" w:rsidRPr="0001561E">
        <w:rPr>
          <w:rFonts w:ascii="Arial" w:hAnsi="Arial" w:cs="Arial"/>
          <w:bCs/>
          <w:i/>
          <w:sz w:val="20"/>
          <w:szCs w:val="24"/>
        </w:rPr>
        <w:t>Range Mgmt. &amp; Agroforestry</w:t>
      </w:r>
      <w:r w:rsidRPr="0001561E">
        <w:rPr>
          <w:rFonts w:ascii="Arial" w:hAnsi="Arial" w:cs="Arial"/>
          <w:bCs/>
          <w:sz w:val="20"/>
          <w:szCs w:val="24"/>
        </w:rPr>
        <w:t xml:space="preserve"> 39 (2)</w:t>
      </w:r>
      <w:r w:rsidR="00812B95" w:rsidRPr="0001561E">
        <w:rPr>
          <w:rFonts w:ascii="Arial" w:hAnsi="Arial" w:cs="Arial"/>
          <w:bCs/>
          <w:sz w:val="20"/>
          <w:szCs w:val="24"/>
        </w:rPr>
        <w:t>,</w:t>
      </w:r>
      <w:r w:rsidRPr="0001561E">
        <w:rPr>
          <w:rFonts w:ascii="Arial" w:hAnsi="Arial" w:cs="Arial"/>
          <w:bCs/>
          <w:sz w:val="20"/>
          <w:szCs w:val="24"/>
        </w:rPr>
        <w:t xml:space="preserve"> 147-155.</w:t>
      </w:r>
    </w:p>
    <w:p w14:paraId="08285AE2"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Ramamoorthy, B. and Bajaj, J.C. (1969)</w:t>
      </w:r>
      <w:r w:rsidR="00E728F3" w:rsidRPr="0001561E">
        <w:rPr>
          <w:rFonts w:ascii="Arial" w:hAnsi="Arial" w:cs="Arial"/>
          <w:sz w:val="20"/>
          <w:szCs w:val="24"/>
        </w:rPr>
        <w:t>.</w:t>
      </w:r>
      <w:r w:rsidRPr="0001561E">
        <w:rPr>
          <w:rFonts w:ascii="Arial" w:hAnsi="Arial" w:cs="Arial"/>
          <w:sz w:val="20"/>
          <w:szCs w:val="24"/>
        </w:rPr>
        <w:t xml:space="preserve"> Available N, P and K status of Indian soils. </w:t>
      </w:r>
      <w:proofErr w:type="spellStart"/>
      <w:r w:rsidRPr="0001561E">
        <w:rPr>
          <w:rFonts w:ascii="Arial" w:hAnsi="Arial" w:cs="Arial"/>
          <w:i/>
          <w:iCs/>
          <w:sz w:val="20"/>
          <w:szCs w:val="24"/>
        </w:rPr>
        <w:t>Fertiliser</w:t>
      </w:r>
      <w:proofErr w:type="spellEnd"/>
      <w:r w:rsidRPr="0001561E">
        <w:rPr>
          <w:rFonts w:ascii="Arial" w:hAnsi="Arial" w:cs="Arial"/>
          <w:i/>
          <w:iCs/>
          <w:sz w:val="20"/>
          <w:szCs w:val="24"/>
        </w:rPr>
        <w:t xml:space="preserve"> News </w:t>
      </w:r>
      <w:r w:rsidR="00812B95" w:rsidRPr="0001561E">
        <w:rPr>
          <w:rFonts w:ascii="Arial" w:hAnsi="Arial" w:cs="Arial"/>
          <w:bCs/>
          <w:sz w:val="20"/>
          <w:szCs w:val="24"/>
        </w:rPr>
        <w:t>14,</w:t>
      </w:r>
      <w:r w:rsidRPr="0001561E">
        <w:rPr>
          <w:rFonts w:ascii="Arial" w:hAnsi="Arial" w:cs="Arial"/>
          <w:bCs/>
          <w:sz w:val="20"/>
          <w:szCs w:val="24"/>
        </w:rPr>
        <w:t xml:space="preserve"> </w:t>
      </w:r>
      <w:r w:rsidRPr="0001561E">
        <w:rPr>
          <w:rFonts w:ascii="Arial" w:hAnsi="Arial" w:cs="Arial"/>
          <w:sz w:val="20"/>
          <w:szCs w:val="24"/>
        </w:rPr>
        <w:t>24-26.</w:t>
      </w:r>
    </w:p>
    <w:p w14:paraId="0F333FAF" w14:textId="77777777" w:rsidR="001F021F" w:rsidRPr="0001561E" w:rsidRDefault="001F021F" w:rsidP="00141E43">
      <w:pPr>
        <w:shd w:val="clear" w:color="auto" w:fill="FFFFFF"/>
        <w:spacing w:after="0"/>
        <w:ind w:left="993" w:hanging="993"/>
        <w:jc w:val="both"/>
        <w:rPr>
          <w:rFonts w:ascii="Arial" w:eastAsia="Times New Roman" w:hAnsi="Arial" w:cs="Arial"/>
          <w:sz w:val="20"/>
          <w:szCs w:val="24"/>
        </w:rPr>
      </w:pPr>
      <w:r w:rsidRPr="0001561E">
        <w:rPr>
          <w:rFonts w:ascii="Arial" w:eastAsia="Times New Roman" w:hAnsi="Arial" w:cs="Arial"/>
          <w:sz w:val="20"/>
          <w:szCs w:val="24"/>
        </w:rPr>
        <w:t>Ray, S.K. and Banik, G.C. (2016)</w:t>
      </w:r>
      <w:r w:rsidR="00E728F3" w:rsidRPr="0001561E">
        <w:rPr>
          <w:rFonts w:ascii="Arial" w:eastAsia="Times New Roman" w:hAnsi="Arial" w:cs="Arial"/>
          <w:sz w:val="20"/>
          <w:szCs w:val="24"/>
        </w:rPr>
        <w:t>.</w:t>
      </w:r>
      <w:r w:rsidRPr="0001561E">
        <w:rPr>
          <w:rFonts w:ascii="Arial" w:eastAsia="Times New Roman" w:hAnsi="Arial" w:cs="Arial"/>
          <w:sz w:val="20"/>
          <w:szCs w:val="24"/>
        </w:rPr>
        <w:t xml:space="preserve"> Available micronutrient status in relation to soil properties in some villages under four agro-climatic features of West Bengal. </w:t>
      </w:r>
      <w:r w:rsidRPr="0001561E">
        <w:rPr>
          <w:rFonts w:ascii="Arial" w:hAnsi="Arial" w:cs="Arial"/>
          <w:i/>
          <w:sz w:val="20"/>
          <w:szCs w:val="24"/>
          <w:shd w:val="clear" w:color="auto" w:fill="FFFFFF"/>
        </w:rPr>
        <w:t>Journal of the Indian Society of Soil Science</w:t>
      </w:r>
      <w:r w:rsidRPr="0001561E">
        <w:rPr>
          <w:rFonts w:ascii="Arial" w:hAnsi="Arial" w:cs="Arial"/>
          <w:sz w:val="20"/>
          <w:szCs w:val="24"/>
          <w:shd w:val="clear" w:color="auto" w:fill="FFFFFF"/>
        </w:rPr>
        <w:t xml:space="preserve"> 64 (2)</w:t>
      </w:r>
      <w:r w:rsidR="00812B95" w:rsidRPr="0001561E">
        <w:rPr>
          <w:rFonts w:ascii="Arial" w:hAnsi="Arial" w:cs="Arial"/>
          <w:sz w:val="20"/>
          <w:szCs w:val="24"/>
          <w:shd w:val="clear" w:color="auto" w:fill="FFFFFF"/>
        </w:rPr>
        <w:t xml:space="preserve">, </w:t>
      </w:r>
      <w:r w:rsidRPr="0001561E">
        <w:rPr>
          <w:rFonts w:ascii="Arial" w:hAnsi="Arial" w:cs="Arial"/>
          <w:sz w:val="20"/>
          <w:szCs w:val="24"/>
          <w:shd w:val="clear" w:color="auto" w:fill="FFFFFF"/>
        </w:rPr>
        <w:t>169-175</w:t>
      </w:r>
    </w:p>
    <w:p w14:paraId="3C1EDD2A"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Rego, T.J., Rao, V.N., </w:t>
      </w:r>
      <w:proofErr w:type="spellStart"/>
      <w:r w:rsidRPr="0001561E">
        <w:rPr>
          <w:rFonts w:ascii="Arial" w:hAnsi="Arial" w:cs="Arial"/>
          <w:sz w:val="20"/>
          <w:szCs w:val="24"/>
        </w:rPr>
        <w:t>Seeling</w:t>
      </w:r>
      <w:proofErr w:type="spellEnd"/>
      <w:r w:rsidRPr="0001561E">
        <w:rPr>
          <w:rFonts w:ascii="Arial" w:hAnsi="Arial" w:cs="Arial"/>
          <w:sz w:val="20"/>
          <w:szCs w:val="24"/>
        </w:rPr>
        <w:t xml:space="preserve">, B., </w:t>
      </w:r>
      <w:proofErr w:type="spellStart"/>
      <w:r w:rsidRPr="0001561E">
        <w:rPr>
          <w:rFonts w:ascii="Arial" w:hAnsi="Arial" w:cs="Arial"/>
          <w:sz w:val="20"/>
          <w:szCs w:val="24"/>
        </w:rPr>
        <w:t>Pardhasaradhi</w:t>
      </w:r>
      <w:proofErr w:type="spellEnd"/>
      <w:r w:rsidRPr="0001561E">
        <w:rPr>
          <w:rFonts w:ascii="Arial" w:hAnsi="Arial" w:cs="Arial"/>
          <w:sz w:val="20"/>
          <w:szCs w:val="24"/>
        </w:rPr>
        <w:t>, G. and Kumar Rao, J.V.D.K. (2003)</w:t>
      </w:r>
      <w:r w:rsidR="00E728F3" w:rsidRPr="0001561E">
        <w:rPr>
          <w:rFonts w:ascii="Arial" w:hAnsi="Arial" w:cs="Arial"/>
          <w:sz w:val="20"/>
          <w:szCs w:val="24"/>
        </w:rPr>
        <w:t>.</w:t>
      </w:r>
      <w:r w:rsidRPr="0001561E">
        <w:rPr>
          <w:rFonts w:ascii="Arial" w:hAnsi="Arial" w:cs="Arial"/>
          <w:sz w:val="20"/>
          <w:szCs w:val="24"/>
        </w:rPr>
        <w:t xml:space="preserve"> Nutrient balances a guide to improving sorghum and groundnut based dry land cropping systems in semiarid tropical India. </w:t>
      </w:r>
      <w:r w:rsidRPr="0001561E">
        <w:rPr>
          <w:rFonts w:ascii="Arial" w:hAnsi="Arial" w:cs="Arial"/>
          <w:i/>
          <w:iCs/>
          <w:sz w:val="20"/>
          <w:szCs w:val="24"/>
        </w:rPr>
        <w:t>Field</w:t>
      </w:r>
      <w:r w:rsidRPr="0001561E">
        <w:rPr>
          <w:rFonts w:ascii="Arial" w:hAnsi="Arial" w:cs="Arial"/>
          <w:sz w:val="20"/>
          <w:szCs w:val="24"/>
        </w:rPr>
        <w:t xml:space="preserve"> </w:t>
      </w:r>
      <w:r w:rsidR="00812B95" w:rsidRPr="0001561E">
        <w:rPr>
          <w:rFonts w:ascii="Arial" w:hAnsi="Arial" w:cs="Arial"/>
          <w:i/>
          <w:iCs/>
          <w:sz w:val="20"/>
          <w:szCs w:val="24"/>
        </w:rPr>
        <w:t>Crops Research</w:t>
      </w:r>
      <w:r w:rsidRPr="0001561E">
        <w:rPr>
          <w:rFonts w:ascii="Arial" w:hAnsi="Arial" w:cs="Arial"/>
          <w:i/>
          <w:iCs/>
          <w:sz w:val="20"/>
          <w:szCs w:val="24"/>
        </w:rPr>
        <w:t xml:space="preserve"> </w:t>
      </w:r>
      <w:r w:rsidRPr="0001561E">
        <w:rPr>
          <w:rFonts w:ascii="Arial" w:hAnsi="Arial" w:cs="Arial"/>
          <w:bCs/>
          <w:sz w:val="20"/>
          <w:szCs w:val="24"/>
        </w:rPr>
        <w:t xml:space="preserve">81, </w:t>
      </w:r>
      <w:r w:rsidRPr="0001561E">
        <w:rPr>
          <w:rFonts w:ascii="Arial" w:hAnsi="Arial" w:cs="Arial"/>
          <w:sz w:val="20"/>
          <w:szCs w:val="24"/>
        </w:rPr>
        <w:t>53-68.</w:t>
      </w:r>
    </w:p>
    <w:p w14:paraId="07175DC4" w14:textId="77777777" w:rsidR="001F021F" w:rsidRPr="0001561E" w:rsidRDefault="001F021F" w:rsidP="00141E43">
      <w:pPr>
        <w:autoSpaceDE w:val="0"/>
        <w:autoSpaceDN w:val="0"/>
        <w:adjustRightInd w:val="0"/>
        <w:spacing w:after="0"/>
        <w:ind w:left="993" w:hanging="993"/>
        <w:jc w:val="both"/>
        <w:rPr>
          <w:rFonts w:ascii="Arial" w:hAnsi="Arial" w:cs="Arial"/>
          <w:szCs w:val="24"/>
        </w:rPr>
      </w:pPr>
      <w:r w:rsidRPr="0001561E">
        <w:rPr>
          <w:rFonts w:ascii="Arial" w:hAnsi="Arial" w:cs="Arial"/>
          <w:sz w:val="20"/>
        </w:rPr>
        <w:t>Rout, G. R. and Sahoo, S. (2015)</w:t>
      </w:r>
      <w:r w:rsidR="00E728F3" w:rsidRPr="0001561E">
        <w:rPr>
          <w:rFonts w:ascii="Arial" w:hAnsi="Arial" w:cs="Arial"/>
          <w:sz w:val="20"/>
        </w:rPr>
        <w:t>.</w:t>
      </w:r>
      <w:r w:rsidRPr="0001561E">
        <w:rPr>
          <w:rFonts w:ascii="Arial" w:hAnsi="Arial" w:cs="Arial"/>
          <w:sz w:val="20"/>
        </w:rPr>
        <w:t xml:space="preserve"> Role of iron in plant growth and metabolism. </w:t>
      </w:r>
      <w:r w:rsidRPr="0001561E">
        <w:rPr>
          <w:rFonts w:ascii="Arial" w:hAnsi="Arial" w:cs="Arial"/>
          <w:i/>
          <w:sz w:val="20"/>
        </w:rPr>
        <w:t>Reviews in Agricultural Science</w:t>
      </w:r>
      <w:r w:rsidRPr="0001561E">
        <w:rPr>
          <w:rFonts w:ascii="Arial" w:hAnsi="Arial" w:cs="Arial"/>
          <w:sz w:val="20"/>
        </w:rPr>
        <w:t xml:space="preserve"> 3(1)</w:t>
      </w:r>
      <w:r w:rsidR="00812B95" w:rsidRPr="0001561E">
        <w:rPr>
          <w:rFonts w:ascii="Arial" w:hAnsi="Arial" w:cs="Arial"/>
          <w:sz w:val="20"/>
        </w:rPr>
        <w:t>,</w:t>
      </w:r>
      <w:r w:rsidRPr="0001561E">
        <w:rPr>
          <w:rFonts w:ascii="Arial" w:hAnsi="Arial" w:cs="Arial"/>
          <w:sz w:val="20"/>
        </w:rPr>
        <w:t xml:space="preserve"> 1-24</w:t>
      </w:r>
    </w:p>
    <w:p w14:paraId="2674E2F3"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bCs/>
          <w:sz w:val="20"/>
          <w:szCs w:val="24"/>
        </w:rPr>
        <w:t xml:space="preserve">Santhi, R., Stalin, P., Arulmozhiselvan, K., Radhika, K., Sivagnanam, S., Sekar, J., </w:t>
      </w:r>
      <w:proofErr w:type="spellStart"/>
      <w:r w:rsidRPr="0001561E">
        <w:rPr>
          <w:rFonts w:ascii="Arial" w:hAnsi="Arial" w:cs="Arial"/>
          <w:bCs/>
          <w:sz w:val="20"/>
          <w:szCs w:val="24"/>
        </w:rPr>
        <w:t>Muralidharudu</w:t>
      </w:r>
      <w:proofErr w:type="spellEnd"/>
      <w:r w:rsidRPr="0001561E">
        <w:rPr>
          <w:rFonts w:ascii="Arial" w:hAnsi="Arial" w:cs="Arial"/>
          <w:bCs/>
          <w:sz w:val="20"/>
          <w:szCs w:val="24"/>
        </w:rPr>
        <w:t>, Y., Pradip Dey and Subba Rao, A. (2018)</w:t>
      </w:r>
      <w:r w:rsidR="00E728F3" w:rsidRPr="0001561E">
        <w:rPr>
          <w:rFonts w:ascii="Arial" w:hAnsi="Arial" w:cs="Arial"/>
          <w:bCs/>
          <w:sz w:val="20"/>
          <w:szCs w:val="24"/>
        </w:rPr>
        <w:t>.</w:t>
      </w:r>
      <w:r w:rsidRPr="0001561E">
        <w:rPr>
          <w:rFonts w:ascii="Arial" w:hAnsi="Arial" w:cs="Arial"/>
          <w:bCs/>
          <w:sz w:val="20"/>
          <w:szCs w:val="24"/>
        </w:rPr>
        <w:t xml:space="preserve"> Soil Fertility Appraisal for Villupuram District of Tamil Nadu using GPS and GIS Techniques.</w:t>
      </w:r>
      <w:r w:rsidRPr="0001561E">
        <w:rPr>
          <w:rFonts w:ascii="Arial" w:hAnsi="Arial" w:cs="Arial"/>
          <w:sz w:val="20"/>
          <w:szCs w:val="24"/>
        </w:rPr>
        <w:t xml:space="preserve"> </w:t>
      </w:r>
      <w:r w:rsidRPr="0001561E">
        <w:rPr>
          <w:rFonts w:ascii="Arial" w:hAnsi="Arial" w:cs="Arial"/>
          <w:i/>
          <w:sz w:val="20"/>
          <w:szCs w:val="24"/>
        </w:rPr>
        <w:t>Journal of the Indian Society of Soil Science</w:t>
      </w:r>
      <w:r w:rsidR="00812B95" w:rsidRPr="0001561E">
        <w:rPr>
          <w:rFonts w:ascii="Arial" w:hAnsi="Arial" w:cs="Arial"/>
          <w:sz w:val="20"/>
          <w:szCs w:val="24"/>
        </w:rPr>
        <w:t xml:space="preserve"> </w:t>
      </w:r>
      <w:r w:rsidRPr="0001561E">
        <w:rPr>
          <w:rFonts w:ascii="Arial" w:hAnsi="Arial" w:cs="Arial"/>
          <w:sz w:val="20"/>
          <w:szCs w:val="24"/>
        </w:rPr>
        <w:t>66(2)</w:t>
      </w:r>
      <w:r w:rsidR="00812B95" w:rsidRPr="0001561E">
        <w:rPr>
          <w:rFonts w:ascii="Arial" w:hAnsi="Arial" w:cs="Arial"/>
          <w:sz w:val="20"/>
          <w:szCs w:val="24"/>
        </w:rPr>
        <w:t>,</w:t>
      </w:r>
      <w:r w:rsidRPr="0001561E">
        <w:rPr>
          <w:rFonts w:ascii="Arial" w:hAnsi="Arial" w:cs="Arial"/>
          <w:sz w:val="20"/>
          <w:szCs w:val="24"/>
        </w:rPr>
        <w:t xml:space="preserve"> 158-165.</w:t>
      </w:r>
    </w:p>
    <w:p w14:paraId="6D334756"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Sharma, J.C. and Chaudhary, S.K. (2007)</w:t>
      </w:r>
      <w:r w:rsidR="00E728F3" w:rsidRPr="0001561E">
        <w:rPr>
          <w:rFonts w:ascii="Arial" w:hAnsi="Arial" w:cs="Arial"/>
          <w:sz w:val="20"/>
          <w:szCs w:val="24"/>
        </w:rPr>
        <w:t>.</w:t>
      </w:r>
      <w:r w:rsidRPr="0001561E">
        <w:rPr>
          <w:rFonts w:ascii="Arial" w:hAnsi="Arial" w:cs="Arial"/>
          <w:sz w:val="20"/>
          <w:szCs w:val="24"/>
        </w:rPr>
        <w:t xml:space="preserve"> Vertical distribution of micronutrient cations in relation to soil characteristics in lower </w:t>
      </w:r>
      <w:proofErr w:type="spellStart"/>
      <w:r w:rsidRPr="0001561E">
        <w:rPr>
          <w:rFonts w:ascii="Arial" w:hAnsi="Arial" w:cs="Arial"/>
          <w:sz w:val="20"/>
          <w:szCs w:val="24"/>
        </w:rPr>
        <w:t>Shiwaliks</w:t>
      </w:r>
      <w:proofErr w:type="spellEnd"/>
      <w:r w:rsidRPr="0001561E">
        <w:rPr>
          <w:rFonts w:ascii="Arial" w:hAnsi="Arial" w:cs="Arial"/>
          <w:sz w:val="20"/>
          <w:szCs w:val="24"/>
        </w:rPr>
        <w:t xml:space="preserve"> of Solan district in north-west Himalayas. </w:t>
      </w:r>
      <w:r w:rsidRPr="0001561E">
        <w:rPr>
          <w:rFonts w:ascii="Arial" w:hAnsi="Arial" w:cs="Arial"/>
          <w:i/>
          <w:iCs/>
          <w:sz w:val="20"/>
          <w:szCs w:val="24"/>
        </w:rPr>
        <w:t>Journal of the Indian Society</w:t>
      </w:r>
      <w:r w:rsidRPr="0001561E">
        <w:rPr>
          <w:rFonts w:ascii="Arial" w:hAnsi="Arial" w:cs="Arial"/>
          <w:sz w:val="20"/>
          <w:szCs w:val="24"/>
        </w:rPr>
        <w:t xml:space="preserve"> </w:t>
      </w:r>
      <w:r w:rsidRPr="0001561E">
        <w:rPr>
          <w:rFonts w:ascii="Arial" w:hAnsi="Arial" w:cs="Arial"/>
          <w:i/>
          <w:iCs/>
          <w:sz w:val="20"/>
          <w:szCs w:val="24"/>
        </w:rPr>
        <w:t xml:space="preserve">of Soil Science </w:t>
      </w:r>
      <w:r w:rsidR="00812B95" w:rsidRPr="0001561E">
        <w:rPr>
          <w:rFonts w:ascii="Arial" w:hAnsi="Arial" w:cs="Arial"/>
          <w:bCs/>
          <w:sz w:val="20"/>
          <w:szCs w:val="24"/>
        </w:rPr>
        <w:t>55,</w:t>
      </w:r>
      <w:r w:rsidRPr="0001561E">
        <w:rPr>
          <w:rFonts w:ascii="Arial" w:hAnsi="Arial" w:cs="Arial"/>
          <w:bCs/>
          <w:sz w:val="20"/>
          <w:szCs w:val="24"/>
        </w:rPr>
        <w:t xml:space="preserve"> </w:t>
      </w:r>
      <w:r w:rsidRPr="0001561E">
        <w:rPr>
          <w:rFonts w:ascii="Arial" w:hAnsi="Arial" w:cs="Arial"/>
          <w:sz w:val="20"/>
          <w:szCs w:val="24"/>
        </w:rPr>
        <w:t>40-44.</w:t>
      </w:r>
    </w:p>
    <w:p w14:paraId="63449DE2" w14:textId="77777777" w:rsidR="001F021F" w:rsidRPr="0001561E" w:rsidRDefault="001F021F" w:rsidP="00141E43">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eastAsia="MinionPro-Regular-Identity-H" w:hAnsi="Arial" w:cs="Arial"/>
          <w:sz w:val="20"/>
          <w:szCs w:val="24"/>
        </w:rPr>
        <w:t>Sharma, M., Mishra, B. and Singh, R. (2007)</w:t>
      </w:r>
      <w:r w:rsidR="00E728F3" w:rsidRPr="0001561E">
        <w:rPr>
          <w:rFonts w:ascii="Arial" w:eastAsia="MinionPro-Regular-Identity-H" w:hAnsi="Arial" w:cs="Arial"/>
          <w:sz w:val="20"/>
          <w:szCs w:val="24"/>
        </w:rPr>
        <w:t>.</w:t>
      </w:r>
      <w:r w:rsidRPr="0001561E">
        <w:rPr>
          <w:rFonts w:ascii="Arial" w:eastAsia="MinionPro-Regular-Identity-H" w:hAnsi="Arial" w:cs="Arial"/>
          <w:sz w:val="20"/>
          <w:szCs w:val="24"/>
        </w:rPr>
        <w:t xml:space="preserve"> Long-term effects of fertilizers and manure on physical and chemical properties of a </w:t>
      </w:r>
      <w:proofErr w:type="spellStart"/>
      <w:r w:rsidRPr="0001561E">
        <w:rPr>
          <w:rFonts w:ascii="Arial" w:eastAsia="MinionPro-Regular-Identity-H" w:hAnsi="Arial" w:cs="Arial"/>
          <w:sz w:val="20"/>
          <w:szCs w:val="24"/>
        </w:rPr>
        <w:t>Mollisol</w:t>
      </w:r>
      <w:proofErr w:type="spellEnd"/>
      <w:r w:rsidRPr="0001561E">
        <w:rPr>
          <w:rFonts w:ascii="Arial" w:eastAsia="MinionPro-Regular-Identity-H" w:hAnsi="Arial" w:cs="Arial"/>
          <w:sz w:val="20"/>
          <w:szCs w:val="24"/>
        </w:rPr>
        <w:t xml:space="preserve">, </w:t>
      </w:r>
      <w:r w:rsidRPr="0001561E">
        <w:rPr>
          <w:rFonts w:ascii="Arial" w:eastAsia="MinionPro-Regular-Identity-H" w:hAnsi="Arial" w:cs="Arial"/>
          <w:i/>
          <w:iCs/>
          <w:sz w:val="20"/>
          <w:szCs w:val="24"/>
        </w:rPr>
        <w:t>Journal of the Indian Society of Soil Science</w:t>
      </w:r>
      <w:r w:rsidRPr="0001561E">
        <w:rPr>
          <w:rFonts w:ascii="Arial" w:eastAsia="MinionPro-Regular-Identity-H" w:hAnsi="Arial" w:cs="Arial"/>
          <w:sz w:val="20"/>
          <w:szCs w:val="24"/>
        </w:rPr>
        <w:t xml:space="preserve"> 55(4)</w:t>
      </w:r>
      <w:r w:rsidR="00812B95" w:rsidRPr="0001561E">
        <w:rPr>
          <w:rFonts w:ascii="Arial" w:eastAsia="MinionPro-Regular-Identity-H" w:hAnsi="Arial" w:cs="Arial"/>
          <w:sz w:val="20"/>
          <w:szCs w:val="24"/>
        </w:rPr>
        <w:t xml:space="preserve">, </w:t>
      </w:r>
      <w:r w:rsidRPr="0001561E">
        <w:rPr>
          <w:rFonts w:ascii="Arial" w:eastAsia="MinionPro-Regular-Identity-H" w:hAnsi="Arial" w:cs="Arial"/>
          <w:sz w:val="20"/>
          <w:szCs w:val="24"/>
        </w:rPr>
        <w:t>523–524.</w:t>
      </w:r>
    </w:p>
    <w:p w14:paraId="5A69D9D1"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Sharma, P.K., Sood, A., Setia, R.K., Tur, N.S., Deepak Mehra and Harpinder Singh (2008)</w:t>
      </w:r>
      <w:r w:rsidR="00E728F3" w:rsidRPr="0001561E">
        <w:rPr>
          <w:rFonts w:ascii="Arial" w:hAnsi="Arial" w:cs="Arial"/>
          <w:sz w:val="20"/>
          <w:szCs w:val="24"/>
        </w:rPr>
        <w:t>.</w:t>
      </w:r>
      <w:r w:rsidRPr="0001561E">
        <w:rPr>
          <w:rFonts w:ascii="Arial" w:hAnsi="Arial" w:cs="Arial"/>
          <w:sz w:val="20"/>
          <w:szCs w:val="24"/>
        </w:rPr>
        <w:t xml:space="preserve"> Mapping of macronutrients in soils of Amritsar District (Punjab) – A GIS approach. </w:t>
      </w:r>
      <w:r w:rsidRPr="0001561E">
        <w:rPr>
          <w:rFonts w:ascii="Arial" w:hAnsi="Arial" w:cs="Arial"/>
          <w:i/>
          <w:iCs/>
          <w:sz w:val="20"/>
          <w:szCs w:val="24"/>
        </w:rPr>
        <w:t>Journal of the Indian Society of</w:t>
      </w:r>
      <w:r w:rsidRPr="0001561E">
        <w:rPr>
          <w:rFonts w:ascii="Arial" w:hAnsi="Arial" w:cs="Arial"/>
          <w:sz w:val="20"/>
          <w:szCs w:val="24"/>
        </w:rPr>
        <w:t xml:space="preserve"> </w:t>
      </w:r>
      <w:r w:rsidR="00812B95" w:rsidRPr="0001561E">
        <w:rPr>
          <w:rFonts w:ascii="Arial" w:hAnsi="Arial" w:cs="Arial"/>
          <w:i/>
          <w:iCs/>
          <w:sz w:val="20"/>
          <w:szCs w:val="24"/>
        </w:rPr>
        <w:t>Soil Science</w:t>
      </w:r>
      <w:r w:rsidRPr="0001561E">
        <w:rPr>
          <w:rFonts w:ascii="Arial" w:hAnsi="Arial" w:cs="Arial"/>
          <w:i/>
          <w:iCs/>
          <w:sz w:val="20"/>
          <w:szCs w:val="24"/>
        </w:rPr>
        <w:t xml:space="preserve"> </w:t>
      </w:r>
      <w:r w:rsidRPr="0001561E">
        <w:rPr>
          <w:rFonts w:ascii="Arial" w:hAnsi="Arial" w:cs="Arial"/>
          <w:bCs/>
          <w:sz w:val="20"/>
          <w:szCs w:val="24"/>
        </w:rPr>
        <w:t>56</w:t>
      </w:r>
      <w:r w:rsidR="00812B95" w:rsidRPr="0001561E">
        <w:rPr>
          <w:rFonts w:ascii="Arial" w:hAnsi="Arial" w:cs="Arial"/>
          <w:sz w:val="20"/>
          <w:szCs w:val="24"/>
        </w:rPr>
        <w:t>,</w:t>
      </w:r>
      <w:r w:rsidRPr="0001561E">
        <w:rPr>
          <w:rFonts w:ascii="Arial" w:hAnsi="Arial" w:cs="Arial"/>
          <w:sz w:val="20"/>
          <w:szCs w:val="24"/>
        </w:rPr>
        <w:t xml:space="preserve"> 34-41.</w:t>
      </w:r>
    </w:p>
    <w:p w14:paraId="29D6044A" w14:textId="77777777" w:rsidR="001F021F" w:rsidRPr="0001561E" w:rsidRDefault="001F021F" w:rsidP="00141E43">
      <w:pPr>
        <w:autoSpaceDE w:val="0"/>
        <w:autoSpaceDN w:val="0"/>
        <w:adjustRightInd w:val="0"/>
        <w:spacing w:after="0"/>
        <w:ind w:left="993" w:hanging="993"/>
        <w:jc w:val="both"/>
        <w:rPr>
          <w:rFonts w:ascii="Arial" w:hAnsi="Arial" w:cs="Arial"/>
          <w:szCs w:val="24"/>
        </w:rPr>
      </w:pPr>
      <w:r w:rsidRPr="0001561E">
        <w:rPr>
          <w:rFonts w:ascii="Arial" w:hAnsi="Arial" w:cs="Arial"/>
          <w:sz w:val="20"/>
        </w:rPr>
        <w:t xml:space="preserve">Shukla, A. K. Srivastava P.C., Tiwari, P. K., Chandra Prakash, Patra, A. K., Pooja Singh and </w:t>
      </w:r>
      <w:proofErr w:type="spellStart"/>
      <w:r w:rsidRPr="0001561E">
        <w:rPr>
          <w:rFonts w:ascii="Arial" w:hAnsi="Arial" w:cs="Arial"/>
          <w:sz w:val="20"/>
        </w:rPr>
        <w:t>Pachaur</w:t>
      </w:r>
      <w:proofErr w:type="spellEnd"/>
      <w:r w:rsidRPr="0001561E">
        <w:rPr>
          <w:rFonts w:ascii="Arial" w:hAnsi="Arial" w:cs="Arial"/>
          <w:sz w:val="20"/>
        </w:rPr>
        <w:t>, S.D. (2015)</w:t>
      </w:r>
      <w:r w:rsidR="00E728F3" w:rsidRPr="0001561E">
        <w:rPr>
          <w:rFonts w:ascii="Arial" w:hAnsi="Arial" w:cs="Arial"/>
          <w:sz w:val="20"/>
        </w:rPr>
        <w:t>.</w:t>
      </w:r>
      <w:r w:rsidRPr="0001561E">
        <w:rPr>
          <w:rFonts w:ascii="Arial" w:hAnsi="Arial" w:cs="Arial"/>
          <w:sz w:val="20"/>
        </w:rPr>
        <w:t xml:space="preserve"> Mapping Current Micronutrients Deficiencies in Soils of Uttarakhand for Precise Micronutrient Management</w:t>
      </w:r>
      <w:r w:rsidRPr="0001561E">
        <w:rPr>
          <w:rFonts w:ascii="Arial" w:hAnsi="Arial" w:cs="Arial"/>
          <w:i/>
          <w:sz w:val="20"/>
        </w:rPr>
        <w:t xml:space="preserve">. Indian Journal </w:t>
      </w:r>
      <w:proofErr w:type="gramStart"/>
      <w:r w:rsidRPr="0001561E">
        <w:rPr>
          <w:rFonts w:ascii="Arial" w:hAnsi="Arial" w:cs="Arial"/>
          <w:i/>
          <w:sz w:val="20"/>
        </w:rPr>
        <w:t>of  Fertilizer</w:t>
      </w:r>
      <w:proofErr w:type="gramEnd"/>
      <w:r w:rsidRPr="0001561E">
        <w:rPr>
          <w:rFonts w:ascii="Arial" w:hAnsi="Arial" w:cs="Arial"/>
          <w:sz w:val="20"/>
        </w:rPr>
        <w:t xml:space="preserve"> 11 (7</w:t>
      </w:r>
      <w:r w:rsidR="00812B95" w:rsidRPr="0001561E">
        <w:rPr>
          <w:rFonts w:ascii="Arial" w:hAnsi="Arial" w:cs="Arial"/>
          <w:sz w:val="20"/>
        </w:rPr>
        <w:t xml:space="preserve">), </w:t>
      </w:r>
      <w:r w:rsidRPr="0001561E">
        <w:rPr>
          <w:rFonts w:ascii="Arial" w:hAnsi="Arial" w:cs="Arial"/>
          <w:sz w:val="20"/>
        </w:rPr>
        <w:t>52-63</w:t>
      </w:r>
    </w:p>
    <w:p w14:paraId="126F4ACD" w14:textId="77777777" w:rsidR="001F021F" w:rsidRPr="0001561E" w:rsidRDefault="001F021F" w:rsidP="00141E43">
      <w:pPr>
        <w:autoSpaceDE w:val="0"/>
        <w:autoSpaceDN w:val="0"/>
        <w:adjustRightInd w:val="0"/>
        <w:spacing w:after="0"/>
        <w:ind w:left="993" w:hanging="993"/>
        <w:jc w:val="both"/>
        <w:rPr>
          <w:rFonts w:ascii="Arial" w:hAnsi="Arial" w:cs="Arial"/>
          <w:sz w:val="20"/>
        </w:rPr>
      </w:pPr>
      <w:r w:rsidRPr="0001561E">
        <w:rPr>
          <w:rFonts w:ascii="Arial" w:hAnsi="Arial" w:cs="Arial"/>
          <w:sz w:val="20"/>
        </w:rPr>
        <w:t>Shukla, A.K., Tiwari, P. K. and Chandra Prakash (2014)</w:t>
      </w:r>
      <w:r w:rsidR="00E728F3" w:rsidRPr="0001561E">
        <w:rPr>
          <w:rFonts w:ascii="Arial" w:hAnsi="Arial" w:cs="Arial"/>
          <w:sz w:val="20"/>
        </w:rPr>
        <w:t>.</w:t>
      </w:r>
      <w:r w:rsidRPr="0001561E">
        <w:rPr>
          <w:rFonts w:ascii="Arial" w:hAnsi="Arial" w:cs="Arial"/>
          <w:sz w:val="20"/>
        </w:rPr>
        <w:t xml:space="preserve"> Micronutrients Deficiencies vis-a-vis Food and Nutritional Security of India. </w:t>
      </w:r>
      <w:r w:rsidRPr="0001561E">
        <w:rPr>
          <w:rFonts w:ascii="Arial" w:hAnsi="Arial" w:cs="Arial"/>
          <w:i/>
          <w:sz w:val="20"/>
        </w:rPr>
        <w:t xml:space="preserve">Indian Journal </w:t>
      </w:r>
      <w:proofErr w:type="gramStart"/>
      <w:r w:rsidRPr="0001561E">
        <w:rPr>
          <w:rFonts w:ascii="Arial" w:hAnsi="Arial" w:cs="Arial"/>
          <w:i/>
          <w:sz w:val="20"/>
        </w:rPr>
        <w:t>of  Fertilizer</w:t>
      </w:r>
      <w:proofErr w:type="gramEnd"/>
      <w:r w:rsidR="00812B95" w:rsidRPr="0001561E">
        <w:rPr>
          <w:rFonts w:ascii="Arial" w:hAnsi="Arial" w:cs="Arial"/>
          <w:sz w:val="20"/>
        </w:rPr>
        <w:t xml:space="preserve"> </w:t>
      </w:r>
      <w:r w:rsidRPr="0001561E">
        <w:rPr>
          <w:rFonts w:ascii="Arial" w:hAnsi="Arial" w:cs="Arial"/>
          <w:sz w:val="20"/>
        </w:rPr>
        <w:t>10(12)</w:t>
      </w:r>
      <w:r w:rsidR="00812B95" w:rsidRPr="0001561E">
        <w:rPr>
          <w:rFonts w:ascii="Arial" w:hAnsi="Arial" w:cs="Arial"/>
          <w:sz w:val="20"/>
        </w:rPr>
        <w:t xml:space="preserve">, </w:t>
      </w:r>
      <w:r w:rsidRPr="0001561E">
        <w:rPr>
          <w:rFonts w:ascii="Arial" w:hAnsi="Arial" w:cs="Arial"/>
          <w:sz w:val="20"/>
        </w:rPr>
        <w:t>94-112</w:t>
      </w:r>
    </w:p>
    <w:p w14:paraId="52954BA0" w14:textId="77777777" w:rsidR="001F021F" w:rsidRPr="0001561E" w:rsidRDefault="001F021F" w:rsidP="00141E43">
      <w:pPr>
        <w:spacing w:after="0"/>
        <w:ind w:left="993" w:hanging="993"/>
        <w:jc w:val="both"/>
        <w:rPr>
          <w:rFonts w:ascii="Arial" w:hAnsi="Arial" w:cs="Arial"/>
          <w:sz w:val="20"/>
          <w:szCs w:val="24"/>
        </w:rPr>
      </w:pPr>
      <w:r w:rsidRPr="0001561E">
        <w:rPr>
          <w:rFonts w:ascii="Arial" w:hAnsi="Arial" w:cs="Arial"/>
          <w:sz w:val="20"/>
          <w:szCs w:val="24"/>
        </w:rPr>
        <w:t>Singh, R.P. and Mishra, S.K. (2012)</w:t>
      </w:r>
      <w:r w:rsidR="00E728F3" w:rsidRPr="0001561E">
        <w:rPr>
          <w:rFonts w:ascii="Arial" w:hAnsi="Arial" w:cs="Arial"/>
          <w:sz w:val="20"/>
          <w:szCs w:val="24"/>
        </w:rPr>
        <w:t>.</w:t>
      </w:r>
      <w:r w:rsidRPr="0001561E">
        <w:rPr>
          <w:rFonts w:ascii="Arial" w:hAnsi="Arial" w:cs="Arial"/>
          <w:sz w:val="20"/>
          <w:szCs w:val="24"/>
        </w:rPr>
        <w:t xml:space="preserve"> Available macronutrient (N, P, K and S) in the soils of </w:t>
      </w:r>
      <w:proofErr w:type="spellStart"/>
      <w:r w:rsidRPr="0001561E">
        <w:rPr>
          <w:rFonts w:ascii="Arial" w:hAnsi="Arial" w:cs="Arial"/>
          <w:sz w:val="20"/>
          <w:szCs w:val="24"/>
        </w:rPr>
        <w:t>Chiraigaon</w:t>
      </w:r>
      <w:proofErr w:type="spellEnd"/>
      <w:r w:rsidRPr="0001561E">
        <w:rPr>
          <w:rFonts w:ascii="Arial" w:hAnsi="Arial" w:cs="Arial"/>
          <w:sz w:val="20"/>
          <w:szCs w:val="24"/>
        </w:rPr>
        <w:t xml:space="preserve"> block of District Varanasi (UP) in relation to soil characteristics, </w:t>
      </w:r>
      <w:r w:rsidRPr="0001561E">
        <w:rPr>
          <w:rFonts w:ascii="Arial" w:hAnsi="Arial" w:cs="Arial"/>
          <w:i/>
          <w:sz w:val="20"/>
          <w:szCs w:val="24"/>
        </w:rPr>
        <w:t>Indian Journal of Scientific Research</w:t>
      </w:r>
      <w:r w:rsidRPr="0001561E">
        <w:rPr>
          <w:rFonts w:ascii="Arial" w:hAnsi="Arial" w:cs="Arial"/>
          <w:sz w:val="20"/>
          <w:szCs w:val="24"/>
        </w:rPr>
        <w:t xml:space="preserve"> 3</w:t>
      </w:r>
      <w:r w:rsidR="00812B95" w:rsidRPr="0001561E">
        <w:rPr>
          <w:rFonts w:ascii="Arial" w:hAnsi="Arial" w:cs="Arial"/>
          <w:sz w:val="20"/>
          <w:szCs w:val="24"/>
        </w:rPr>
        <w:t>,</w:t>
      </w:r>
      <w:r w:rsidRPr="0001561E">
        <w:rPr>
          <w:rFonts w:ascii="Arial" w:hAnsi="Arial" w:cs="Arial"/>
          <w:sz w:val="20"/>
          <w:szCs w:val="24"/>
        </w:rPr>
        <w:t xml:space="preserve"> 97-100.</w:t>
      </w:r>
    </w:p>
    <w:p w14:paraId="448318F5" w14:textId="77777777" w:rsidR="001F021F" w:rsidRPr="0001561E" w:rsidRDefault="001F021F" w:rsidP="00141E43">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eastAsia="MinionPro-Regular-Identity-H" w:hAnsi="Arial" w:cs="Arial"/>
          <w:sz w:val="20"/>
          <w:szCs w:val="24"/>
        </w:rPr>
        <w:t xml:space="preserve">Singh, S. R., Zargar, M. </w:t>
      </w:r>
      <w:r w:rsidRPr="0001561E">
        <w:rPr>
          <w:rFonts w:ascii="Arial" w:eastAsia="MS Mincho" w:hAnsi="Arial" w:cs="Arial"/>
          <w:sz w:val="20"/>
          <w:szCs w:val="24"/>
        </w:rPr>
        <w:t>Y</w:t>
      </w:r>
      <w:r w:rsidRPr="0001561E">
        <w:rPr>
          <w:rFonts w:ascii="Arial" w:eastAsia="MinionPro-Regular-Identity-H" w:hAnsi="Arial" w:cs="Arial"/>
          <w:sz w:val="20"/>
          <w:szCs w:val="24"/>
        </w:rPr>
        <w:t>., Singh, U. and Ishaq, M. (2010)</w:t>
      </w:r>
      <w:r w:rsidR="00E728F3" w:rsidRPr="0001561E">
        <w:rPr>
          <w:rFonts w:ascii="Arial" w:eastAsia="MinionPro-Regular-Identity-H" w:hAnsi="Arial" w:cs="Arial"/>
          <w:sz w:val="20"/>
          <w:szCs w:val="24"/>
        </w:rPr>
        <w:t>.</w:t>
      </w:r>
      <w:r w:rsidRPr="0001561E">
        <w:rPr>
          <w:rFonts w:ascii="Arial" w:eastAsia="MinionPro-Regular-Identity-H" w:hAnsi="Arial" w:cs="Arial"/>
          <w:sz w:val="20"/>
          <w:szCs w:val="24"/>
        </w:rPr>
        <w:t xml:space="preserve"> In</w:t>
      </w:r>
      <w:r w:rsidRPr="0001561E">
        <w:rPr>
          <w:rFonts w:ascii="Arial" w:eastAsia="MS Mincho" w:hAnsi="Arial" w:cs="Arial"/>
          <w:sz w:val="20"/>
          <w:szCs w:val="24"/>
        </w:rPr>
        <w:t>f</w:t>
      </w:r>
      <w:r w:rsidRPr="0001561E">
        <w:rPr>
          <w:rFonts w:ascii="Arial" w:eastAsia="MinionPro-Regular-Identity-H" w:hAnsi="Arial" w:cs="Arial"/>
          <w:sz w:val="20"/>
          <w:szCs w:val="24"/>
        </w:rPr>
        <w:t>luence of bio-inoculants and inorganic fertilizers on yield, nutrient balance, microbial dynamics and quality of strawberry (</w:t>
      </w:r>
      <w:proofErr w:type="spellStart"/>
      <w:r w:rsidRPr="0001561E">
        <w:rPr>
          <w:rFonts w:ascii="Arial" w:eastAsia="MinionPro-Regular-Identity-H" w:hAnsi="Arial" w:cs="Arial"/>
          <w:sz w:val="20"/>
          <w:szCs w:val="24"/>
        </w:rPr>
        <w:t>Fragariax</w:t>
      </w:r>
      <w:proofErr w:type="spellEnd"/>
      <w:r w:rsidRPr="0001561E">
        <w:rPr>
          <w:rFonts w:ascii="Arial" w:eastAsia="MinionPro-Regular-Identity-H" w:hAnsi="Arial" w:cs="Arial"/>
          <w:sz w:val="20"/>
          <w:szCs w:val="24"/>
        </w:rPr>
        <w:t xml:space="preserve"> </w:t>
      </w:r>
      <w:proofErr w:type="spellStart"/>
      <w:r w:rsidRPr="0001561E">
        <w:rPr>
          <w:rFonts w:ascii="Arial" w:eastAsia="MinionPro-Regular-Identity-H" w:hAnsi="Arial" w:cs="Arial"/>
          <w:sz w:val="20"/>
          <w:szCs w:val="24"/>
        </w:rPr>
        <w:t>ananassa</w:t>
      </w:r>
      <w:proofErr w:type="spellEnd"/>
      <w:r w:rsidRPr="0001561E">
        <w:rPr>
          <w:rFonts w:ascii="Arial" w:eastAsia="MinionPro-Regular-Identity-H" w:hAnsi="Arial" w:cs="Arial"/>
          <w:sz w:val="20"/>
          <w:szCs w:val="24"/>
        </w:rPr>
        <w:t xml:space="preserve">) under rainfed conditions of Kashmir valley, </w:t>
      </w:r>
      <w:r w:rsidRPr="0001561E">
        <w:rPr>
          <w:rFonts w:ascii="Arial" w:eastAsia="MinionPro-Regular-Identity-H" w:hAnsi="Arial" w:cs="Arial"/>
          <w:i/>
          <w:iCs/>
          <w:sz w:val="20"/>
          <w:szCs w:val="24"/>
        </w:rPr>
        <w:t>Indian</w:t>
      </w:r>
      <w:r w:rsidRPr="0001561E">
        <w:rPr>
          <w:rFonts w:ascii="Arial" w:eastAsia="MinionPro-Regular-Identity-H" w:hAnsi="Arial" w:cs="Arial"/>
          <w:sz w:val="20"/>
          <w:szCs w:val="24"/>
        </w:rPr>
        <w:t xml:space="preserve"> </w:t>
      </w:r>
      <w:r w:rsidRPr="0001561E">
        <w:rPr>
          <w:rFonts w:ascii="Arial" w:eastAsia="MinionPro-Regular-Identity-H" w:hAnsi="Arial" w:cs="Arial"/>
          <w:i/>
          <w:iCs/>
          <w:sz w:val="20"/>
          <w:szCs w:val="24"/>
        </w:rPr>
        <w:t>Journal of Agricultural Sciences</w:t>
      </w:r>
      <w:r w:rsidR="00812B95" w:rsidRPr="0001561E">
        <w:rPr>
          <w:rFonts w:ascii="Arial" w:eastAsia="MinionPro-Regular-Identity-H" w:hAnsi="Arial" w:cs="Arial"/>
          <w:sz w:val="20"/>
          <w:szCs w:val="24"/>
        </w:rPr>
        <w:t xml:space="preserve"> </w:t>
      </w:r>
      <w:r w:rsidRPr="0001561E">
        <w:rPr>
          <w:rFonts w:ascii="Arial" w:eastAsia="MinionPro-Regular-Identity-H" w:hAnsi="Arial" w:cs="Arial"/>
          <w:sz w:val="20"/>
          <w:szCs w:val="24"/>
        </w:rPr>
        <w:t>80 (4)</w:t>
      </w:r>
      <w:r w:rsidR="00812B95" w:rsidRPr="0001561E">
        <w:rPr>
          <w:rFonts w:ascii="Arial" w:eastAsia="MinionPro-Regular-Identity-H" w:hAnsi="Arial" w:cs="Arial"/>
          <w:sz w:val="20"/>
          <w:szCs w:val="24"/>
        </w:rPr>
        <w:t xml:space="preserve">, </w:t>
      </w:r>
      <w:r w:rsidRPr="0001561E">
        <w:rPr>
          <w:rFonts w:ascii="Arial" w:eastAsia="MinionPro-Regular-Identity-H" w:hAnsi="Arial" w:cs="Arial"/>
          <w:sz w:val="20"/>
          <w:szCs w:val="24"/>
        </w:rPr>
        <w:t>275–281.</w:t>
      </w:r>
    </w:p>
    <w:p w14:paraId="7461550E"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Singh, S.K., Mahesh Kumar, Sharma, B.K. and Tarafdar, J.C. (2007)</w:t>
      </w:r>
      <w:r w:rsidR="00E728F3" w:rsidRPr="0001561E">
        <w:rPr>
          <w:rFonts w:ascii="Arial" w:hAnsi="Arial" w:cs="Arial"/>
          <w:sz w:val="20"/>
          <w:szCs w:val="24"/>
        </w:rPr>
        <w:t>.</w:t>
      </w:r>
      <w:r w:rsidRPr="0001561E">
        <w:rPr>
          <w:rFonts w:ascii="Arial" w:hAnsi="Arial" w:cs="Arial"/>
          <w:sz w:val="20"/>
          <w:szCs w:val="24"/>
        </w:rPr>
        <w:t xml:space="preserve"> Depletion of organic carbon, phosphorus and potassium under pearl millet based cropping system in the arid region of India. </w:t>
      </w:r>
      <w:r w:rsidRPr="0001561E">
        <w:rPr>
          <w:rFonts w:ascii="Arial" w:hAnsi="Arial" w:cs="Arial"/>
          <w:i/>
          <w:iCs/>
          <w:sz w:val="20"/>
          <w:szCs w:val="24"/>
        </w:rPr>
        <w:t>Arid Land Research</w:t>
      </w:r>
      <w:r w:rsidRPr="0001561E">
        <w:rPr>
          <w:rFonts w:ascii="Arial" w:hAnsi="Arial" w:cs="Arial"/>
          <w:sz w:val="20"/>
          <w:szCs w:val="24"/>
        </w:rPr>
        <w:t xml:space="preserve"> </w:t>
      </w:r>
      <w:r w:rsidRPr="0001561E">
        <w:rPr>
          <w:rFonts w:ascii="Arial" w:hAnsi="Arial" w:cs="Arial"/>
          <w:i/>
          <w:iCs/>
          <w:sz w:val="20"/>
          <w:szCs w:val="24"/>
        </w:rPr>
        <w:t xml:space="preserve">and Management </w:t>
      </w:r>
      <w:r w:rsidRPr="0001561E">
        <w:rPr>
          <w:rFonts w:ascii="Arial" w:hAnsi="Arial" w:cs="Arial"/>
          <w:bCs/>
          <w:sz w:val="20"/>
          <w:szCs w:val="24"/>
        </w:rPr>
        <w:t>21</w:t>
      </w:r>
      <w:r w:rsidRPr="0001561E">
        <w:rPr>
          <w:rFonts w:ascii="Arial" w:hAnsi="Arial" w:cs="Arial"/>
          <w:sz w:val="20"/>
          <w:szCs w:val="24"/>
        </w:rPr>
        <w:t>, 119-131.</w:t>
      </w:r>
    </w:p>
    <w:p w14:paraId="5508E30F"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lastRenderedPageBreak/>
        <w:t>Subbiah, B.V. and Asija, G.L. (1956)</w:t>
      </w:r>
      <w:r w:rsidR="00E728F3" w:rsidRPr="0001561E">
        <w:rPr>
          <w:rFonts w:ascii="Arial" w:hAnsi="Arial" w:cs="Arial"/>
          <w:sz w:val="20"/>
          <w:szCs w:val="24"/>
        </w:rPr>
        <w:t>.</w:t>
      </w:r>
      <w:r w:rsidRPr="0001561E">
        <w:rPr>
          <w:rFonts w:ascii="Arial" w:hAnsi="Arial" w:cs="Arial"/>
          <w:sz w:val="20"/>
          <w:szCs w:val="24"/>
        </w:rPr>
        <w:t xml:space="preserve"> A rapid procedure for estimation of available nitrogen in soils. </w:t>
      </w:r>
      <w:r w:rsidRPr="0001561E">
        <w:rPr>
          <w:rFonts w:ascii="Arial" w:hAnsi="Arial" w:cs="Arial"/>
          <w:i/>
          <w:iCs/>
          <w:sz w:val="20"/>
          <w:szCs w:val="24"/>
        </w:rPr>
        <w:t>Current.</w:t>
      </w:r>
      <w:r w:rsidRPr="0001561E">
        <w:rPr>
          <w:rFonts w:ascii="Arial" w:hAnsi="Arial" w:cs="Arial"/>
          <w:sz w:val="20"/>
          <w:szCs w:val="24"/>
        </w:rPr>
        <w:t xml:space="preserve"> </w:t>
      </w:r>
      <w:r w:rsidR="00812B95" w:rsidRPr="0001561E">
        <w:rPr>
          <w:rFonts w:ascii="Arial" w:hAnsi="Arial" w:cs="Arial"/>
          <w:i/>
          <w:iCs/>
          <w:sz w:val="20"/>
          <w:szCs w:val="24"/>
        </w:rPr>
        <w:t>Science</w:t>
      </w:r>
      <w:r w:rsidRPr="0001561E">
        <w:rPr>
          <w:rFonts w:ascii="Arial" w:hAnsi="Arial" w:cs="Arial"/>
          <w:i/>
          <w:iCs/>
          <w:sz w:val="20"/>
          <w:szCs w:val="24"/>
        </w:rPr>
        <w:t xml:space="preserve"> </w:t>
      </w:r>
      <w:r w:rsidR="00812B95" w:rsidRPr="0001561E">
        <w:rPr>
          <w:rFonts w:ascii="Arial" w:hAnsi="Arial" w:cs="Arial"/>
          <w:bCs/>
          <w:sz w:val="20"/>
          <w:szCs w:val="24"/>
        </w:rPr>
        <w:t>25,</w:t>
      </w:r>
      <w:r w:rsidRPr="0001561E">
        <w:rPr>
          <w:rFonts w:ascii="Arial" w:hAnsi="Arial" w:cs="Arial"/>
          <w:bCs/>
          <w:sz w:val="20"/>
          <w:szCs w:val="24"/>
        </w:rPr>
        <w:t xml:space="preserve"> </w:t>
      </w:r>
      <w:r w:rsidRPr="0001561E">
        <w:rPr>
          <w:rFonts w:ascii="Arial" w:hAnsi="Arial" w:cs="Arial"/>
          <w:sz w:val="20"/>
          <w:szCs w:val="24"/>
        </w:rPr>
        <w:t>259-260.</w:t>
      </w:r>
    </w:p>
    <w:p w14:paraId="50FBA2B8"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Takkar</w:t>
      </w:r>
      <w:proofErr w:type="spellEnd"/>
      <w:r w:rsidRPr="0001561E">
        <w:rPr>
          <w:rFonts w:ascii="Arial" w:hAnsi="Arial" w:cs="Arial"/>
          <w:sz w:val="20"/>
          <w:szCs w:val="24"/>
        </w:rPr>
        <w:t>, P. N. (2009)</w:t>
      </w:r>
      <w:r w:rsidR="00E728F3" w:rsidRPr="0001561E">
        <w:rPr>
          <w:rFonts w:ascii="Arial" w:hAnsi="Arial" w:cs="Arial"/>
          <w:sz w:val="20"/>
          <w:szCs w:val="24"/>
        </w:rPr>
        <w:t>.</w:t>
      </w:r>
      <w:r w:rsidRPr="0001561E">
        <w:rPr>
          <w:rFonts w:ascii="Arial" w:hAnsi="Arial" w:cs="Arial"/>
          <w:sz w:val="20"/>
          <w:szCs w:val="24"/>
        </w:rPr>
        <w:t xml:space="preserve"> Soil fertility, fertilizer and integrated nutrient use. In </w:t>
      </w:r>
      <w:r w:rsidRPr="0001561E">
        <w:rPr>
          <w:rFonts w:ascii="Arial" w:hAnsi="Arial" w:cs="Arial"/>
          <w:i/>
          <w:iCs/>
          <w:sz w:val="20"/>
          <w:szCs w:val="24"/>
        </w:rPr>
        <w:t xml:space="preserve">Hand Book of Agriculture </w:t>
      </w:r>
      <w:r w:rsidRPr="0001561E">
        <w:rPr>
          <w:rFonts w:ascii="Arial" w:hAnsi="Arial" w:cs="Arial"/>
          <w:sz w:val="20"/>
          <w:szCs w:val="24"/>
        </w:rPr>
        <w:t xml:space="preserve">(eds Rai </w:t>
      </w:r>
      <w:r w:rsidRPr="0001561E">
        <w:rPr>
          <w:rFonts w:ascii="Arial" w:hAnsi="Arial" w:cs="Arial"/>
          <w:i/>
          <w:iCs/>
          <w:sz w:val="20"/>
          <w:szCs w:val="24"/>
        </w:rPr>
        <w:t>et al.</w:t>
      </w:r>
      <w:r w:rsidRPr="0001561E">
        <w:rPr>
          <w:rFonts w:ascii="Arial" w:hAnsi="Arial" w:cs="Arial"/>
          <w:sz w:val="20"/>
          <w:szCs w:val="24"/>
        </w:rPr>
        <w:t xml:space="preserve">), Indian Council of Agriculture, New Delhi, 2009, 6th revised </w:t>
      </w:r>
      <w:proofErr w:type="spellStart"/>
      <w:r w:rsidRPr="0001561E">
        <w:rPr>
          <w:rFonts w:ascii="Arial" w:hAnsi="Arial" w:cs="Arial"/>
          <w:sz w:val="20"/>
          <w:szCs w:val="24"/>
        </w:rPr>
        <w:t>edn</w:t>
      </w:r>
      <w:proofErr w:type="spellEnd"/>
      <w:r w:rsidRPr="0001561E">
        <w:rPr>
          <w:rFonts w:ascii="Arial" w:hAnsi="Arial" w:cs="Arial"/>
          <w:sz w:val="20"/>
          <w:szCs w:val="24"/>
        </w:rPr>
        <w:t>, p. 516.</w:t>
      </w:r>
    </w:p>
    <w:p w14:paraId="609E58BD" w14:textId="77777777" w:rsidR="001F021F" w:rsidRPr="0001561E" w:rsidRDefault="001F021F" w:rsidP="00141E43">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eastAsia="MinionPro-Regular-Identity-H" w:hAnsi="Arial" w:cs="Arial"/>
          <w:sz w:val="20"/>
          <w:szCs w:val="24"/>
        </w:rPr>
        <w:t>Tiwari, K. N. (2003)</w:t>
      </w:r>
      <w:r w:rsidR="00E728F3" w:rsidRPr="0001561E">
        <w:rPr>
          <w:rFonts w:ascii="Arial" w:eastAsia="MinionPro-Regular-Identity-H" w:hAnsi="Arial" w:cs="Arial"/>
          <w:sz w:val="20"/>
          <w:szCs w:val="24"/>
        </w:rPr>
        <w:t>.</w:t>
      </w:r>
      <w:r w:rsidRPr="0001561E">
        <w:rPr>
          <w:rFonts w:ascii="Arial" w:eastAsia="MinionPro-Regular-Identity-H" w:hAnsi="Arial" w:cs="Arial"/>
          <w:sz w:val="20"/>
          <w:szCs w:val="24"/>
        </w:rPr>
        <w:t xml:space="preserve"> </w:t>
      </w:r>
      <w:r w:rsidRPr="0001561E">
        <w:rPr>
          <w:rFonts w:ascii="Arial" w:eastAsia="MinionPro-Regular-Identity-H" w:hAnsi="Arial" w:cs="Arial"/>
          <w:i/>
          <w:iCs/>
          <w:sz w:val="20"/>
          <w:szCs w:val="24"/>
        </w:rPr>
        <w:t>Fundamental of Soil Science</w:t>
      </w:r>
      <w:r w:rsidRPr="0001561E">
        <w:rPr>
          <w:rFonts w:ascii="Arial" w:eastAsia="MinionPro-Regular-Identity-H" w:hAnsi="Arial" w:cs="Arial"/>
          <w:sz w:val="20"/>
          <w:szCs w:val="24"/>
        </w:rPr>
        <w:t>, Indian Society of Soil Science, New Delhi, India</w:t>
      </w:r>
    </w:p>
    <w:p w14:paraId="35BF3A14" w14:textId="77777777" w:rsidR="001F021F" w:rsidRPr="0001561E" w:rsidRDefault="001F021F" w:rsidP="00141E43">
      <w:pPr>
        <w:shd w:val="clear" w:color="auto" w:fill="FFFFFF"/>
        <w:spacing w:after="0"/>
        <w:ind w:left="993" w:hanging="993"/>
        <w:jc w:val="both"/>
        <w:rPr>
          <w:rFonts w:ascii="Arial" w:eastAsia="Times New Roman" w:hAnsi="Arial" w:cs="Arial"/>
          <w:color w:val="000000"/>
          <w:sz w:val="20"/>
          <w:szCs w:val="24"/>
        </w:rPr>
      </w:pPr>
      <w:r w:rsidRPr="0001561E">
        <w:rPr>
          <w:rFonts w:ascii="Arial" w:eastAsia="Times New Roman" w:hAnsi="Arial" w:cs="Arial"/>
          <w:color w:val="000000"/>
          <w:sz w:val="20"/>
          <w:szCs w:val="24"/>
        </w:rPr>
        <w:t xml:space="preserve">Tiwari, K. </w:t>
      </w:r>
      <w:proofErr w:type="gramStart"/>
      <w:r w:rsidRPr="0001561E">
        <w:rPr>
          <w:rFonts w:ascii="Arial" w:eastAsia="Times New Roman" w:hAnsi="Arial" w:cs="Arial"/>
          <w:color w:val="000000"/>
          <w:sz w:val="20"/>
          <w:szCs w:val="24"/>
        </w:rPr>
        <w:t>N.(</w:t>
      </w:r>
      <w:proofErr w:type="gramEnd"/>
      <w:r w:rsidRPr="0001561E">
        <w:rPr>
          <w:rFonts w:ascii="Arial" w:eastAsia="Times New Roman" w:hAnsi="Arial" w:cs="Arial"/>
          <w:color w:val="000000"/>
          <w:sz w:val="20"/>
          <w:szCs w:val="24"/>
        </w:rPr>
        <w:t>2003)</w:t>
      </w:r>
      <w:r w:rsidR="00E728F3" w:rsidRPr="0001561E">
        <w:rPr>
          <w:rFonts w:ascii="Arial" w:eastAsia="Times New Roman" w:hAnsi="Arial" w:cs="Arial"/>
          <w:color w:val="000000"/>
          <w:sz w:val="20"/>
          <w:szCs w:val="24"/>
        </w:rPr>
        <w:t>.</w:t>
      </w:r>
      <w:r w:rsidRPr="0001561E">
        <w:rPr>
          <w:rFonts w:ascii="Arial" w:eastAsia="Times New Roman" w:hAnsi="Arial" w:cs="Arial"/>
          <w:color w:val="000000"/>
          <w:sz w:val="20"/>
          <w:szCs w:val="24"/>
        </w:rPr>
        <w:t xml:space="preserve"> Fundamental of Soil Science, Indian Society of Soil Science, New Delhi, India.</w:t>
      </w:r>
    </w:p>
    <w:p w14:paraId="0423EEEE" w14:textId="77777777" w:rsidR="001F021F" w:rsidRPr="0001561E" w:rsidRDefault="001F021F" w:rsidP="00141E43">
      <w:pPr>
        <w:autoSpaceDE w:val="0"/>
        <w:autoSpaceDN w:val="0"/>
        <w:adjustRightInd w:val="0"/>
        <w:spacing w:after="0"/>
        <w:ind w:left="993" w:hanging="993"/>
        <w:jc w:val="both"/>
        <w:rPr>
          <w:rFonts w:ascii="Arial" w:eastAsia="MinionPro-Regular-Identity-H" w:hAnsi="Arial" w:cs="Arial"/>
          <w:sz w:val="20"/>
          <w:szCs w:val="24"/>
        </w:rPr>
      </w:pPr>
      <w:proofErr w:type="spellStart"/>
      <w:r w:rsidRPr="0001561E">
        <w:rPr>
          <w:rFonts w:ascii="Arial" w:eastAsia="MinionPro-Regular-Identity-H" w:hAnsi="Arial" w:cs="Arial"/>
          <w:sz w:val="20"/>
          <w:szCs w:val="24"/>
        </w:rPr>
        <w:t>Urkurkar</w:t>
      </w:r>
      <w:proofErr w:type="spellEnd"/>
      <w:r w:rsidRPr="0001561E">
        <w:rPr>
          <w:rFonts w:ascii="Arial" w:eastAsia="MinionPro-Regular-Identity-H" w:hAnsi="Arial" w:cs="Arial"/>
          <w:sz w:val="20"/>
          <w:szCs w:val="24"/>
        </w:rPr>
        <w:t>, J. S. Tiwari, A. Chitale, S. and Bajpai, R. K. (2010)</w:t>
      </w:r>
      <w:r w:rsidR="00E728F3" w:rsidRPr="0001561E">
        <w:rPr>
          <w:rFonts w:ascii="Arial" w:eastAsia="MinionPro-Regular-Identity-H" w:hAnsi="Arial" w:cs="Arial"/>
          <w:sz w:val="20"/>
          <w:szCs w:val="24"/>
        </w:rPr>
        <w:t>.</w:t>
      </w:r>
      <w:r w:rsidRPr="0001561E">
        <w:rPr>
          <w:rFonts w:ascii="Arial" w:eastAsia="MinionPro-Regular-Identity-H" w:hAnsi="Arial" w:cs="Arial"/>
          <w:sz w:val="20"/>
          <w:szCs w:val="24"/>
        </w:rPr>
        <w:t xml:space="preserve"> In</w:t>
      </w:r>
      <w:r w:rsidRPr="0001561E">
        <w:rPr>
          <w:rFonts w:ascii="Arial" w:eastAsia="MS Mincho" w:hAnsi="Arial" w:cs="Arial"/>
          <w:sz w:val="20"/>
          <w:szCs w:val="24"/>
        </w:rPr>
        <w:t>f</w:t>
      </w:r>
      <w:r w:rsidRPr="0001561E">
        <w:rPr>
          <w:rFonts w:ascii="Arial" w:eastAsia="MinionPro-Regular-Identity-H" w:hAnsi="Arial" w:cs="Arial"/>
          <w:sz w:val="20"/>
          <w:szCs w:val="24"/>
        </w:rPr>
        <w:t>luence of long-term use of inorganic and organic manures on soil fertility and sustainable productivity of rice (</w:t>
      </w:r>
      <w:r w:rsidRPr="0001561E">
        <w:rPr>
          <w:rFonts w:ascii="Arial" w:eastAsia="MinionPro-Regular-Identity-H" w:hAnsi="Arial" w:cs="Arial"/>
          <w:i/>
          <w:sz w:val="20"/>
          <w:szCs w:val="24"/>
        </w:rPr>
        <w:t>Oryza sativa</w:t>
      </w:r>
      <w:r w:rsidRPr="0001561E">
        <w:rPr>
          <w:rFonts w:ascii="Arial" w:eastAsia="MinionPro-Regular-Identity-H" w:hAnsi="Arial" w:cs="Arial"/>
          <w:sz w:val="20"/>
          <w:szCs w:val="24"/>
        </w:rPr>
        <w:t>) and wheat (</w:t>
      </w:r>
      <w:r w:rsidRPr="0001561E">
        <w:rPr>
          <w:rFonts w:ascii="Arial" w:eastAsia="MinionPro-Regular-Identity-H" w:hAnsi="Arial" w:cs="Arial"/>
          <w:i/>
          <w:sz w:val="20"/>
          <w:szCs w:val="24"/>
        </w:rPr>
        <w:t>Triticum aestivum</w:t>
      </w:r>
      <w:r w:rsidRPr="0001561E">
        <w:rPr>
          <w:rFonts w:ascii="Arial" w:eastAsia="MinionPro-Regular-Identity-H" w:hAnsi="Arial" w:cs="Arial"/>
          <w:sz w:val="20"/>
          <w:szCs w:val="24"/>
        </w:rPr>
        <w:t xml:space="preserve">) in </w:t>
      </w:r>
      <w:proofErr w:type="spellStart"/>
      <w:r w:rsidRPr="0001561E">
        <w:rPr>
          <w:rFonts w:ascii="Arial" w:eastAsia="MinionPro-Regular-Identity-H" w:hAnsi="Arial" w:cs="Arial"/>
          <w:sz w:val="20"/>
          <w:szCs w:val="24"/>
        </w:rPr>
        <w:t>Inceptisols</w:t>
      </w:r>
      <w:proofErr w:type="spellEnd"/>
      <w:r w:rsidRPr="0001561E">
        <w:rPr>
          <w:rFonts w:ascii="Arial" w:eastAsia="MinionPro-Regular-Identity-H" w:hAnsi="Arial" w:cs="Arial"/>
          <w:sz w:val="20"/>
          <w:szCs w:val="24"/>
        </w:rPr>
        <w:t xml:space="preserve">, </w:t>
      </w:r>
      <w:r w:rsidRPr="0001561E">
        <w:rPr>
          <w:rFonts w:ascii="Arial" w:eastAsia="MinionPro-Regular-Identity-H" w:hAnsi="Arial" w:cs="Arial"/>
          <w:i/>
          <w:iCs/>
          <w:sz w:val="20"/>
          <w:szCs w:val="24"/>
        </w:rPr>
        <w:t>Indian Journal of</w:t>
      </w:r>
      <w:r w:rsidRPr="0001561E">
        <w:rPr>
          <w:rFonts w:ascii="Arial" w:eastAsia="MinionPro-Regular-Identity-H" w:hAnsi="Arial" w:cs="Arial"/>
          <w:sz w:val="20"/>
          <w:szCs w:val="24"/>
        </w:rPr>
        <w:t xml:space="preserve"> </w:t>
      </w:r>
      <w:r w:rsidRPr="0001561E">
        <w:rPr>
          <w:rFonts w:ascii="Arial" w:eastAsia="MinionPro-Regular-Identity-H" w:hAnsi="Arial" w:cs="Arial"/>
          <w:i/>
          <w:iCs/>
          <w:sz w:val="20"/>
          <w:szCs w:val="24"/>
        </w:rPr>
        <w:t>Agricultural Sciences</w:t>
      </w:r>
      <w:r w:rsidR="00812B95" w:rsidRPr="0001561E">
        <w:rPr>
          <w:rFonts w:ascii="Arial" w:eastAsia="MinionPro-Regular-Identity-H" w:hAnsi="Arial" w:cs="Arial"/>
          <w:sz w:val="20"/>
          <w:szCs w:val="24"/>
        </w:rPr>
        <w:t xml:space="preserve"> </w:t>
      </w:r>
      <w:r w:rsidRPr="0001561E">
        <w:rPr>
          <w:rFonts w:ascii="Arial" w:eastAsia="MinionPro-Regular-Identity-H" w:hAnsi="Arial" w:cs="Arial"/>
          <w:sz w:val="20"/>
          <w:szCs w:val="24"/>
        </w:rPr>
        <w:t>80</w:t>
      </w:r>
      <w:r w:rsidR="00812B95" w:rsidRPr="0001561E">
        <w:rPr>
          <w:rFonts w:ascii="Arial" w:eastAsia="MinionPro-Regular-Identity-H" w:hAnsi="Arial" w:cs="Arial"/>
          <w:sz w:val="20"/>
          <w:szCs w:val="24"/>
        </w:rPr>
        <w:t xml:space="preserve"> (3)</w:t>
      </w:r>
      <w:r w:rsidRPr="0001561E">
        <w:rPr>
          <w:rFonts w:ascii="Arial" w:eastAsia="MinionPro-Regular-Identity-H" w:hAnsi="Arial" w:cs="Arial"/>
          <w:sz w:val="20"/>
          <w:szCs w:val="24"/>
        </w:rPr>
        <w:t>, 208–212.</w:t>
      </w:r>
    </w:p>
    <w:p w14:paraId="7191D5E2"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Waghmare, M.S., Indulkar, B.S., Mali, C.V., </w:t>
      </w:r>
      <w:proofErr w:type="spellStart"/>
      <w:r w:rsidRPr="0001561E">
        <w:rPr>
          <w:rFonts w:ascii="Arial" w:hAnsi="Arial" w:cs="Arial"/>
          <w:sz w:val="20"/>
          <w:szCs w:val="24"/>
        </w:rPr>
        <w:t>Takankhar</w:t>
      </w:r>
      <w:proofErr w:type="spellEnd"/>
      <w:r w:rsidRPr="0001561E">
        <w:rPr>
          <w:rFonts w:ascii="Arial" w:hAnsi="Arial" w:cs="Arial"/>
          <w:sz w:val="20"/>
          <w:szCs w:val="24"/>
        </w:rPr>
        <w:t xml:space="preserve">, V.G. and </w:t>
      </w:r>
      <w:proofErr w:type="spellStart"/>
      <w:r w:rsidRPr="0001561E">
        <w:rPr>
          <w:rFonts w:ascii="Arial" w:hAnsi="Arial" w:cs="Arial"/>
          <w:sz w:val="20"/>
          <w:szCs w:val="24"/>
        </w:rPr>
        <w:t>Bavalgave</w:t>
      </w:r>
      <w:proofErr w:type="spellEnd"/>
      <w:r w:rsidRPr="0001561E">
        <w:rPr>
          <w:rFonts w:ascii="Arial" w:hAnsi="Arial" w:cs="Arial"/>
          <w:sz w:val="20"/>
          <w:szCs w:val="24"/>
        </w:rPr>
        <w:t>, V.G. (2008)</w:t>
      </w:r>
      <w:r w:rsidR="00E728F3" w:rsidRPr="0001561E">
        <w:rPr>
          <w:rFonts w:ascii="Arial" w:hAnsi="Arial" w:cs="Arial"/>
          <w:sz w:val="20"/>
          <w:szCs w:val="24"/>
        </w:rPr>
        <w:t>.</w:t>
      </w:r>
      <w:r w:rsidRPr="0001561E">
        <w:rPr>
          <w:rFonts w:ascii="Arial" w:hAnsi="Arial" w:cs="Arial"/>
          <w:sz w:val="20"/>
          <w:szCs w:val="24"/>
        </w:rPr>
        <w:t xml:space="preserve"> Chemical properties and micronutrients status of some soils of </w:t>
      </w:r>
      <w:proofErr w:type="spellStart"/>
      <w:r w:rsidRPr="0001561E">
        <w:rPr>
          <w:rFonts w:ascii="Arial" w:hAnsi="Arial" w:cs="Arial"/>
          <w:sz w:val="20"/>
          <w:szCs w:val="24"/>
        </w:rPr>
        <w:t>Ausa</w:t>
      </w:r>
      <w:proofErr w:type="spellEnd"/>
      <w:r w:rsidRPr="0001561E">
        <w:rPr>
          <w:rFonts w:ascii="Arial" w:hAnsi="Arial" w:cs="Arial"/>
          <w:sz w:val="20"/>
          <w:szCs w:val="24"/>
        </w:rPr>
        <w:t xml:space="preserve"> tahsil of Latur, Maharashtra. </w:t>
      </w:r>
      <w:r w:rsidRPr="0001561E">
        <w:rPr>
          <w:rFonts w:ascii="Arial" w:hAnsi="Arial" w:cs="Arial"/>
          <w:i/>
          <w:iCs/>
          <w:sz w:val="20"/>
          <w:szCs w:val="24"/>
        </w:rPr>
        <w:t>An Asian Journal of Soil</w:t>
      </w:r>
      <w:r w:rsidRPr="0001561E">
        <w:rPr>
          <w:rFonts w:ascii="Arial" w:hAnsi="Arial" w:cs="Arial"/>
          <w:sz w:val="20"/>
          <w:szCs w:val="24"/>
        </w:rPr>
        <w:t xml:space="preserve"> </w:t>
      </w:r>
      <w:r w:rsidR="00812B95" w:rsidRPr="0001561E">
        <w:rPr>
          <w:rFonts w:ascii="Arial" w:hAnsi="Arial" w:cs="Arial"/>
          <w:i/>
          <w:iCs/>
          <w:sz w:val="20"/>
          <w:szCs w:val="24"/>
        </w:rPr>
        <w:t>Science</w:t>
      </w:r>
      <w:r w:rsidRPr="0001561E">
        <w:rPr>
          <w:rFonts w:ascii="Arial" w:hAnsi="Arial" w:cs="Arial"/>
          <w:i/>
          <w:iCs/>
          <w:sz w:val="20"/>
          <w:szCs w:val="24"/>
        </w:rPr>
        <w:t xml:space="preserve"> </w:t>
      </w:r>
      <w:r w:rsidR="00812B95" w:rsidRPr="0001561E">
        <w:rPr>
          <w:rFonts w:ascii="Arial" w:hAnsi="Arial" w:cs="Arial"/>
          <w:bCs/>
          <w:sz w:val="20"/>
          <w:szCs w:val="24"/>
        </w:rPr>
        <w:t>3,</w:t>
      </w:r>
      <w:r w:rsidRPr="0001561E">
        <w:rPr>
          <w:rFonts w:ascii="Arial" w:hAnsi="Arial" w:cs="Arial"/>
          <w:bCs/>
          <w:sz w:val="20"/>
          <w:szCs w:val="24"/>
        </w:rPr>
        <w:t xml:space="preserve"> </w:t>
      </w:r>
      <w:r w:rsidRPr="0001561E">
        <w:rPr>
          <w:rFonts w:ascii="Arial" w:hAnsi="Arial" w:cs="Arial"/>
          <w:sz w:val="20"/>
          <w:szCs w:val="24"/>
        </w:rPr>
        <w:t>236-241.</w:t>
      </w:r>
    </w:p>
    <w:p w14:paraId="02C72C80" w14:textId="77777777" w:rsidR="001F021F" w:rsidRPr="0001561E" w:rsidRDefault="001F021F" w:rsidP="00141E43">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Walkley A. and Black, I.A. (1934)</w:t>
      </w:r>
      <w:r w:rsidR="00E728F3" w:rsidRPr="0001561E">
        <w:rPr>
          <w:rFonts w:ascii="Arial" w:hAnsi="Arial" w:cs="Arial"/>
          <w:sz w:val="20"/>
          <w:szCs w:val="24"/>
        </w:rPr>
        <w:t>.</w:t>
      </w:r>
      <w:r w:rsidRPr="0001561E">
        <w:rPr>
          <w:rFonts w:ascii="Arial" w:hAnsi="Arial" w:cs="Arial"/>
          <w:sz w:val="20"/>
          <w:szCs w:val="24"/>
        </w:rPr>
        <w:t xml:space="preserve"> An examination of the Digestion method for determining soil organic matter, and a proposed modification of the chromic acid titration method. </w:t>
      </w:r>
      <w:r w:rsidR="00812B95" w:rsidRPr="0001561E">
        <w:rPr>
          <w:rFonts w:ascii="Arial" w:hAnsi="Arial" w:cs="Arial"/>
          <w:i/>
          <w:iCs/>
          <w:sz w:val="20"/>
          <w:szCs w:val="24"/>
        </w:rPr>
        <w:t xml:space="preserve">Soil </w:t>
      </w:r>
      <w:proofErr w:type="gramStart"/>
      <w:r w:rsidR="00812B95" w:rsidRPr="0001561E">
        <w:rPr>
          <w:rFonts w:ascii="Arial" w:hAnsi="Arial" w:cs="Arial"/>
          <w:i/>
          <w:iCs/>
          <w:sz w:val="20"/>
          <w:szCs w:val="24"/>
        </w:rPr>
        <w:t xml:space="preserve">Science </w:t>
      </w:r>
      <w:r w:rsidRPr="0001561E">
        <w:rPr>
          <w:rFonts w:ascii="Arial" w:hAnsi="Arial" w:cs="Arial"/>
          <w:i/>
          <w:iCs/>
          <w:sz w:val="20"/>
          <w:szCs w:val="24"/>
        </w:rPr>
        <w:t xml:space="preserve"> </w:t>
      </w:r>
      <w:r w:rsidRPr="0001561E">
        <w:rPr>
          <w:rFonts w:ascii="Arial" w:hAnsi="Arial" w:cs="Arial"/>
          <w:bCs/>
          <w:sz w:val="20"/>
          <w:szCs w:val="24"/>
        </w:rPr>
        <w:t>37</w:t>
      </w:r>
      <w:proofErr w:type="gramEnd"/>
      <w:r w:rsidR="00812B95" w:rsidRPr="0001561E">
        <w:rPr>
          <w:rFonts w:ascii="Arial" w:hAnsi="Arial" w:cs="Arial"/>
          <w:sz w:val="20"/>
          <w:szCs w:val="24"/>
        </w:rPr>
        <w:t>,</w:t>
      </w:r>
      <w:r w:rsidRPr="0001561E">
        <w:rPr>
          <w:rFonts w:ascii="Arial" w:hAnsi="Arial" w:cs="Arial"/>
          <w:sz w:val="20"/>
          <w:szCs w:val="24"/>
        </w:rPr>
        <w:t xml:space="preserve"> 29-38.</w:t>
      </w:r>
    </w:p>
    <w:p w14:paraId="2E02E578" w14:textId="77777777" w:rsidR="001F021F" w:rsidRPr="0001561E" w:rsidRDefault="001F021F" w:rsidP="00141E43">
      <w:pPr>
        <w:autoSpaceDE w:val="0"/>
        <w:autoSpaceDN w:val="0"/>
        <w:adjustRightInd w:val="0"/>
        <w:spacing w:after="0"/>
        <w:ind w:left="993" w:hanging="993"/>
        <w:jc w:val="both"/>
        <w:rPr>
          <w:rFonts w:ascii="Arial" w:hAnsi="Arial" w:cs="Arial"/>
          <w:szCs w:val="24"/>
        </w:rPr>
      </w:pPr>
      <w:r w:rsidRPr="0001561E">
        <w:rPr>
          <w:rFonts w:ascii="Arial" w:hAnsi="Arial" w:cs="Arial"/>
          <w:sz w:val="20"/>
        </w:rPr>
        <w:t>Welch, R.M.  (2002)</w:t>
      </w:r>
      <w:r w:rsidR="00E728F3" w:rsidRPr="0001561E">
        <w:rPr>
          <w:rFonts w:ascii="Arial" w:hAnsi="Arial" w:cs="Arial"/>
          <w:sz w:val="20"/>
        </w:rPr>
        <w:t>.</w:t>
      </w:r>
      <w:r w:rsidRPr="0001561E">
        <w:rPr>
          <w:rFonts w:ascii="Arial" w:hAnsi="Arial" w:cs="Arial"/>
          <w:sz w:val="20"/>
        </w:rPr>
        <w:t xml:space="preserve"> The impact of mineral nutrients in food crops on global human health. </w:t>
      </w:r>
      <w:r w:rsidRPr="0001561E">
        <w:rPr>
          <w:rFonts w:ascii="Arial" w:hAnsi="Arial" w:cs="Arial"/>
          <w:i/>
          <w:sz w:val="20"/>
        </w:rPr>
        <w:t>Plant and Soil</w:t>
      </w:r>
      <w:r w:rsidRPr="0001561E">
        <w:rPr>
          <w:rFonts w:ascii="Arial" w:hAnsi="Arial" w:cs="Arial"/>
          <w:sz w:val="20"/>
        </w:rPr>
        <w:t xml:space="preserve"> 247(1)</w:t>
      </w:r>
      <w:r w:rsidR="00812B95" w:rsidRPr="0001561E">
        <w:rPr>
          <w:rFonts w:ascii="Arial" w:hAnsi="Arial" w:cs="Arial"/>
          <w:sz w:val="20"/>
        </w:rPr>
        <w:t>,</w:t>
      </w:r>
      <w:r w:rsidRPr="0001561E">
        <w:rPr>
          <w:rFonts w:ascii="Arial" w:hAnsi="Arial" w:cs="Arial"/>
          <w:sz w:val="20"/>
        </w:rPr>
        <w:t xml:space="preserve"> 83-90</w:t>
      </w:r>
    </w:p>
    <w:p w14:paraId="402A0490" w14:textId="77777777" w:rsidR="001F021F" w:rsidRPr="0001561E" w:rsidRDefault="001F021F" w:rsidP="00141E43">
      <w:pPr>
        <w:spacing w:after="0"/>
        <w:ind w:left="993" w:hanging="993"/>
        <w:jc w:val="both"/>
        <w:rPr>
          <w:rFonts w:ascii="Arial" w:hAnsi="Arial" w:cs="Arial"/>
          <w:szCs w:val="24"/>
        </w:rPr>
      </w:pPr>
      <w:proofErr w:type="spellStart"/>
      <w:r w:rsidRPr="0001561E">
        <w:rPr>
          <w:rFonts w:ascii="Arial" w:hAnsi="Arial" w:cs="Arial"/>
          <w:sz w:val="20"/>
        </w:rPr>
        <w:t>Yruela</w:t>
      </w:r>
      <w:proofErr w:type="spellEnd"/>
      <w:r w:rsidRPr="0001561E">
        <w:rPr>
          <w:rFonts w:ascii="Arial" w:hAnsi="Arial" w:cs="Arial"/>
          <w:sz w:val="20"/>
        </w:rPr>
        <w:t>, I. (2005)</w:t>
      </w:r>
      <w:r w:rsidR="00E728F3" w:rsidRPr="0001561E">
        <w:rPr>
          <w:rFonts w:ascii="Arial" w:hAnsi="Arial" w:cs="Arial"/>
          <w:sz w:val="20"/>
        </w:rPr>
        <w:t>.</w:t>
      </w:r>
      <w:r w:rsidRPr="0001561E">
        <w:rPr>
          <w:rFonts w:ascii="Arial" w:hAnsi="Arial" w:cs="Arial"/>
          <w:sz w:val="20"/>
        </w:rPr>
        <w:t xml:space="preserve"> Copper in plants. </w:t>
      </w:r>
      <w:r w:rsidRPr="0001561E">
        <w:rPr>
          <w:rFonts w:ascii="Arial" w:hAnsi="Arial" w:cs="Arial"/>
          <w:i/>
          <w:sz w:val="20"/>
        </w:rPr>
        <w:t>Brazilian Journal of Plant Physiology</w:t>
      </w:r>
      <w:r w:rsidRPr="0001561E">
        <w:rPr>
          <w:rFonts w:ascii="Arial" w:hAnsi="Arial" w:cs="Arial"/>
          <w:sz w:val="20"/>
        </w:rPr>
        <w:t xml:space="preserve"> 17(1)</w:t>
      </w:r>
      <w:r w:rsidR="00812B95" w:rsidRPr="0001561E">
        <w:rPr>
          <w:rFonts w:ascii="Arial" w:hAnsi="Arial" w:cs="Arial"/>
          <w:sz w:val="20"/>
        </w:rPr>
        <w:t>,</w:t>
      </w:r>
      <w:r w:rsidRPr="0001561E">
        <w:rPr>
          <w:rFonts w:ascii="Arial" w:hAnsi="Arial" w:cs="Arial"/>
          <w:sz w:val="20"/>
        </w:rPr>
        <w:t xml:space="preserve"> 145-156.</w:t>
      </w:r>
    </w:p>
    <w:p w14:paraId="26FDDC3C" w14:textId="77777777" w:rsidR="00AA0627" w:rsidRPr="0001561E" w:rsidRDefault="00AA0627" w:rsidP="00141E43">
      <w:pPr>
        <w:spacing w:after="0"/>
        <w:ind w:left="1134" w:hanging="1134"/>
        <w:jc w:val="both"/>
        <w:rPr>
          <w:rFonts w:ascii="Arial" w:hAnsi="Arial" w:cs="Arial"/>
          <w:sz w:val="24"/>
          <w:szCs w:val="24"/>
        </w:rPr>
      </w:pPr>
    </w:p>
    <w:p w14:paraId="73F6AE0E" w14:textId="77777777" w:rsidR="00A064B5" w:rsidRDefault="00BB09C3" w:rsidP="00CF6887">
      <w:pPr>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F85C7E" wp14:editId="7C01115B">
            <wp:extent cx="5731510" cy="4428894"/>
            <wp:effectExtent l="38100" t="57150" r="116840" b="85956"/>
            <wp:docPr id="1" name="Picture 1" descr="G:\Barpeta A3\Location Map_Barpeta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rpeta A3\Location Map_Barpeta District.jpg"/>
                    <pic:cNvPicPr>
                      <a:picLocks noChangeAspect="1" noChangeArrowheads="1"/>
                    </pic:cNvPicPr>
                  </pic:nvPicPr>
                  <pic:blipFill>
                    <a:blip r:embed="rId8" cstate="print"/>
                    <a:srcRect/>
                    <a:stretch>
                      <a:fillRect/>
                    </a:stretch>
                  </pic:blipFill>
                  <pic:spPr bwMode="auto">
                    <a:xfrm>
                      <a:off x="0" y="0"/>
                      <a:ext cx="5731510" cy="4428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803B22" w14:textId="77777777" w:rsidR="00CF6887" w:rsidRPr="00615FA9" w:rsidRDefault="00CF6887" w:rsidP="00CF6887">
      <w:pPr>
        <w:autoSpaceDE w:val="0"/>
        <w:autoSpaceDN w:val="0"/>
        <w:adjustRightInd w:val="0"/>
        <w:spacing w:after="0"/>
        <w:ind w:left="851" w:hanging="851"/>
        <w:jc w:val="center"/>
        <w:rPr>
          <w:rFonts w:ascii="Arial" w:hAnsi="Arial" w:cs="Arial"/>
          <w:sz w:val="20"/>
          <w:szCs w:val="24"/>
        </w:rPr>
      </w:pPr>
      <w:r w:rsidRPr="00615FA9">
        <w:rPr>
          <w:rFonts w:ascii="Arial" w:hAnsi="Arial" w:cs="Arial"/>
          <w:sz w:val="20"/>
          <w:szCs w:val="24"/>
        </w:rPr>
        <w:t xml:space="preserve">Fig.1. Location map of </w:t>
      </w:r>
      <w:proofErr w:type="spellStart"/>
      <w:r w:rsidRPr="00615FA9">
        <w:rPr>
          <w:rFonts w:ascii="Arial" w:hAnsi="Arial" w:cs="Arial"/>
          <w:sz w:val="20"/>
          <w:szCs w:val="24"/>
        </w:rPr>
        <w:t>Barpeta</w:t>
      </w:r>
      <w:proofErr w:type="spellEnd"/>
      <w:r w:rsidRPr="00615FA9">
        <w:rPr>
          <w:rFonts w:ascii="Arial" w:hAnsi="Arial" w:cs="Arial"/>
          <w:sz w:val="20"/>
          <w:szCs w:val="24"/>
        </w:rPr>
        <w:t xml:space="preserve"> district, Assam</w:t>
      </w:r>
      <w:r w:rsidR="008C2D39" w:rsidRPr="00615FA9">
        <w:rPr>
          <w:rFonts w:ascii="Arial" w:hAnsi="Arial" w:cs="Arial"/>
          <w:sz w:val="20"/>
          <w:szCs w:val="24"/>
        </w:rPr>
        <w:t xml:space="preserve"> </w:t>
      </w:r>
      <w:r w:rsidRPr="00615FA9">
        <w:rPr>
          <w:rFonts w:ascii="Arial" w:hAnsi="Arial" w:cs="Arial"/>
          <w:sz w:val="20"/>
          <w:szCs w:val="24"/>
        </w:rPr>
        <w:t>(India)</w:t>
      </w:r>
    </w:p>
    <w:p w14:paraId="27695E7F" w14:textId="77777777" w:rsidR="00A80B5A" w:rsidRPr="00615FA9" w:rsidRDefault="00A80B5A" w:rsidP="00CF6887">
      <w:pPr>
        <w:autoSpaceDE w:val="0"/>
        <w:autoSpaceDN w:val="0"/>
        <w:adjustRightInd w:val="0"/>
        <w:spacing w:after="0"/>
        <w:ind w:left="851" w:hanging="851"/>
        <w:jc w:val="center"/>
        <w:rPr>
          <w:rFonts w:ascii="Arial" w:hAnsi="Arial" w:cs="Arial"/>
          <w:sz w:val="20"/>
          <w:szCs w:val="24"/>
        </w:rPr>
      </w:pPr>
    </w:p>
    <w:p w14:paraId="105AEB22"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0AFB2549"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5FD22242"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1B79156C"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0F3782BD"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5F9F5078"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7DDEF431"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6D4AEB84"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6E3A208F"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470006A9"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670C4CD8"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5DECF74C"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66D80FF9"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09E9BCD8"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66FE67D5"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48E24D84"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2CC49373"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pPr>
    </w:p>
    <w:p w14:paraId="0C597C18" w14:textId="77777777" w:rsidR="00A80B5A" w:rsidRDefault="00A80B5A" w:rsidP="00CF6887">
      <w:pPr>
        <w:autoSpaceDE w:val="0"/>
        <w:autoSpaceDN w:val="0"/>
        <w:adjustRightInd w:val="0"/>
        <w:spacing w:after="0"/>
        <w:ind w:left="851" w:hanging="851"/>
        <w:jc w:val="center"/>
        <w:rPr>
          <w:rFonts w:ascii="Times New Roman" w:hAnsi="Times New Roman" w:cs="Times New Roman"/>
          <w:sz w:val="24"/>
          <w:szCs w:val="24"/>
        </w:rPr>
        <w:sectPr w:rsidR="00A80B5A" w:rsidSect="00C12BB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5FFA6BF9" w14:textId="77777777" w:rsidR="00A80B5A" w:rsidRPr="00615FA9" w:rsidRDefault="00A80B5A" w:rsidP="008337D8">
      <w:pPr>
        <w:spacing w:after="0"/>
        <w:rPr>
          <w:rFonts w:ascii="Arial" w:hAnsi="Arial" w:cs="Arial"/>
        </w:rPr>
      </w:pPr>
      <w:r w:rsidRPr="00615FA9">
        <w:rPr>
          <w:rFonts w:ascii="Arial" w:hAnsi="Arial" w:cs="Arial"/>
        </w:rPr>
        <w:lastRenderedPageBreak/>
        <w:t xml:space="preserve">Table 1. Soil fertility status of </w:t>
      </w:r>
      <w:proofErr w:type="spellStart"/>
      <w:r w:rsidRPr="00615FA9">
        <w:rPr>
          <w:rFonts w:ascii="Arial" w:hAnsi="Arial" w:cs="Arial"/>
        </w:rPr>
        <w:t>Barpeta</w:t>
      </w:r>
      <w:proofErr w:type="spellEnd"/>
      <w:r w:rsidRPr="00615FA9">
        <w:rPr>
          <w:rFonts w:ascii="Arial" w:hAnsi="Arial" w:cs="Arial"/>
        </w:rPr>
        <w:t xml:space="preserve"> district of Assam</w:t>
      </w:r>
    </w:p>
    <w:tbl>
      <w:tblPr>
        <w:tblStyle w:val="TableGrid"/>
        <w:tblW w:w="0" w:type="auto"/>
        <w:jc w:val="center"/>
        <w:tblLayout w:type="fixed"/>
        <w:tblLook w:val="04A0" w:firstRow="1" w:lastRow="0" w:firstColumn="1" w:lastColumn="0" w:noHBand="0" w:noVBand="1"/>
      </w:tblPr>
      <w:tblGrid>
        <w:gridCol w:w="2518"/>
        <w:gridCol w:w="1418"/>
        <w:gridCol w:w="850"/>
        <w:gridCol w:w="1276"/>
        <w:gridCol w:w="1276"/>
        <w:gridCol w:w="1275"/>
        <w:gridCol w:w="1229"/>
        <w:gridCol w:w="1181"/>
        <w:gridCol w:w="992"/>
        <w:gridCol w:w="1076"/>
        <w:gridCol w:w="1083"/>
      </w:tblGrid>
      <w:tr w:rsidR="00A80B5A" w:rsidRPr="00615FA9" w14:paraId="5C15667F" w14:textId="77777777" w:rsidTr="00B33DCC">
        <w:trPr>
          <w:trHeight w:val="338"/>
          <w:jc w:val="center"/>
        </w:trPr>
        <w:tc>
          <w:tcPr>
            <w:tcW w:w="2518" w:type="dxa"/>
            <w:vMerge w:val="restart"/>
          </w:tcPr>
          <w:p w14:paraId="250D25B2" w14:textId="77777777" w:rsidR="00A80B5A" w:rsidRPr="00615FA9" w:rsidRDefault="00A80B5A" w:rsidP="002B1A95">
            <w:pPr>
              <w:jc w:val="center"/>
              <w:rPr>
                <w:rFonts w:ascii="Arial" w:hAnsi="Arial" w:cs="Arial"/>
                <w:sz w:val="20"/>
                <w:szCs w:val="20"/>
              </w:rPr>
            </w:pPr>
            <w:r w:rsidRPr="00615FA9">
              <w:rPr>
                <w:rFonts w:ascii="Arial" w:hAnsi="Arial" w:cs="Arial"/>
                <w:sz w:val="20"/>
                <w:szCs w:val="20"/>
              </w:rPr>
              <w:t>Parameters/Nutrients</w:t>
            </w:r>
          </w:p>
        </w:tc>
        <w:tc>
          <w:tcPr>
            <w:tcW w:w="1418" w:type="dxa"/>
            <w:vMerge w:val="restart"/>
          </w:tcPr>
          <w:p w14:paraId="046BE945" w14:textId="77777777" w:rsidR="00A80B5A" w:rsidRPr="00615FA9" w:rsidRDefault="00A80B5A" w:rsidP="002B1A95">
            <w:pPr>
              <w:jc w:val="center"/>
              <w:rPr>
                <w:rFonts w:ascii="Arial" w:hAnsi="Arial" w:cs="Arial"/>
                <w:sz w:val="20"/>
                <w:szCs w:val="20"/>
              </w:rPr>
            </w:pPr>
            <w:r w:rsidRPr="00615FA9">
              <w:rPr>
                <w:rFonts w:ascii="Arial" w:hAnsi="Arial" w:cs="Arial"/>
                <w:sz w:val="20"/>
                <w:szCs w:val="20"/>
              </w:rPr>
              <w:t>Range</w:t>
            </w:r>
          </w:p>
        </w:tc>
        <w:tc>
          <w:tcPr>
            <w:tcW w:w="850" w:type="dxa"/>
            <w:vMerge w:val="restart"/>
          </w:tcPr>
          <w:p w14:paraId="3AE0BA1C" w14:textId="77777777" w:rsidR="00A80B5A" w:rsidRPr="00615FA9" w:rsidRDefault="00A80B5A" w:rsidP="002B1A95">
            <w:pPr>
              <w:jc w:val="center"/>
              <w:rPr>
                <w:rFonts w:ascii="Arial" w:hAnsi="Arial" w:cs="Arial"/>
                <w:sz w:val="20"/>
                <w:szCs w:val="20"/>
              </w:rPr>
            </w:pPr>
            <w:r w:rsidRPr="00615FA9">
              <w:rPr>
                <w:rFonts w:ascii="Arial" w:hAnsi="Arial" w:cs="Arial"/>
                <w:sz w:val="20"/>
                <w:szCs w:val="20"/>
              </w:rPr>
              <w:t>Mean</w:t>
            </w:r>
          </w:p>
        </w:tc>
        <w:tc>
          <w:tcPr>
            <w:tcW w:w="3827" w:type="dxa"/>
            <w:gridSpan w:val="3"/>
          </w:tcPr>
          <w:p w14:paraId="5A5086EF" w14:textId="77777777" w:rsidR="00A80B5A" w:rsidRPr="00615FA9" w:rsidRDefault="00A80B5A" w:rsidP="00B33DCC">
            <w:pPr>
              <w:spacing w:before="100" w:beforeAutospacing="1" w:after="100" w:afterAutospacing="1"/>
              <w:jc w:val="center"/>
              <w:rPr>
                <w:rFonts w:ascii="Arial" w:hAnsi="Arial" w:cs="Arial"/>
                <w:sz w:val="20"/>
                <w:szCs w:val="20"/>
              </w:rPr>
            </w:pPr>
            <w:r w:rsidRPr="00615FA9">
              <w:rPr>
                <w:rFonts w:ascii="Arial" w:hAnsi="Arial" w:cs="Arial"/>
                <w:sz w:val="20"/>
                <w:szCs w:val="20"/>
              </w:rPr>
              <w:t>Per cent sample category</w:t>
            </w:r>
          </w:p>
        </w:tc>
        <w:tc>
          <w:tcPr>
            <w:tcW w:w="1229" w:type="dxa"/>
            <w:vMerge w:val="restart"/>
          </w:tcPr>
          <w:p w14:paraId="5E555298"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NIV</w:t>
            </w:r>
          </w:p>
        </w:tc>
        <w:tc>
          <w:tcPr>
            <w:tcW w:w="1181" w:type="dxa"/>
            <w:vMerge w:val="restart"/>
          </w:tcPr>
          <w:p w14:paraId="0A4E6DE9"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Fertility rating</w:t>
            </w:r>
          </w:p>
        </w:tc>
        <w:tc>
          <w:tcPr>
            <w:tcW w:w="3151" w:type="dxa"/>
            <w:gridSpan w:val="3"/>
          </w:tcPr>
          <w:p w14:paraId="7DDB2B34"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Per cent area based on soil fertility maps</w:t>
            </w:r>
          </w:p>
        </w:tc>
      </w:tr>
      <w:tr w:rsidR="00A80B5A" w:rsidRPr="00615FA9" w14:paraId="0A7977CB" w14:textId="77777777" w:rsidTr="00B33DCC">
        <w:trPr>
          <w:jc w:val="center"/>
        </w:trPr>
        <w:tc>
          <w:tcPr>
            <w:tcW w:w="2518" w:type="dxa"/>
            <w:vMerge/>
          </w:tcPr>
          <w:p w14:paraId="3C09F2AC" w14:textId="77777777" w:rsidR="00A80B5A" w:rsidRPr="00615FA9" w:rsidRDefault="00A80B5A" w:rsidP="00B33DCC">
            <w:pPr>
              <w:rPr>
                <w:rFonts w:ascii="Arial" w:hAnsi="Arial" w:cs="Arial"/>
                <w:sz w:val="20"/>
                <w:szCs w:val="20"/>
              </w:rPr>
            </w:pPr>
          </w:p>
        </w:tc>
        <w:tc>
          <w:tcPr>
            <w:tcW w:w="1418" w:type="dxa"/>
            <w:vMerge/>
          </w:tcPr>
          <w:p w14:paraId="64AF96D6" w14:textId="77777777" w:rsidR="00A80B5A" w:rsidRPr="00615FA9" w:rsidRDefault="00A80B5A" w:rsidP="00B33DCC">
            <w:pPr>
              <w:rPr>
                <w:rFonts w:ascii="Arial" w:hAnsi="Arial" w:cs="Arial"/>
                <w:sz w:val="20"/>
                <w:szCs w:val="20"/>
              </w:rPr>
            </w:pPr>
          </w:p>
        </w:tc>
        <w:tc>
          <w:tcPr>
            <w:tcW w:w="850" w:type="dxa"/>
            <w:vMerge/>
          </w:tcPr>
          <w:p w14:paraId="3F3A6E3A" w14:textId="77777777" w:rsidR="00A80B5A" w:rsidRPr="00615FA9" w:rsidRDefault="00A80B5A" w:rsidP="00B33DCC">
            <w:pPr>
              <w:rPr>
                <w:rFonts w:ascii="Arial" w:hAnsi="Arial" w:cs="Arial"/>
                <w:sz w:val="20"/>
                <w:szCs w:val="20"/>
              </w:rPr>
            </w:pPr>
          </w:p>
        </w:tc>
        <w:tc>
          <w:tcPr>
            <w:tcW w:w="1276" w:type="dxa"/>
          </w:tcPr>
          <w:p w14:paraId="3FA382C8"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Acidic/</w:t>
            </w:r>
          </w:p>
          <w:p w14:paraId="7EDD1914"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Low/</w:t>
            </w:r>
          </w:p>
          <w:p w14:paraId="03182016"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Deficient</w:t>
            </w:r>
          </w:p>
        </w:tc>
        <w:tc>
          <w:tcPr>
            <w:tcW w:w="1276" w:type="dxa"/>
          </w:tcPr>
          <w:p w14:paraId="4F939D5F"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Neutral/</w:t>
            </w:r>
          </w:p>
          <w:p w14:paraId="6D0913E3"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Medium/</w:t>
            </w:r>
          </w:p>
          <w:p w14:paraId="104CDC29"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Moderate</w:t>
            </w:r>
          </w:p>
        </w:tc>
        <w:tc>
          <w:tcPr>
            <w:tcW w:w="1275" w:type="dxa"/>
          </w:tcPr>
          <w:p w14:paraId="6FA6CB90" w14:textId="77777777" w:rsidR="00A80B5A" w:rsidRPr="00615FA9" w:rsidRDefault="00A80B5A" w:rsidP="00B33DCC">
            <w:pPr>
              <w:contextualSpacing/>
              <w:jc w:val="center"/>
              <w:rPr>
                <w:rFonts w:ascii="Arial" w:hAnsi="Arial" w:cs="Arial"/>
                <w:sz w:val="20"/>
                <w:szCs w:val="20"/>
              </w:rPr>
            </w:pPr>
            <w:r w:rsidRPr="00615FA9">
              <w:rPr>
                <w:rFonts w:ascii="Arial" w:hAnsi="Arial" w:cs="Arial"/>
                <w:sz w:val="20"/>
                <w:szCs w:val="20"/>
              </w:rPr>
              <w:t>Alkaline/High/</w:t>
            </w:r>
          </w:p>
          <w:p w14:paraId="6CDC35C4" w14:textId="77777777" w:rsidR="00A80B5A" w:rsidRPr="00615FA9" w:rsidRDefault="00A80B5A" w:rsidP="00B33DCC">
            <w:pPr>
              <w:contextualSpacing/>
              <w:jc w:val="center"/>
              <w:rPr>
                <w:rFonts w:ascii="Arial" w:hAnsi="Arial" w:cs="Arial"/>
                <w:sz w:val="20"/>
                <w:szCs w:val="20"/>
              </w:rPr>
            </w:pPr>
            <w:r w:rsidRPr="00615FA9">
              <w:rPr>
                <w:rFonts w:ascii="Arial" w:hAnsi="Arial" w:cs="Arial"/>
                <w:sz w:val="20"/>
                <w:szCs w:val="20"/>
              </w:rPr>
              <w:t>Sufficient</w:t>
            </w:r>
          </w:p>
        </w:tc>
        <w:tc>
          <w:tcPr>
            <w:tcW w:w="1229" w:type="dxa"/>
            <w:vMerge/>
          </w:tcPr>
          <w:p w14:paraId="5707941E" w14:textId="77777777" w:rsidR="00A80B5A" w:rsidRPr="00615FA9" w:rsidRDefault="00A80B5A" w:rsidP="00B33DCC">
            <w:pPr>
              <w:rPr>
                <w:rFonts w:ascii="Arial" w:hAnsi="Arial" w:cs="Arial"/>
                <w:sz w:val="20"/>
                <w:szCs w:val="20"/>
              </w:rPr>
            </w:pPr>
          </w:p>
        </w:tc>
        <w:tc>
          <w:tcPr>
            <w:tcW w:w="1181" w:type="dxa"/>
            <w:vMerge/>
          </w:tcPr>
          <w:p w14:paraId="58CA1CBC" w14:textId="77777777" w:rsidR="00A80B5A" w:rsidRPr="00615FA9" w:rsidRDefault="00A80B5A" w:rsidP="00B33DCC">
            <w:pPr>
              <w:rPr>
                <w:rFonts w:ascii="Arial" w:hAnsi="Arial" w:cs="Arial"/>
                <w:sz w:val="20"/>
                <w:szCs w:val="20"/>
              </w:rPr>
            </w:pPr>
          </w:p>
        </w:tc>
        <w:tc>
          <w:tcPr>
            <w:tcW w:w="992" w:type="dxa"/>
          </w:tcPr>
          <w:p w14:paraId="5CBD5055" w14:textId="77777777" w:rsidR="00A80B5A" w:rsidRPr="00615FA9" w:rsidRDefault="00A80B5A" w:rsidP="00B33DCC">
            <w:pPr>
              <w:jc w:val="center"/>
              <w:rPr>
                <w:rFonts w:ascii="Arial" w:hAnsi="Arial" w:cs="Arial"/>
                <w:sz w:val="20"/>
                <w:szCs w:val="20"/>
              </w:rPr>
            </w:pPr>
          </w:p>
          <w:p w14:paraId="65BFA644" w14:textId="77777777" w:rsidR="00A80B5A" w:rsidRPr="00615FA9" w:rsidRDefault="00A80B5A" w:rsidP="00B33DCC">
            <w:pPr>
              <w:jc w:val="center"/>
              <w:rPr>
                <w:rFonts w:ascii="Arial" w:hAnsi="Arial" w:cs="Arial"/>
                <w:sz w:val="20"/>
                <w:szCs w:val="20"/>
              </w:rPr>
            </w:pPr>
          </w:p>
          <w:p w14:paraId="045A734C"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D</w:t>
            </w:r>
          </w:p>
        </w:tc>
        <w:tc>
          <w:tcPr>
            <w:tcW w:w="1076" w:type="dxa"/>
          </w:tcPr>
          <w:p w14:paraId="1D05D000" w14:textId="77777777" w:rsidR="00A80B5A" w:rsidRPr="00615FA9" w:rsidRDefault="00A80B5A" w:rsidP="00B33DCC">
            <w:pPr>
              <w:jc w:val="center"/>
              <w:rPr>
                <w:rFonts w:ascii="Arial" w:hAnsi="Arial" w:cs="Arial"/>
                <w:sz w:val="20"/>
                <w:szCs w:val="20"/>
              </w:rPr>
            </w:pPr>
          </w:p>
          <w:p w14:paraId="03095BFB" w14:textId="77777777" w:rsidR="00A80B5A" w:rsidRPr="00615FA9" w:rsidRDefault="00A80B5A" w:rsidP="00B33DCC">
            <w:pPr>
              <w:jc w:val="center"/>
              <w:rPr>
                <w:rFonts w:ascii="Arial" w:hAnsi="Arial" w:cs="Arial"/>
                <w:sz w:val="20"/>
                <w:szCs w:val="20"/>
              </w:rPr>
            </w:pPr>
          </w:p>
          <w:p w14:paraId="191A66B5"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M</w:t>
            </w:r>
          </w:p>
        </w:tc>
        <w:tc>
          <w:tcPr>
            <w:tcW w:w="1083" w:type="dxa"/>
          </w:tcPr>
          <w:p w14:paraId="24E2DBEA" w14:textId="77777777" w:rsidR="00A80B5A" w:rsidRPr="00615FA9" w:rsidRDefault="00A80B5A" w:rsidP="00B33DCC">
            <w:pPr>
              <w:jc w:val="center"/>
              <w:rPr>
                <w:rFonts w:ascii="Arial" w:hAnsi="Arial" w:cs="Arial"/>
                <w:sz w:val="20"/>
                <w:szCs w:val="20"/>
              </w:rPr>
            </w:pPr>
          </w:p>
          <w:p w14:paraId="2E1B664B" w14:textId="77777777" w:rsidR="00A80B5A" w:rsidRPr="00615FA9" w:rsidRDefault="00A80B5A" w:rsidP="00B33DCC">
            <w:pPr>
              <w:jc w:val="center"/>
              <w:rPr>
                <w:rFonts w:ascii="Arial" w:hAnsi="Arial" w:cs="Arial"/>
                <w:sz w:val="20"/>
                <w:szCs w:val="20"/>
              </w:rPr>
            </w:pPr>
          </w:p>
          <w:p w14:paraId="6C300D41"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S</w:t>
            </w:r>
          </w:p>
        </w:tc>
      </w:tr>
      <w:tr w:rsidR="00A80B5A" w:rsidRPr="00615FA9" w14:paraId="7656B6FB" w14:textId="77777777" w:rsidTr="00B33DCC">
        <w:trPr>
          <w:jc w:val="center"/>
        </w:trPr>
        <w:tc>
          <w:tcPr>
            <w:tcW w:w="2518" w:type="dxa"/>
          </w:tcPr>
          <w:p w14:paraId="70F55FEA" w14:textId="77777777" w:rsidR="00A80B5A" w:rsidRPr="00615FA9" w:rsidRDefault="00A80B5A" w:rsidP="00B33DCC">
            <w:pPr>
              <w:rPr>
                <w:rFonts w:ascii="Arial" w:hAnsi="Arial" w:cs="Arial"/>
                <w:sz w:val="20"/>
                <w:szCs w:val="20"/>
              </w:rPr>
            </w:pPr>
            <w:r w:rsidRPr="00615FA9">
              <w:rPr>
                <w:rFonts w:ascii="Arial" w:hAnsi="Arial" w:cs="Arial"/>
                <w:sz w:val="20"/>
                <w:szCs w:val="20"/>
              </w:rPr>
              <w:t>pH</w:t>
            </w:r>
          </w:p>
        </w:tc>
        <w:tc>
          <w:tcPr>
            <w:tcW w:w="1418" w:type="dxa"/>
          </w:tcPr>
          <w:p w14:paraId="106D848E"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3.99-8.40</w:t>
            </w:r>
          </w:p>
        </w:tc>
        <w:tc>
          <w:tcPr>
            <w:tcW w:w="850" w:type="dxa"/>
          </w:tcPr>
          <w:p w14:paraId="5482E878"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5.91</w:t>
            </w:r>
          </w:p>
        </w:tc>
        <w:tc>
          <w:tcPr>
            <w:tcW w:w="1276" w:type="dxa"/>
          </w:tcPr>
          <w:p w14:paraId="3D1D15DE"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68</w:t>
            </w:r>
          </w:p>
        </w:tc>
        <w:tc>
          <w:tcPr>
            <w:tcW w:w="1276" w:type="dxa"/>
          </w:tcPr>
          <w:p w14:paraId="1FDCAA0F"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24</w:t>
            </w:r>
          </w:p>
        </w:tc>
        <w:tc>
          <w:tcPr>
            <w:tcW w:w="1275" w:type="dxa"/>
          </w:tcPr>
          <w:p w14:paraId="6F74D511"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8</w:t>
            </w:r>
          </w:p>
        </w:tc>
        <w:tc>
          <w:tcPr>
            <w:tcW w:w="1229" w:type="dxa"/>
          </w:tcPr>
          <w:p w14:paraId="701EE249"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w:t>
            </w:r>
          </w:p>
        </w:tc>
        <w:tc>
          <w:tcPr>
            <w:tcW w:w="1181" w:type="dxa"/>
          </w:tcPr>
          <w:p w14:paraId="6BDC071F"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w:t>
            </w:r>
          </w:p>
        </w:tc>
        <w:tc>
          <w:tcPr>
            <w:tcW w:w="992" w:type="dxa"/>
          </w:tcPr>
          <w:p w14:paraId="730A3329"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53</w:t>
            </w:r>
          </w:p>
        </w:tc>
        <w:tc>
          <w:tcPr>
            <w:tcW w:w="1076" w:type="dxa"/>
          </w:tcPr>
          <w:p w14:paraId="69599252"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9</w:t>
            </w:r>
          </w:p>
        </w:tc>
        <w:tc>
          <w:tcPr>
            <w:tcW w:w="1083" w:type="dxa"/>
          </w:tcPr>
          <w:p w14:paraId="2C4F3952"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13</w:t>
            </w:r>
          </w:p>
        </w:tc>
      </w:tr>
      <w:tr w:rsidR="00A80B5A" w:rsidRPr="00615FA9" w14:paraId="4230F2BC" w14:textId="77777777" w:rsidTr="00B33DCC">
        <w:trPr>
          <w:jc w:val="center"/>
        </w:trPr>
        <w:tc>
          <w:tcPr>
            <w:tcW w:w="2518" w:type="dxa"/>
          </w:tcPr>
          <w:p w14:paraId="77B6C439" w14:textId="77777777" w:rsidR="00A80B5A" w:rsidRPr="00615FA9" w:rsidRDefault="00A80B5A" w:rsidP="00B33DCC">
            <w:pPr>
              <w:rPr>
                <w:rFonts w:ascii="Arial" w:hAnsi="Arial" w:cs="Arial"/>
                <w:sz w:val="20"/>
                <w:szCs w:val="20"/>
              </w:rPr>
            </w:pPr>
            <w:r w:rsidRPr="00615FA9">
              <w:rPr>
                <w:rFonts w:ascii="Arial" w:hAnsi="Arial" w:cs="Arial"/>
                <w:sz w:val="20"/>
                <w:szCs w:val="20"/>
              </w:rPr>
              <w:t>OC (%)</w:t>
            </w:r>
          </w:p>
        </w:tc>
        <w:tc>
          <w:tcPr>
            <w:tcW w:w="1418" w:type="dxa"/>
          </w:tcPr>
          <w:p w14:paraId="3992C774"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0.02-3.47</w:t>
            </w:r>
          </w:p>
        </w:tc>
        <w:tc>
          <w:tcPr>
            <w:tcW w:w="850" w:type="dxa"/>
          </w:tcPr>
          <w:p w14:paraId="4EFA73A6"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0.80</w:t>
            </w:r>
          </w:p>
        </w:tc>
        <w:tc>
          <w:tcPr>
            <w:tcW w:w="1276" w:type="dxa"/>
          </w:tcPr>
          <w:p w14:paraId="79337E38"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15</w:t>
            </w:r>
          </w:p>
        </w:tc>
        <w:tc>
          <w:tcPr>
            <w:tcW w:w="1276" w:type="dxa"/>
          </w:tcPr>
          <w:p w14:paraId="477E1F28"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34</w:t>
            </w:r>
          </w:p>
        </w:tc>
        <w:tc>
          <w:tcPr>
            <w:tcW w:w="1275" w:type="dxa"/>
          </w:tcPr>
          <w:p w14:paraId="4C7E2243"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51</w:t>
            </w:r>
          </w:p>
        </w:tc>
        <w:tc>
          <w:tcPr>
            <w:tcW w:w="1229" w:type="dxa"/>
          </w:tcPr>
          <w:p w14:paraId="1DF5514A"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2.38</w:t>
            </w:r>
          </w:p>
        </w:tc>
        <w:tc>
          <w:tcPr>
            <w:tcW w:w="1181" w:type="dxa"/>
          </w:tcPr>
          <w:p w14:paraId="673C3B67"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High</w:t>
            </w:r>
          </w:p>
        </w:tc>
        <w:tc>
          <w:tcPr>
            <w:tcW w:w="992" w:type="dxa"/>
          </w:tcPr>
          <w:p w14:paraId="0CBFCF1D"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8</w:t>
            </w:r>
          </w:p>
        </w:tc>
        <w:tc>
          <w:tcPr>
            <w:tcW w:w="1076" w:type="dxa"/>
          </w:tcPr>
          <w:p w14:paraId="35794634"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24</w:t>
            </w:r>
          </w:p>
        </w:tc>
        <w:tc>
          <w:tcPr>
            <w:tcW w:w="1083" w:type="dxa"/>
          </w:tcPr>
          <w:p w14:paraId="08871B5A"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43</w:t>
            </w:r>
          </w:p>
        </w:tc>
      </w:tr>
      <w:tr w:rsidR="00A80B5A" w:rsidRPr="00615FA9" w14:paraId="2EDBE151" w14:textId="77777777" w:rsidTr="00B33DCC">
        <w:trPr>
          <w:jc w:val="center"/>
        </w:trPr>
        <w:tc>
          <w:tcPr>
            <w:tcW w:w="2518" w:type="dxa"/>
          </w:tcPr>
          <w:p w14:paraId="6ADCE21F" w14:textId="77777777" w:rsidR="00A80B5A" w:rsidRPr="00615FA9" w:rsidRDefault="00A80B5A" w:rsidP="00B33DCC">
            <w:pPr>
              <w:rPr>
                <w:rFonts w:ascii="Arial" w:hAnsi="Arial" w:cs="Arial"/>
                <w:sz w:val="20"/>
                <w:szCs w:val="20"/>
              </w:rPr>
            </w:pPr>
            <w:r w:rsidRPr="00615FA9">
              <w:rPr>
                <w:rFonts w:ascii="Arial" w:hAnsi="Arial" w:cs="Arial"/>
                <w:sz w:val="20"/>
                <w:szCs w:val="20"/>
              </w:rPr>
              <w:t>Available N (kg ha</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14:paraId="36DBB892"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91-685</w:t>
            </w:r>
          </w:p>
        </w:tc>
        <w:tc>
          <w:tcPr>
            <w:tcW w:w="850" w:type="dxa"/>
          </w:tcPr>
          <w:p w14:paraId="264495E1"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336</w:t>
            </w:r>
          </w:p>
        </w:tc>
        <w:tc>
          <w:tcPr>
            <w:tcW w:w="1276" w:type="dxa"/>
          </w:tcPr>
          <w:p w14:paraId="30368E3D"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34</w:t>
            </w:r>
          </w:p>
        </w:tc>
        <w:tc>
          <w:tcPr>
            <w:tcW w:w="1276" w:type="dxa"/>
          </w:tcPr>
          <w:p w14:paraId="37FB8829"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64</w:t>
            </w:r>
          </w:p>
        </w:tc>
        <w:tc>
          <w:tcPr>
            <w:tcW w:w="1275" w:type="dxa"/>
          </w:tcPr>
          <w:p w14:paraId="47A36A1B"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w:t>
            </w:r>
          </w:p>
        </w:tc>
        <w:tc>
          <w:tcPr>
            <w:tcW w:w="1229" w:type="dxa"/>
          </w:tcPr>
          <w:p w14:paraId="632A6626"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1.68</w:t>
            </w:r>
          </w:p>
        </w:tc>
        <w:tc>
          <w:tcPr>
            <w:tcW w:w="1181" w:type="dxa"/>
          </w:tcPr>
          <w:p w14:paraId="6C9D9F90"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Medium</w:t>
            </w:r>
          </w:p>
        </w:tc>
        <w:tc>
          <w:tcPr>
            <w:tcW w:w="992" w:type="dxa"/>
          </w:tcPr>
          <w:p w14:paraId="75FF3665"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23</w:t>
            </w:r>
          </w:p>
        </w:tc>
        <w:tc>
          <w:tcPr>
            <w:tcW w:w="1076" w:type="dxa"/>
          </w:tcPr>
          <w:p w14:paraId="5AD6ADDC"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48</w:t>
            </w:r>
          </w:p>
        </w:tc>
        <w:tc>
          <w:tcPr>
            <w:tcW w:w="1083" w:type="dxa"/>
          </w:tcPr>
          <w:p w14:paraId="78D8C3C9"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4</w:t>
            </w:r>
          </w:p>
        </w:tc>
      </w:tr>
      <w:tr w:rsidR="00A80B5A" w:rsidRPr="00615FA9" w14:paraId="2AB05162" w14:textId="77777777" w:rsidTr="00B33DCC">
        <w:trPr>
          <w:jc w:val="center"/>
        </w:trPr>
        <w:tc>
          <w:tcPr>
            <w:tcW w:w="2518" w:type="dxa"/>
          </w:tcPr>
          <w:p w14:paraId="445FBE76" w14:textId="77777777" w:rsidR="00A80B5A" w:rsidRPr="00615FA9" w:rsidRDefault="00A80B5A" w:rsidP="00B33DCC">
            <w:pPr>
              <w:rPr>
                <w:rFonts w:ascii="Arial" w:hAnsi="Arial" w:cs="Arial"/>
                <w:sz w:val="20"/>
                <w:szCs w:val="20"/>
                <w:vertAlign w:val="superscript"/>
              </w:rPr>
            </w:pPr>
            <w:r w:rsidRPr="00615FA9">
              <w:rPr>
                <w:rFonts w:ascii="Arial" w:hAnsi="Arial" w:cs="Arial"/>
                <w:sz w:val="20"/>
                <w:szCs w:val="20"/>
              </w:rPr>
              <w:t xml:space="preserve">Available </w:t>
            </w:r>
            <w:proofErr w:type="gramStart"/>
            <w:r w:rsidRPr="00615FA9">
              <w:rPr>
                <w:rFonts w:ascii="Arial" w:hAnsi="Arial" w:cs="Arial"/>
                <w:sz w:val="20"/>
                <w:szCs w:val="20"/>
              </w:rPr>
              <w:t>P  (</w:t>
            </w:r>
            <w:proofErr w:type="gramEnd"/>
            <w:r w:rsidRPr="00615FA9">
              <w:rPr>
                <w:rFonts w:ascii="Arial" w:hAnsi="Arial" w:cs="Arial"/>
                <w:sz w:val="20"/>
                <w:szCs w:val="20"/>
              </w:rPr>
              <w:t>kg ha</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14:paraId="281A8D22"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18-359</w:t>
            </w:r>
          </w:p>
        </w:tc>
        <w:tc>
          <w:tcPr>
            <w:tcW w:w="850" w:type="dxa"/>
          </w:tcPr>
          <w:p w14:paraId="1DA52A25"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55</w:t>
            </w:r>
          </w:p>
        </w:tc>
        <w:tc>
          <w:tcPr>
            <w:tcW w:w="1276" w:type="dxa"/>
          </w:tcPr>
          <w:p w14:paraId="644E8A48"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27</w:t>
            </w:r>
          </w:p>
        </w:tc>
        <w:tc>
          <w:tcPr>
            <w:tcW w:w="1276" w:type="dxa"/>
          </w:tcPr>
          <w:p w14:paraId="341BD8E1"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40</w:t>
            </w:r>
          </w:p>
        </w:tc>
        <w:tc>
          <w:tcPr>
            <w:tcW w:w="1275" w:type="dxa"/>
          </w:tcPr>
          <w:p w14:paraId="2B5BF8B8"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33</w:t>
            </w:r>
          </w:p>
        </w:tc>
        <w:tc>
          <w:tcPr>
            <w:tcW w:w="1229" w:type="dxa"/>
          </w:tcPr>
          <w:p w14:paraId="0261818A"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2.07</w:t>
            </w:r>
          </w:p>
        </w:tc>
        <w:tc>
          <w:tcPr>
            <w:tcW w:w="1181" w:type="dxa"/>
          </w:tcPr>
          <w:p w14:paraId="71B344AD"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Medium</w:t>
            </w:r>
          </w:p>
        </w:tc>
        <w:tc>
          <w:tcPr>
            <w:tcW w:w="992" w:type="dxa"/>
          </w:tcPr>
          <w:p w14:paraId="055E8DE0"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21</w:t>
            </w:r>
          </w:p>
        </w:tc>
        <w:tc>
          <w:tcPr>
            <w:tcW w:w="1076" w:type="dxa"/>
          </w:tcPr>
          <w:p w14:paraId="17757982"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31</w:t>
            </w:r>
          </w:p>
        </w:tc>
        <w:tc>
          <w:tcPr>
            <w:tcW w:w="1083" w:type="dxa"/>
          </w:tcPr>
          <w:p w14:paraId="10C32D5F"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22</w:t>
            </w:r>
          </w:p>
        </w:tc>
      </w:tr>
      <w:tr w:rsidR="00A80B5A" w:rsidRPr="00615FA9" w14:paraId="13942A80" w14:textId="77777777" w:rsidTr="00B33DCC">
        <w:trPr>
          <w:jc w:val="center"/>
        </w:trPr>
        <w:tc>
          <w:tcPr>
            <w:tcW w:w="2518" w:type="dxa"/>
          </w:tcPr>
          <w:p w14:paraId="492ED519" w14:textId="77777777" w:rsidR="00A80B5A" w:rsidRPr="00615FA9" w:rsidRDefault="00A80B5A" w:rsidP="00B33DCC">
            <w:pPr>
              <w:rPr>
                <w:rFonts w:ascii="Arial" w:hAnsi="Arial" w:cs="Arial"/>
                <w:sz w:val="20"/>
                <w:szCs w:val="20"/>
                <w:vertAlign w:val="superscript"/>
              </w:rPr>
            </w:pPr>
            <w:r w:rsidRPr="00615FA9">
              <w:rPr>
                <w:rFonts w:ascii="Arial" w:hAnsi="Arial" w:cs="Arial"/>
                <w:sz w:val="20"/>
                <w:szCs w:val="20"/>
              </w:rPr>
              <w:t>Available K (kg ha</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14:paraId="24B1F846"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40-479</w:t>
            </w:r>
          </w:p>
        </w:tc>
        <w:tc>
          <w:tcPr>
            <w:tcW w:w="850" w:type="dxa"/>
          </w:tcPr>
          <w:p w14:paraId="5A8E6740"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134</w:t>
            </w:r>
          </w:p>
        </w:tc>
        <w:tc>
          <w:tcPr>
            <w:tcW w:w="1276" w:type="dxa"/>
          </w:tcPr>
          <w:p w14:paraId="241BE994"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61</w:t>
            </w:r>
          </w:p>
        </w:tc>
        <w:tc>
          <w:tcPr>
            <w:tcW w:w="1276" w:type="dxa"/>
          </w:tcPr>
          <w:p w14:paraId="5DDC98BF"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38</w:t>
            </w:r>
          </w:p>
        </w:tc>
        <w:tc>
          <w:tcPr>
            <w:tcW w:w="1275" w:type="dxa"/>
          </w:tcPr>
          <w:p w14:paraId="72DCCA40"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1</w:t>
            </w:r>
          </w:p>
        </w:tc>
        <w:tc>
          <w:tcPr>
            <w:tcW w:w="1229" w:type="dxa"/>
          </w:tcPr>
          <w:p w14:paraId="1B47E48D"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1.4</w:t>
            </w:r>
          </w:p>
        </w:tc>
        <w:tc>
          <w:tcPr>
            <w:tcW w:w="1181" w:type="dxa"/>
          </w:tcPr>
          <w:p w14:paraId="3017ACE5"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Low</w:t>
            </w:r>
          </w:p>
        </w:tc>
        <w:tc>
          <w:tcPr>
            <w:tcW w:w="992" w:type="dxa"/>
          </w:tcPr>
          <w:p w14:paraId="1750A576"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43</w:t>
            </w:r>
          </w:p>
        </w:tc>
        <w:tc>
          <w:tcPr>
            <w:tcW w:w="1076" w:type="dxa"/>
          </w:tcPr>
          <w:p w14:paraId="0BE8524C"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26</w:t>
            </w:r>
          </w:p>
        </w:tc>
        <w:tc>
          <w:tcPr>
            <w:tcW w:w="1083" w:type="dxa"/>
          </w:tcPr>
          <w:p w14:paraId="6AA9EA73"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5</w:t>
            </w:r>
          </w:p>
        </w:tc>
      </w:tr>
      <w:tr w:rsidR="00A80B5A" w:rsidRPr="00615FA9" w14:paraId="1DF0DE8B" w14:textId="77777777" w:rsidTr="00B33DCC">
        <w:trPr>
          <w:jc w:val="center"/>
        </w:trPr>
        <w:tc>
          <w:tcPr>
            <w:tcW w:w="2518" w:type="dxa"/>
          </w:tcPr>
          <w:p w14:paraId="362F397B" w14:textId="77777777" w:rsidR="00A80B5A" w:rsidRPr="00615FA9" w:rsidRDefault="00A80B5A" w:rsidP="00B33DCC">
            <w:pPr>
              <w:rPr>
                <w:rFonts w:ascii="Arial" w:hAnsi="Arial" w:cs="Arial"/>
                <w:sz w:val="20"/>
                <w:szCs w:val="20"/>
                <w:vertAlign w:val="superscript"/>
              </w:rPr>
            </w:pPr>
            <w:r w:rsidRPr="00615FA9">
              <w:rPr>
                <w:rFonts w:ascii="Arial" w:hAnsi="Arial" w:cs="Arial"/>
                <w:sz w:val="20"/>
                <w:szCs w:val="20"/>
              </w:rPr>
              <w:t>Available Fe (mg kg</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14:paraId="4CBCFA60"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0.95-197.67</w:t>
            </w:r>
          </w:p>
        </w:tc>
        <w:tc>
          <w:tcPr>
            <w:tcW w:w="850" w:type="dxa"/>
          </w:tcPr>
          <w:p w14:paraId="08DE14C9"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66.29</w:t>
            </w:r>
          </w:p>
        </w:tc>
        <w:tc>
          <w:tcPr>
            <w:tcW w:w="1276" w:type="dxa"/>
          </w:tcPr>
          <w:p w14:paraId="4AD029AD"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0</w:t>
            </w:r>
          </w:p>
        </w:tc>
        <w:tc>
          <w:tcPr>
            <w:tcW w:w="1276" w:type="dxa"/>
          </w:tcPr>
          <w:p w14:paraId="2EDBB6B4"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73</w:t>
            </w:r>
          </w:p>
        </w:tc>
        <w:tc>
          <w:tcPr>
            <w:tcW w:w="1275" w:type="dxa"/>
          </w:tcPr>
          <w:p w14:paraId="3DFCDD99"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27</w:t>
            </w:r>
          </w:p>
        </w:tc>
        <w:tc>
          <w:tcPr>
            <w:tcW w:w="1229" w:type="dxa"/>
          </w:tcPr>
          <w:p w14:paraId="28CE17FE"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2.27</w:t>
            </w:r>
          </w:p>
        </w:tc>
        <w:tc>
          <w:tcPr>
            <w:tcW w:w="1181" w:type="dxa"/>
          </w:tcPr>
          <w:p w14:paraId="057B23D9"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Adequate</w:t>
            </w:r>
          </w:p>
        </w:tc>
        <w:tc>
          <w:tcPr>
            <w:tcW w:w="992" w:type="dxa"/>
          </w:tcPr>
          <w:p w14:paraId="601AF4A0"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4</w:t>
            </w:r>
          </w:p>
        </w:tc>
        <w:tc>
          <w:tcPr>
            <w:tcW w:w="1076" w:type="dxa"/>
          </w:tcPr>
          <w:p w14:paraId="05279231"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48</w:t>
            </w:r>
          </w:p>
        </w:tc>
        <w:tc>
          <w:tcPr>
            <w:tcW w:w="1083" w:type="dxa"/>
          </w:tcPr>
          <w:p w14:paraId="5A202323"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23</w:t>
            </w:r>
          </w:p>
        </w:tc>
      </w:tr>
      <w:tr w:rsidR="00A80B5A" w:rsidRPr="00615FA9" w14:paraId="17EEC0EE" w14:textId="77777777" w:rsidTr="00B33DCC">
        <w:trPr>
          <w:jc w:val="center"/>
        </w:trPr>
        <w:tc>
          <w:tcPr>
            <w:tcW w:w="2518" w:type="dxa"/>
          </w:tcPr>
          <w:p w14:paraId="3C963265" w14:textId="77777777" w:rsidR="00A80B5A" w:rsidRPr="00615FA9" w:rsidRDefault="00A80B5A" w:rsidP="00B33DCC">
            <w:pPr>
              <w:rPr>
                <w:rFonts w:ascii="Arial" w:hAnsi="Arial" w:cs="Arial"/>
                <w:sz w:val="20"/>
                <w:szCs w:val="20"/>
                <w:vertAlign w:val="superscript"/>
              </w:rPr>
            </w:pPr>
            <w:r w:rsidRPr="00615FA9">
              <w:rPr>
                <w:rFonts w:ascii="Arial" w:hAnsi="Arial" w:cs="Arial"/>
                <w:sz w:val="20"/>
                <w:szCs w:val="20"/>
              </w:rPr>
              <w:t>Available Mn (mg kg</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14:paraId="6918137F"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1.12-136.77</w:t>
            </w:r>
          </w:p>
        </w:tc>
        <w:tc>
          <w:tcPr>
            <w:tcW w:w="850" w:type="dxa"/>
          </w:tcPr>
          <w:p w14:paraId="5BB0E1ED"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21.14</w:t>
            </w:r>
          </w:p>
        </w:tc>
        <w:tc>
          <w:tcPr>
            <w:tcW w:w="1276" w:type="dxa"/>
          </w:tcPr>
          <w:p w14:paraId="2BD8256E"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0</w:t>
            </w:r>
          </w:p>
        </w:tc>
        <w:tc>
          <w:tcPr>
            <w:tcW w:w="1276" w:type="dxa"/>
          </w:tcPr>
          <w:p w14:paraId="1E20A8C2"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75</w:t>
            </w:r>
          </w:p>
        </w:tc>
        <w:tc>
          <w:tcPr>
            <w:tcW w:w="1275" w:type="dxa"/>
          </w:tcPr>
          <w:p w14:paraId="65F6CC01"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25</w:t>
            </w:r>
          </w:p>
        </w:tc>
        <w:tc>
          <w:tcPr>
            <w:tcW w:w="1229" w:type="dxa"/>
          </w:tcPr>
          <w:p w14:paraId="47FD1EAD"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2.25</w:t>
            </w:r>
          </w:p>
        </w:tc>
        <w:tc>
          <w:tcPr>
            <w:tcW w:w="1181" w:type="dxa"/>
          </w:tcPr>
          <w:p w14:paraId="548EA44B"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Adequate</w:t>
            </w:r>
          </w:p>
        </w:tc>
        <w:tc>
          <w:tcPr>
            <w:tcW w:w="992" w:type="dxa"/>
          </w:tcPr>
          <w:p w14:paraId="7F41BC17"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7</w:t>
            </w:r>
          </w:p>
        </w:tc>
        <w:tc>
          <w:tcPr>
            <w:tcW w:w="1076" w:type="dxa"/>
          </w:tcPr>
          <w:p w14:paraId="17D9BF4F"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48</w:t>
            </w:r>
          </w:p>
        </w:tc>
        <w:tc>
          <w:tcPr>
            <w:tcW w:w="1083" w:type="dxa"/>
          </w:tcPr>
          <w:p w14:paraId="178D0468"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20</w:t>
            </w:r>
          </w:p>
        </w:tc>
      </w:tr>
      <w:tr w:rsidR="00A80B5A" w:rsidRPr="00615FA9" w14:paraId="5E59AC83" w14:textId="77777777" w:rsidTr="00B33DCC">
        <w:trPr>
          <w:jc w:val="center"/>
        </w:trPr>
        <w:tc>
          <w:tcPr>
            <w:tcW w:w="2518" w:type="dxa"/>
          </w:tcPr>
          <w:p w14:paraId="3D6C3850" w14:textId="77777777" w:rsidR="00A80B5A" w:rsidRPr="00615FA9" w:rsidRDefault="00A80B5A" w:rsidP="00B33DCC">
            <w:pPr>
              <w:rPr>
                <w:rFonts w:ascii="Arial" w:hAnsi="Arial" w:cs="Arial"/>
                <w:sz w:val="20"/>
                <w:szCs w:val="20"/>
              </w:rPr>
            </w:pPr>
            <w:r w:rsidRPr="00615FA9">
              <w:rPr>
                <w:rFonts w:ascii="Arial" w:hAnsi="Arial" w:cs="Arial"/>
                <w:sz w:val="20"/>
                <w:szCs w:val="20"/>
              </w:rPr>
              <w:t>Available Cu (mg kg</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14:paraId="7BB92455"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0.23-17.31</w:t>
            </w:r>
          </w:p>
        </w:tc>
        <w:tc>
          <w:tcPr>
            <w:tcW w:w="850" w:type="dxa"/>
          </w:tcPr>
          <w:p w14:paraId="08B3D7D4"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3.31</w:t>
            </w:r>
          </w:p>
        </w:tc>
        <w:tc>
          <w:tcPr>
            <w:tcW w:w="1276" w:type="dxa"/>
          </w:tcPr>
          <w:p w14:paraId="766B98BC"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0</w:t>
            </w:r>
          </w:p>
        </w:tc>
        <w:tc>
          <w:tcPr>
            <w:tcW w:w="1276" w:type="dxa"/>
          </w:tcPr>
          <w:p w14:paraId="18CF5165"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50</w:t>
            </w:r>
          </w:p>
        </w:tc>
        <w:tc>
          <w:tcPr>
            <w:tcW w:w="1275" w:type="dxa"/>
          </w:tcPr>
          <w:p w14:paraId="64725526"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50</w:t>
            </w:r>
          </w:p>
        </w:tc>
        <w:tc>
          <w:tcPr>
            <w:tcW w:w="1229" w:type="dxa"/>
          </w:tcPr>
          <w:p w14:paraId="11397B42"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2.5</w:t>
            </w:r>
          </w:p>
        </w:tc>
        <w:tc>
          <w:tcPr>
            <w:tcW w:w="1181" w:type="dxa"/>
          </w:tcPr>
          <w:p w14:paraId="653A4E65"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High</w:t>
            </w:r>
          </w:p>
        </w:tc>
        <w:tc>
          <w:tcPr>
            <w:tcW w:w="992" w:type="dxa"/>
          </w:tcPr>
          <w:p w14:paraId="08DE541C"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6</w:t>
            </w:r>
          </w:p>
        </w:tc>
        <w:tc>
          <w:tcPr>
            <w:tcW w:w="1076" w:type="dxa"/>
          </w:tcPr>
          <w:p w14:paraId="544D5A5D"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33</w:t>
            </w:r>
          </w:p>
        </w:tc>
        <w:tc>
          <w:tcPr>
            <w:tcW w:w="1083" w:type="dxa"/>
          </w:tcPr>
          <w:p w14:paraId="3690715C"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35</w:t>
            </w:r>
          </w:p>
        </w:tc>
      </w:tr>
      <w:tr w:rsidR="00A80B5A" w:rsidRPr="00615FA9" w14:paraId="27461BFD" w14:textId="77777777" w:rsidTr="00B33DCC">
        <w:trPr>
          <w:jc w:val="center"/>
        </w:trPr>
        <w:tc>
          <w:tcPr>
            <w:tcW w:w="2518" w:type="dxa"/>
          </w:tcPr>
          <w:p w14:paraId="313C127B" w14:textId="77777777" w:rsidR="00A80B5A" w:rsidRPr="00615FA9" w:rsidRDefault="00A80B5A" w:rsidP="00B33DCC">
            <w:pPr>
              <w:rPr>
                <w:rFonts w:ascii="Arial" w:hAnsi="Arial" w:cs="Arial"/>
                <w:sz w:val="20"/>
                <w:szCs w:val="20"/>
                <w:vertAlign w:val="superscript"/>
              </w:rPr>
            </w:pPr>
            <w:r w:rsidRPr="00615FA9">
              <w:rPr>
                <w:rFonts w:ascii="Arial" w:hAnsi="Arial" w:cs="Arial"/>
                <w:sz w:val="20"/>
                <w:szCs w:val="20"/>
              </w:rPr>
              <w:t>Available Zn (mg kg</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14:paraId="689DB9F2"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0.04-0.85</w:t>
            </w:r>
          </w:p>
        </w:tc>
        <w:tc>
          <w:tcPr>
            <w:tcW w:w="850" w:type="dxa"/>
          </w:tcPr>
          <w:p w14:paraId="05F35AC6"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0.58</w:t>
            </w:r>
          </w:p>
        </w:tc>
        <w:tc>
          <w:tcPr>
            <w:tcW w:w="1276" w:type="dxa"/>
          </w:tcPr>
          <w:p w14:paraId="63EE19F2"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70</w:t>
            </w:r>
          </w:p>
        </w:tc>
        <w:tc>
          <w:tcPr>
            <w:tcW w:w="1276" w:type="dxa"/>
          </w:tcPr>
          <w:p w14:paraId="406645B6"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24</w:t>
            </w:r>
          </w:p>
        </w:tc>
        <w:tc>
          <w:tcPr>
            <w:tcW w:w="1275" w:type="dxa"/>
          </w:tcPr>
          <w:p w14:paraId="2E8D2711"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6</w:t>
            </w:r>
          </w:p>
        </w:tc>
        <w:tc>
          <w:tcPr>
            <w:tcW w:w="1229" w:type="dxa"/>
          </w:tcPr>
          <w:p w14:paraId="782089BE"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1.36</w:t>
            </w:r>
          </w:p>
        </w:tc>
        <w:tc>
          <w:tcPr>
            <w:tcW w:w="1181" w:type="dxa"/>
          </w:tcPr>
          <w:p w14:paraId="135144AC" w14:textId="77777777" w:rsidR="00A80B5A" w:rsidRPr="00615FA9" w:rsidRDefault="00A80B5A" w:rsidP="00B33DCC">
            <w:pPr>
              <w:jc w:val="center"/>
              <w:rPr>
                <w:rFonts w:ascii="Arial" w:hAnsi="Arial" w:cs="Arial"/>
                <w:sz w:val="20"/>
                <w:szCs w:val="20"/>
              </w:rPr>
            </w:pPr>
            <w:r w:rsidRPr="00615FA9">
              <w:rPr>
                <w:rFonts w:ascii="Arial" w:hAnsi="Arial" w:cs="Arial"/>
                <w:sz w:val="20"/>
                <w:szCs w:val="20"/>
              </w:rPr>
              <w:t>Low</w:t>
            </w:r>
          </w:p>
        </w:tc>
        <w:tc>
          <w:tcPr>
            <w:tcW w:w="992" w:type="dxa"/>
          </w:tcPr>
          <w:p w14:paraId="2FC43DB2"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47</w:t>
            </w:r>
          </w:p>
        </w:tc>
        <w:tc>
          <w:tcPr>
            <w:tcW w:w="1076" w:type="dxa"/>
          </w:tcPr>
          <w:p w14:paraId="167FACE2"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21</w:t>
            </w:r>
          </w:p>
        </w:tc>
        <w:tc>
          <w:tcPr>
            <w:tcW w:w="1083" w:type="dxa"/>
          </w:tcPr>
          <w:p w14:paraId="3B181E10" w14:textId="77777777" w:rsidR="00A80B5A" w:rsidRPr="00615FA9" w:rsidRDefault="00A80B5A" w:rsidP="00B33DCC">
            <w:pPr>
              <w:jc w:val="center"/>
              <w:rPr>
                <w:rFonts w:ascii="Arial" w:hAnsi="Arial" w:cs="Arial"/>
                <w:color w:val="000000"/>
                <w:sz w:val="20"/>
                <w:szCs w:val="20"/>
              </w:rPr>
            </w:pPr>
            <w:r w:rsidRPr="00615FA9">
              <w:rPr>
                <w:rFonts w:ascii="Arial" w:hAnsi="Arial" w:cs="Arial"/>
                <w:color w:val="000000"/>
                <w:sz w:val="20"/>
                <w:szCs w:val="20"/>
              </w:rPr>
              <w:t>7</w:t>
            </w:r>
          </w:p>
        </w:tc>
      </w:tr>
    </w:tbl>
    <w:p w14:paraId="47AC7A06" w14:textId="77777777" w:rsidR="00A80B5A" w:rsidRPr="00615FA9" w:rsidRDefault="00A80B5A" w:rsidP="008337D8">
      <w:pPr>
        <w:spacing w:after="0" w:line="240" w:lineRule="auto"/>
        <w:jc w:val="both"/>
        <w:rPr>
          <w:rFonts w:ascii="Arial" w:hAnsi="Arial" w:cs="Arial"/>
          <w:sz w:val="20"/>
        </w:rPr>
      </w:pPr>
      <w:r w:rsidRPr="00615FA9">
        <w:rPr>
          <w:rFonts w:ascii="Arial" w:hAnsi="Arial" w:cs="Arial"/>
          <w:sz w:val="20"/>
        </w:rPr>
        <w:t>*25.46% of TGA is occupied by river and sand bar; Acidic, neutral and alkaline for pH; Low, medium and high for OC and available N, P and K; Deficiency, moderate and sufficient for micronutrients.</w:t>
      </w:r>
    </w:p>
    <w:p w14:paraId="3ED20C1A" w14:textId="77777777" w:rsidR="00E92A16" w:rsidRDefault="00E92A16" w:rsidP="008337D8">
      <w:pPr>
        <w:spacing w:after="0" w:line="240" w:lineRule="auto"/>
        <w:jc w:val="both"/>
        <w:rPr>
          <w:rFonts w:ascii="Times New Roman" w:hAnsi="Times New Roman" w:cs="Times New Roman"/>
          <w:sz w:val="24"/>
          <w:szCs w:val="24"/>
        </w:rPr>
      </w:pPr>
    </w:p>
    <w:p w14:paraId="1B2705B5" w14:textId="77777777" w:rsidR="00E92A16" w:rsidRDefault="008337D8" w:rsidP="001A7469">
      <w:pPr>
        <w:spacing w:after="0" w:line="240" w:lineRule="auto"/>
        <w:jc w:val="center"/>
        <w:rPr>
          <w:rFonts w:ascii="Times New Roman" w:hAnsi="Times New Roman" w:cs="Times New Roman"/>
          <w:sz w:val="24"/>
          <w:szCs w:val="24"/>
        </w:rPr>
      </w:pPr>
      <w:r w:rsidRPr="008337D8">
        <w:rPr>
          <w:rFonts w:ascii="Times New Roman" w:hAnsi="Times New Roman" w:cs="Times New Roman"/>
          <w:noProof/>
          <w:sz w:val="24"/>
          <w:szCs w:val="24"/>
        </w:rPr>
        <w:lastRenderedPageBreak/>
        <w:drawing>
          <wp:inline distT="0" distB="0" distL="0" distR="0" wp14:anchorId="5003CA1E" wp14:editId="3C6DB6B1">
            <wp:extent cx="7584600" cy="5362575"/>
            <wp:effectExtent l="19050" t="0" r="0" b="0"/>
            <wp:docPr id="3" name="Picture 1" descr="C:\Users\User\Desktop\Barpeta Macro &amp; Micro nutrient mapping jpg\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rpeta Macro &amp; Micro nutrient mapping jpg\pH.jpg"/>
                    <pic:cNvPicPr>
                      <a:picLocks noChangeAspect="1" noChangeArrowheads="1"/>
                    </pic:cNvPicPr>
                  </pic:nvPicPr>
                  <pic:blipFill>
                    <a:blip r:embed="rId15" cstate="print"/>
                    <a:srcRect/>
                    <a:stretch>
                      <a:fillRect/>
                    </a:stretch>
                  </pic:blipFill>
                  <pic:spPr bwMode="auto">
                    <a:xfrm>
                      <a:off x="0" y="0"/>
                      <a:ext cx="7588802" cy="5365546"/>
                    </a:xfrm>
                    <a:prstGeom prst="rect">
                      <a:avLst/>
                    </a:prstGeom>
                    <a:noFill/>
                    <a:ln w="9525">
                      <a:noFill/>
                      <a:miter lim="800000"/>
                      <a:headEnd/>
                      <a:tailEnd/>
                    </a:ln>
                  </pic:spPr>
                </pic:pic>
              </a:graphicData>
            </a:graphic>
          </wp:inline>
        </w:drawing>
      </w:r>
    </w:p>
    <w:p w14:paraId="4312B670" w14:textId="77777777" w:rsidR="005210DF" w:rsidRPr="00615FA9" w:rsidRDefault="00E92A16" w:rsidP="00D73B2B">
      <w:pPr>
        <w:spacing w:after="0" w:line="240" w:lineRule="auto"/>
        <w:rPr>
          <w:rFonts w:ascii="Arial" w:hAnsi="Arial" w:cs="Arial"/>
          <w:sz w:val="20"/>
          <w:szCs w:val="24"/>
        </w:rPr>
      </w:pPr>
      <w:r>
        <w:rPr>
          <w:rFonts w:ascii="Times New Roman" w:hAnsi="Times New Roman" w:cs="Times New Roman"/>
          <w:sz w:val="24"/>
          <w:szCs w:val="24"/>
        </w:rPr>
        <w:t xml:space="preserve">   </w:t>
      </w:r>
      <w:r w:rsidR="001A7469">
        <w:rPr>
          <w:rFonts w:ascii="Times New Roman" w:hAnsi="Times New Roman" w:cs="Times New Roman"/>
          <w:sz w:val="24"/>
          <w:szCs w:val="24"/>
        </w:rPr>
        <w:t xml:space="preserve">                            </w:t>
      </w:r>
      <w:r w:rsidR="00D73B2B" w:rsidRPr="00615FA9">
        <w:rPr>
          <w:rFonts w:ascii="Arial" w:hAnsi="Arial" w:cs="Arial"/>
          <w:sz w:val="20"/>
          <w:szCs w:val="24"/>
        </w:rPr>
        <w:t>Fig.2</w:t>
      </w:r>
      <w:r w:rsidRPr="00615FA9">
        <w:rPr>
          <w:rFonts w:ascii="Arial" w:hAnsi="Arial" w:cs="Arial"/>
          <w:sz w:val="20"/>
          <w:szCs w:val="24"/>
        </w:rPr>
        <w:t>. Soil reaction (</w:t>
      </w:r>
      <w:r w:rsidR="00D73B2B" w:rsidRPr="00615FA9">
        <w:rPr>
          <w:rFonts w:ascii="Arial" w:hAnsi="Arial" w:cs="Arial"/>
          <w:sz w:val="20"/>
          <w:szCs w:val="24"/>
        </w:rPr>
        <w:t>pH</w:t>
      </w:r>
      <w:r w:rsidRPr="00615FA9">
        <w:rPr>
          <w:rFonts w:ascii="Arial" w:hAnsi="Arial" w:cs="Arial"/>
          <w:sz w:val="20"/>
          <w:szCs w:val="24"/>
        </w:rPr>
        <w:t>)</w:t>
      </w:r>
      <w:r w:rsidR="00D73B2B" w:rsidRPr="00615FA9">
        <w:rPr>
          <w:rFonts w:ascii="Arial" w:hAnsi="Arial" w:cs="Arial"/>
          <w:sz w:val="20"/>
          <w:szCs w:val="24"/>
        </w:rPr>
        <w:t xml:space="preserve">    </w:t>
      </w:r>
    </w:p>
    <w:p w14:paraId="3FEDBDAE" w14:textId="77777777" w:rsidR="008337D8" w:rsidRDefault="00D73B2B" w:rsidP="00D73B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E9291A2" w14:textId="77777777" w:rsidR="00642E77" w:rsidRDefault="00D73B2B" w:rsidP="00642E77">
      <w:pPr>
        <w:autoSpaceDE w:val="0"/>
        <w:autoSpaceDN w:val="0"/>
        <w:adjustRightInd w:val="0"/>
        <w:spacing w:after="0" w:line="240" w:lineRule="auto"/>
        <w:ind w:left="851" w:hanging="851"/>
        <w:jc w:val="center"/>
        <w:rPr>
          <w:rFonts w:ascii="Times New Roman" w:hAnsi="Times New Roman" w:cs="Times New Roman"/>
          <w:sz w:val="24"/>
          <w:szCs w:val="24"/>
        </w:rPr>
      </w:pPr>
      <w:r w:rsidRPr="00D73B2B">
        <w:rPr>
          <w:rFonts w:ascii="Times New Roman" w:hAnsi="Times New Roman" w:cs="Times New Roman"/>
          <w:noProof/>
          <w:sz w:val="24"/>
          <w:szCs w:val="24"/>
        </w:rPr>
        <w:lastRenderedPageBreak/>
        <w:drawing>
          <wp:inline distT="0" distB="0" distL="0" distR="0" wp14:anchorId="58067D50" wp14:editId="0C025E2D">
            <wp:extent cx="7572375" cy="5353931"/>
            <wp:effectExtent l="19050" t="0" r="9525" b="0"/>
            <wp:docPr id="4" name="Picture 2" descr="C:\Users\User\Desktop\Barpeta Macro &amp; Micro nutrient mapping jpg\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arpeta Macro &amp; Micro nutrient mapping jpg\OC.jpg"/>
                    <pic:cNvPicPr>
                      <a:picLocks noChangeAspect="1" noChangeArrowheads="1"/>
                    </pic:cNvPicPr>
                  </pic:nvPicPr>
                  <pic:blipFill>
                    <a:blip r:embed="rId16" cstate="print"/>
                    <a:srcRect/>
                    <a:stretch>
                      <a:fillRect/>
                    </a:stretch>
                  </pic:blipFill>
                  <pic:spPr bwMode="auto">
                    <a:xfrm>
                      <a:off x="0" y="0"/>
                      <a:ext cx="7584431" cy="5362455"/>
                    </a:xfrm>
                    <a:prstGeom prst="rect">
                      <a:avLst/>
                    </a:prstGeom>
                    <a:noFill/>
                    <a:ln w="9525">
                      <a:noFill/>
                      <a:miter lim="800000"/>
                      <a:headEnd/>
                      <a:tailEnd/>
                    </a:ln>
                  </pic:spPr>
                </pic:pic>
              </a:graphicData>
            </a:graphic>
          </wp:inline>
        </w:drawing>
      </w:r>
      <w:r w:rsidR="00642E77" w:rsidRPr="00642E77">
        <w:rPr>
          <w:rFonts w:ascii="Times New Roman" w:hAnsi="Times New Roman" w:cs="Times New Roman"/>
          <w:sz w:val="24"/>
          <w:szCs w:val="24"/>
        </w:rPr>
        <w:t xml:space="preserve"> </w:t>
      </w:r>
    </w:p>
    <w:p w14:paraId="77E9AA06" w14:textId="77777777" w:rsidR="00642E77" w:rsidRPr="00615FA9" w:rsidRDefault="00642E77" w:rsidP="00165411">
      <w:pPr>
        <w:tabs>
          <w:tab w:val="left" w:pos="7695"/>
        </w:tabs>
        <w:jc w:val="center"/>
        <w:rPr>
          <w:rFonts w:ascii="Arial" w:hAnsi="Arial" w:cs="Arial"/>
          <w:sz w:val="20"/>
          <w:szCs w:val="24"/>
        </w:rPr>
      </w:pPr>
      <w:r w:rsidRPr="00615FA9">
        <w:rPr>
          <w:rFonts w:ascii="Arial" w:hAnsi="Arial" w:cs="Arial"/>
          <w:sz w:val="20"/>
          <w:szCs w:val="24"/>
        </w:rPr>
        <w:t>Fig. 3. Organic carbon</w:t>
      </w:r>
    </w:p>
    <w:p w14:paraId="5A2C8E88" w14:textId="77777777" w:rsidR="008337D8" w:rsidRDefault="00D73B2B" w:rsidP="00642E77">
      <w:pPr>
        <w:autoSpaceDE w:val="0"/>
        <w:autoSpaceDN w:val="0"/>
        <w:adjustRightInd w:val="0"/>
        <w:spacing w:after="0" w:line="240" w:lineRule="auto"/>
        <w:ind w:left="851" w:hanging="851"/>
        <w:jc w:val="center"/>
        <w:rPr>
          <w:rFonts w:ascii="Times New Roman" w:hAnsi="Times New Roman" w:cs="Times New Roman"/>
          <w:sz w:val="24"/>
          <w:szCs w:val="24"/>
        </w:rPr>
      </w:pPr>
      <w:r w:rsidRPr="00D73B2B">
        <w:rPr>
          <w:rFonts w:ascii="Times New Roman" w:hAnsi="Times New Roman" w:cs="Times New Roman"/>
          <w:noProof/>
          <w:sz w:val="24"/>
          <w:szCs w:val="24"/>
        </w:rPr>
        <w:lastRenderedPageBreak/>
        <w:drawing>
          <wp:inline distT="0" distB="0" distL="0" distR="0" wp14:anchorId="51E39E57" wp14:editId="243E6013">
            <wp:extent cx="7629525" cy="5276645"/>
            <wp:effectExtent l="19050" t="0" r="9525" b="0"/>
            <wp:docPr id="5" name="Picture 3" descr="C:\Users\User\Desktop\Barpeta Macro &amp; Micro nutrient mapping jp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arpeta Macro &amp; Micro nutrient mapping jpg\N.jpg"/>
                    <pic:cNvPicPr>
                      <a:picLocks noChangeAspect="1" noChangeArrowheads="1"/>
                    </pic:cNvPicPr>
                  </pic:nvPicPr>
                  <pic:blipFill>
                    <a:blip r:embed="rId17" cstate="print"/>
                    <a:srcRect/>
                    <a:stretch>
                      <a:fillRect/>
                    </a:stretch>
                  </pic:blipFill>
                  <pic:spPr bwMode="auto">
                    <a:xfrm>
                      <a:off x="0" y="0"/>
                      <a:ext cx="7631461" cy="5277984"/>
                    </a:xfrm>
                    <a:prstGeom prst="rect">
                      <a:avLst/>
                    </a:prstGeom>
                    <a:noFill/>
                    <a:ln w="9525">
                      <a:noFill/>
                      <a:miter lim="800000"/>
                      <a:headEnd/>
                      <a:tailEnd/>
                    </a:ln>
                  </pic:spPr>
                </pic:pic>
              </a:graphicData>
            </a:graphic>
          </wp:inline>
        </w:drawing>
      </w:r>
    </w:p>
    <w:p w14:paraId="7A64D60A" w14:textId="77777777" w:rsidR="00D73B2B" w:rsidRPr="00615FA9" w:rsidRDefault="00D73B2B" w:rsidP="00165411">
      <w:pPr>
        <w:autoSpaceDE w:val="0"/>
        <w:autoSpaceDN w:val="0"/>
        <w:adjustRightInd w:val="0"/>
        <w:spacing w:after="0" w:line="240" w:lineRule="auto"/>
        <w:jc w:val="center"/>
        <w:rPr>
          <w:rFonts w:ascii="Arial" w:hAnsi="Arial" w:cs="Arial"/>
          <w:sz w:val="20"/>
          <w:szCs w:val="24"/>
        </w:rPr>
      </w:pPr>
      <w:r w:rsidRPr="00615FA9">
        <w:rPr>
          <w:rFonts w:ascii="Arial" w:hAnsi="Arial" w:cs="Arial"/>
          <w:sz w:val="20"/>
          <w:szCs w:val="24"/>
        </w:rPr>
        <w:t>Fig. 4. Available nitrogen</w:t>
      </w:r>
    </w:p>
    <w:p w14:paraId="09742749" w14:textId="77777777" w:rsidR="00165411" w:rsidRDefault="00A37E7A" w:rsidP="00165411">
      <w:pPr>
        <w:autoSpaceDE w:val="0"/>
        <w:autoSpaceDN w:val="0"/>
        <w:adjustRightInd w:val="0"/>
        <w:spacing w:after="0"/>
        <w:ind w:left="851" w:hanging="851"/>
        <w:jc w:val="center"/>
        <w:rPr>
          <w:rFonts w:ascii="Times New Roman" w:hAnsi="Times New Roman" w:cs="Times New Roman"/>
          <w:sz w:val="24"/>
          <w:szCs w:val="24"/>
        </w:rPr>
      </w:pPr>
      <w:r w:rsidRPr="00A37E7A">
        <w:rPr>
          <w:rFonts w:ascii="Times New Roman" w:hAnsi="Times New Roman" w:cs="Times New Roman"/>
          <w:noProof/>
          <w:sz w:val="24"/>
          <w:szCs w:val="24"/>
        </w:rPr>
        <w:lastRenderedPageBreak/>
        <w:drawing>
          <wp:inline distT="0" distB="0" distL="0" distR="0" wp14:anchorId="07F88509" wp14:editId="64144C5C">
            <wp:extent cx="7382522" cy="5219700"/>
            <wp:effectExtent l="19050" t="0" r="8878" b="0"/>
            <wp:docPr id="6" name="Picture 4" descr="C:\Users\User\Desktop\Barpeta Macro &amp; Micro nutrient mapping jp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arpeta Macro &amp; Micro nutrient mapping jpg\P.jpg"/>
                    <pic:cNvPicPr>
                      <a:picLocks noChangeAspect="1" noChangeArrowheads="1"/>
                    </pic:cNvPicPr>
                  </pic:nvPicPr>
                  <pic:blipFill>
                    <a:blip r:embed="rId18" cstate="print"/>
                    <a:srcRect/>
                    <a:stretch>
                      <a:fillRect/>
                    </a:stretch>
                  </pic:blipFill>
                  <pic:spPr bwMode="auto">
                    <a:xfrm>
                      <a:off x="0" y="0"/>
                      <a:ext cx="7410258" cy="5239310"/>
                    </a:xfrm>
                    <a:prstGeom prst="rect">
                      <a:avLst/>
                    </a:prstGeom>
                    <a:noFill/>
                    <a:ln w="9525">
                      <a:noFill/>
                      <a:miter lim="800000"/>
                      <a:headEnd/>
                      <a:tailEnd/>
                    </a:ln>
                  </pic:spPr>
                </pic:pic>
              </a:graphicData>
            </a:graphic>
          </wp:inline>
        </w:drawing>
      </w:r>
    </w:p>
    <w:p w14:paraId="4813D37E" w14:textId="77777777" w:rsidR="00165411" w:rsidRPr="00DB7912" w:rsidRDefault="00165411" w:rsidP="00165411">
      <w:pPr>
        <w:tabs>
          <w:tab w:val="left" w:pos="6450"/>
        </w:tabs>
        <w:rPr>
          <w:rFonts w:ascii="Arial" w:hAnsi="Arial" w:cs="Arial"/>
          <w:sz w:val="24"/>
          <w:szCs w:val="24"/>
        </w:rPr>
      </w:pPr>
      <w:r>
        <w:rPr>
          <w:rFonts w:ascii="Times New Roman" w:hAnsi="Times New Roman" w:cs="Times New Roman"/>
          <w:sz w:val="24"/>
          <w:szCs w:val="24"/>
        </w:rPr>
        <w:tab/>
      </w:r>
      <w:r w:rsidRPr="00DB7912">
        <w:rPr>
          <w:rFonts w:ascii="Arial" w:hAnsi="Arial" w:cs="Arial"/>
          <w:sz w:val="20"/>
          <w:szCs w:val="24"/>
        </w:rPr>
        <w:t xml:space="preserve">Fig. 5. Available phosphorus                                    </w:t>
      </w:r>
      <w:r w:rsidRPr="00DB7912">
        <w:rPr>
          <w:rFonts w:ascii="Arial" w:hAnsi="Arial" w:cs="Arial"/>
          <w:sz w:val="24"/>
          <w:szCs w:val="24"/>
        </w:rPr>
        <w:t xml:space="preserve">                     </w:t>
      </w:r>
    </w:p>
    <w:p w14:paraId="3BA5568D" w14:textId="77777777" w:rsidR="008337D8" w:rsidRDefault="00A37E7A" w:rsidP="00165411">
      <w:pPr>
        <w:tabs>
          <w:tab w:val="left" w:pos="8790"/>
        </w:tabs>
        <w:jc w:val="center"/>
        <w:rPr>
          <w:rFonts w:ascii="Times New Roman" w:hAnsi="Times New Roman" w:cs="Times New Roman"/>
          <w:sz w:val="24"/>
          <w:szCs w:val="24"/>
        </w:rPr>
      </w:pPr>
      <w:r w:rsidRPr="00A37E7A">
        <w:rPr>
          <w:rFonts w:ascii="Times New Roman" w:hAnsi="Times New Roman" w:cs="Times New Roman"/>
          <w:noProof/>
          <w:sz w:val="24"/>
          <w:szCs w:val="24"/>
        </w:rPr>
        <w:lastRenderedPageBreak/>
        <w:drawing>
          <wp:inline distT="0" distB="0" distL="0" distR="0" wp14:anchorId="79C2580F" wp14:editId="2FB93435">
            <wp:extent cx="7458075" cy="5273115"/>
            <wp:effectExtent l="19050" t="0" r="0" b="0"/>
            <wp:docPr id="7" name="Picture 5" descr="C:\Users\User\Desktop\Barpeta Macro &amp; Micro nutrient mapping jp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arpeta Macro &amp; Micro nutrient mapping jpg\K.jpg"/>
                    <pic:cNvPicPr>
                      <a:picLocks noChangeAspect="1" noChangeArrowheads="1"/>
                    </pic:cNvPicPr>
                  </pic:nvPicPr>
                  <pic:blipFill>
                    <a:blip r:embed="rId19" cstate="print"/>
                    <a:srcRect/>
                    <a:stretch>
                      <a:fillRect/>
                    </a:stretch>
                  </pic:blipFill>
                  <pic:spPr bwMode="auto">
                    <a:xfrm>
                      <a:off x="0" y="0"/>
                      <a:ext cx="7482486" cy="5290375"/>
                    </a:xfrm>
                    <a:prstGeom prst="rect">
                      <a:avLst/>
                    </a:prstGeom>
                    <a:noFill/>
                    <a:ln w="9525">
                      <a:noFill/>
                      <a:miter lim="800000"/>
                      <a:headEnd/>
                      <a:tailEnd/>
                    </a:ln>
                  </pic:spPr>
                </pic:pic>
              </a:graphicData>
            </a:graphic>
          </wp:inline>
        </w:drawing>
      </w:r>
    </w:p>
    <w:p w14:paraId="50F62787" w14:textId="77777777" w:rsidR="00A37E7A" w:rsidRPr="00DB7912" w:rsidRDefault="00A37E7A" w:rsidP="00165411">
      <w:pPr>
        <w:autoSpaceDE w:val="0"/>
        <w:autoSpaceDN w:val="0"/>
        <w:adjustRightInd w:val="0"/>
        <w:spacing w:after="0"/>
        <w:ind w:left="851" w:hanging="851"/>
        <w:jc w:val="center"/>
        <w:rPr>
          <w:rFonts w:ascii="Arial" w:hAnsi="Arial" w:cs="Arial"/>
          <w:sz w:val="20"/>
          <w:szCs w:val="24"/>
        </w:rPr>
      </w:pPr>
      <w:r w:rsidRPr="00DB7912">
        <w:rPr>
          <w:rFonts w:ascii="Arial" w:hAnsi="Arial" w:cs="Arial"/>
          <w:sz w:val="20"/>
          <w:szCs w:val="24"/>
        </w:rPr>
        <w:t>Fig. 6. Available potassium</w:t>
      </w:r>
    </w:p>
    <w:p w14:paraId="0E574AC0" w14:textId="77777777" w:rsidR="00410192" w:rsidRDefault="008D0549" w:rsidP="00410192">
      <w:pPr>
        <w:autoSpaceDE w:val="0"/>
        <w:autoSpaceDN w:val="0"/>
        <w:adjustRightInd w:val="0"/>
        <w:spacing w:after="0"/>
        <w:ind w:left="851" w:hanging="851"/>
        <w:jc w:val="center"/>
        <w:rPr>
          <w:rFonts w:ascii="Times New Roman" w:hAnsi="Times New Roman" w:cs="Times New Roman"/>
          <w:sz w:val="24"/>
          <w:szCs w:val="24"/>
        </w:rPr>
      </w:pPr>
      <w:r w:rsidRPr="008D0549">
        <w:rPr>
          <w:rFonts w:ascii="Times New Roman" w:hAnsi="Times New Roman" w:cs="Times New Roman"/>
          <w:noProof/>
          <w:sz w:val="24"/>
          <w:szCs w:val="24"/>
        </w:rPr>
        <w:lastRenderedPageBreak/>
        <w:drawing>
          <wp:inline distT="0" distB="0" distL="0" distR="0" wp14:anchorId="6F14995C" wp14:editId="044C62E6">
            <wp:extent cx="7581900" cy="5360661"/>
            <wp:effectExtent l="19050" t="0" r="0" b="0"/>
            <wp:docPr id="8" name="Picture 6" descr="C:\Users\User\Desktop\Barpeta Macro &amp; Micro nutrient mapping jpg\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arpeta Macro &amp; Micro nutrient mapping jpg\Fe.jpg"/>
                    <pic:cNvPicPr>
                      <a:picLocks noChangeAspect="1" noChangeArrowheads="1"/>
                    </pic:cNvPicPr>
                  </pic:nvPicPr>
                  <pic:blipFill>
                    <a:blip r:embed="rId20" cstate="print"/>
                    <a:srcRect/>
                    <a:stretch>
                      <a:fillRect/>
                    </a:stretch>
                  </pic:blipFill>
                  <pic:spPr bwMode="auto">
                    <a:xfrm>
                      <a:off x="0" y="0"/>
                      <a:ext cx="7596825" cy="5371213"/>
                    </a:xfrm>
                    <a:prstGeom prst="rect">
                      <a:avLst/>
                    </a:prstGeom>
                    <a:noFill/>
                    <a:ln w="9525">
                      <a:noFill/>
                      <a:miter lim="800000"/>
                      <a:headEnd/>
                      <a:tailEnd/>
                    </a:ln>
                  </pic:spPr>
                </pic:pic>
              </a:graphicData>
            </a:graphic>
          </wp:inline>
        </w:drawing>
      </w:r>
    </w:p>
    <w:p w14:paraId="45DB6005" w14:textId="77777777" w:rsidR="00410192" w:rsidRPr="00DB7912" w:rsidRDefault="00410192" w:rsidP="00410192">
      <w:pPr>
        <w:tabs>
          <w:tab w:val="left" w:pos="9390"/>
        </w:tabs>
        <w:jc w:val="center"/>
        <w:rPr>
          <w:rFonts w:ascii="Arial" w:hAnsi="Arial" w:cs="Arial"/>
          <w:sz w:val="20"/>
          <w:szCs w:val="24"/>
        </w:rPr>
      </w:pPr>
      <w:r w:rsidRPr="00DB7912">
        <w:rPr>
          <w:rFonts w:ascii="Arial" w:hAnsi="Arial" w:cs="Arial"/>
          <w:sz w:val="20"/>
          <w:szCs w:val="24"/>
        </w:rPr>
        <w:t>Fig. 7. Available iron</w:t>
      </w:r>
    </w:p>
    <w:p w14:paraId="0BFF8978" w14:textId="77777777" w:rsidR="00A37E7A" w:rsidRDefault="008D0549" w:rsidP="00410192">
      <w:pPr>
        <w:autoSpaceDE w:val="0"/>
        <w:autoSpaceDN w:val="0"/>
        <w:adjustRightInd w:val="0"/>
        <w:spacing w:after="0"/>
        <w:ind w:left="851" w:hanging="851"/>
        <w:jc w:val="center"/>
        <w:rPr>
          <w:rFonts w:ascii="Times New Roman" w:hAnsi="Times New Roman" w:cs="Times New Roman"/>
          <w:sz w:val="24"/>
          <w:szCs w:val="24"/>
        </w:rPr>
      </w:pPr>
      <w:r w:rsidRPr="008D0549">
        <w:rPr>
          <w:rFonts w:ascii="Times New Roman" w:hAnsi="Times New Roman" w:cs="Times New Roman"/>
          <w:noProof/>
          <w:sz w:val="24"/>
          <w:szCs w:val="24"/>
        </w:rPr>
        <w:lastRenderedPageBreak/>
        <w:drawing>
          <wp:inline distT="0" distB="0" distL="0" distR="0" wp14:anchorId="017ACA6E" wp14:editId="5EB48C44">
            <wp:extent cx="7591425" cy="5367399"/>
            <wp:effectExtent l="19050" t="0" r="9525" b="0"/>
            <wp:docPr id="13" name="Picture 7" descr="C:\Users\User\Desktop\Barpeta Macro &amp; Micro nutrient mapping jpg\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arpeta Macro &amp; Micro nutrient mapping jpg\Mn.jpg"/>
                    <pic:cNvPicPr>
                      <a:picLocks noChangeAspect="1" noChangeArrowheads="1"/>
                    </pic:cNvPicPr>
                  </pic:nvPicPr>
                  <pic:blipFill>
                    <a:blip r:embed="rId21" cstate="print"/>
                    <a:srcRect/>
                    <a:stretch>
                      <a:fillRect/>
                    </a:stretch>
                  </pic:blipFill>
                  <pic:spPr bwMode="auto">
                    <a:xfrm>
                      <a:off x="0" y="0"/>
                      <a:ext cx="7616568" cy="5385176"/>
                    </a:xfrm>
                    <a:prstGeom prst="rect">
                      <a:avLst/>
                    </a:prstGeom>
                    <a:noFill/>
                    <a:ln w="9525">
                      <a:noFill/>
                      <a:miter lim="800000"/>
                      <a:headEnd/>
                      <a:tailEnd/>
                    </a:ln>
                  </pic:spPr>
                </pic:pic>
              </a:graphicData>
            </a:graphic>
          </wp:inline>
        </w:drawing>
      </w:r>
    </w:p>
    <w:p w14:paraId="6549786A" w14:textId="77777777" w:rsidR="008D0549" w:rsidRPr="00DB7912" w:rsidRDefault="008D0549" w:rsidP="00A37E7A">
      <w:pPr>
        <w:autoSpaceDE w:val="0"/>
        <w:autoSpaceDN w:val="0"/>
        <w:adjustRightInd w:val="0"/>
        <w:spacing w:after="0"/>
        <w:ind w:left="851" w:hanging="851"/>
        <w:jc w:val="both"/>
        <w:rPr>
          <w:rFonts w:ascii="Arial" w:hAnsi="Arial" w:cs="Arial"/>
          <w:sz w:val="20"/>
          <w:szCs w:val="24"/>
        </w:rPr>
      </w:pPr>
      <w:r w:rsidRPr="00DB7912">
        <w:rPr>
          <w:rFonts w:ascii="Arial" w:hAnsi="Arial" w:cs="Arial"/>
          <w:sz w:val="20"/>
          <w:szCs w:val="24"/>
        </w:rPr>
        <w:t xml:space="preserve">                             </w:t>
      </w:r>
      <w:r w:rsidR="00410192" w:rsidRPr="00DB7912">
        <w:rPr>
          <w:rFonts w:ascii="Arial" w:hAnsi="Arial" w:cs="Arial"/>
          <w:sz w:val="20"/>
          <w:szCs w:val="24"/>
        </w:rPr>
        <w:t xml:space="preserve">                                                               </w:t>
      </w:r>
      <w:r w:rsidRPr="00DB7912">
        <w:rPr>
          <w:rFonts w:ascii="Arial" w:hAnsi="Arial" w:cs="Arial"/>
          <w:sz w:val="20"/>
          <w:szCs w:val="24"/>
        </w:rPr>
        <w:t xml:space="preserve"> Fig. 8. Available manganese                                                                                                                                  </w:t>
      </w:r>
    </w:p>
    <w:p w14:paraId="4E9D60B6" w14:textId="77777777" w:rsidR="0059111C" w:rsidRDefault="00BB0320" w:rsidP="0059111C">
      <w:pPr>
        <w:autoSpaceDE w:val="0"/>
        <w:autoSpaceDN w:val="0"/>
        <w:adjustRightInd w:val="0"/>
        <w:spacing w:after="0"/>
        <w:ind w:left="851" w:hanging="851"/>
        <w:jc w:val="center"/>
        <w:rPr>
          <w:rFonts w:ascii="Times New Roman" w:hAnsi="Times New Roman" w:cs="Times New Roman"/>
          <w:sz w:val="24"/>
          <w:szCs w:val="24"/>
        </w:rPr>
      </w:pPr>
      <w:r w:rsidRPr="00BB0320">
        <w:rPr>
          <w:rFonts w:ascii="Times New Roman" w:hAnsi="Times New Roman" w:cs="Times New Roman"/>
          <w:noProof/>
          <w:sz w:val="24"/>
          <w:szCs w:val="24"/>
        </w:rPr>
        <w:lastRenderedPageBreak/>
        <w:drawing>
          <wp:inline distT="0" distB="0" distL="0" distR="0" wp14:anchorId="4F75F049" wp14:editId="7A8FEED1">
            <wp:extent cx="7562850" cy="5347200"/>
            <wp:effectExtent l="19050" t="0" r="0" b="0"/>
            <wp:docPr id="10" name="Picture 8" descr="C:\Users\User\Desktop\Barpeta Macro &amp; Micro nutrient mapping jpg\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arpeta Macro &amp; Micro nutrient mapping jpg\Cu.jpg"/>
                    <pic:cNvPicPr>
                      <a:picLocks noChangeAspect="1" noChangeArrowheads="1"/>
                    </pic:cNvPicPr>
                  </pic:nvPicPr>
                  <pic:blipFill>
                    <a:blip r:embed="rId22" cstate="print"/>
                    <a:srcRect/>
                    <a:stretch>
                      <a:fillRect/>
                    </a:stretch>
                  </pic:blipFill>
                  <pic:spPr bwMode="auto">
                    <a:xfrm>
                      <a:off x="0" y="0"/>
                      <a:ext cx="7584257" cy="5362336"/>
                    </a:xfrm>
                    <a:prstGeom prst="rect">
                      <a:avLst/>
                    </a:prstGeom>
                    <a:noFill/>
                    <a:ln w="9525">
                      <a:noFill/>
                      <a:miter lim="800000"/>
                      <a:headEnd/>
                      <a:tailEnd/>
                    </a:ln>
                  </pic:spPr>
                </pic:pic>
              </a:graphicData>
            </a:graphic>
          </wp:inline>
        </w:drawing>
      </w:r>
    </w:p>
    <w:p w14:paraId="0693F6AB" w14:textId="77777777" w:rsidR="0059111C" w:rsidRPr="00DB7912" w:rsidRDefault="0059111C" w:rsidP="0059111C">
      <w:pPr>
        <w:tabs>
          <w:tab w:val="left" w:pos="5685"/>
        </w:tabs>
        <w:rPr>
          <w:rFonts w:ascii="Arial" w:hAnsi="Arial" w:cs="Arial"/>
          <w:sz w:val="24"/>
          <w:szCs w:val="24"/>
        </w:rPr>
      </w:pPr>
      <w:r>
        <w:rPr>
          <w:rFonts w:ascii="Times New Roman" w:hAnsi="Times New Roman" w:cs="Times New Roman"/>
          <w:sz w:val="24"/>
          <w:szCs w:val="24"/>
        </w:rPr>
        <w:tab/>
      </w:r>
      <w:r w:rsidRPr="00DB7912">
        <w:rPr>
          <w:rFonts w:ascii="Arial" w:hAnsi="Arial" w:cs="Arial"/>
          <w:sz w:val="20"/>
          <w:szCs w:val="24"/>
        </w:rPr>
        <w:t xml:space="preserve">Fig. 9. Available copper                                                        </w:t>
      </w:r>
    </w:p>
    <w:p w14:paraId="756ABBB6" w14:textId="77777777" w:rsidR="008337D8" w:rsidRDefault="00BB0320" w:rsidP="0059111C">
      <w:pPr>
        <w:autoSpaceDE w:val="0"/>
        <w:autoSpaceDN w:val="0"/>
        <w:adjustRightInd w:val="0"/>
        <w:spacing w:after="0"/>
        <w:ind w:left="851" w:hanging="851"/>
        <w:jc w:val="center"/>
        <w:rPr>
          <w:rFonts w:ascii="Times New Roman" w:hAnsi="Times New Roman" w:cs="Times New Roman"/>
          <w:sz w:val="24"/>
          <w:szCs w:val="24"/>
        </w:rPr>
      </w:pPr>
      <w:r w:rsidRPr="00BB0320">
        <w:rPr>
          <w:rFonts w:ascii="Times New Roman" w:hAnsi="Times New Roman" w:cs="Times New Roman"/>
          <w:noProof/>
          <w:sz w:val="24"/>
          <w:szCs w:val="24"/>
        </w:rPr>
        <w:lastRenderedPageBreak/>
        <w:drawing>
          <wp:inline distT="0" distB="0" distL="0" distR="0" wp14:anchorId="7EC9C102" wp14:editId="1CFE57F3">
            <wp:extent cx="7734300" cy="5468422"/>
            <wp:effectExtent l="19050" t="0" r="0" b="0"/>
            <wp:docPr id="12" name="Picture 9" descr="C:\Users\User\Desktop\Barpeta Macro &amp; Micro nutrient mapping jpg\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Barpeta Macro &amp; Micro nutrient mapping jpg\Zn.jpg"/>
                    <pic:cNvPicPr>
                      <a:picLocks noChangeAspect="1" noChangeArrowheads="1"/>
                    </pic:cNvPicPr>
                  </pic:nvPicPr>
                  <pic:blipFill>
                    <a:blip r:embed="rId23" cstate="print"/>
                    <a:srcRect/>
                    <a:stretch>
                      <a:fillRect/>
                    </a:stretch>
                  </pic:blipFill>
                  <pic:spPr bwMode="auto">
                    <a:xfrm>
                      <a:off x="0" y="0"/>
                      <a:ext cx="7760338" cy="5486832"/>
                    </a:xfrm>
                    <a:prstGeom prst="rect">
                      <a:avLst/>
                    </a:prstGeom>
                    <a:noFill/>
                    <a:ln w="9525">
                      <a:noFill/>
                      <a:miter lim="800000"/>
                      <a:headEnd/>
                      <a:tailEnd/>
                    </a:ln>
                  </pic:spPr>
                </pic:pic>
              </a:graphicData>
            </a:graphic>
          </wp:inline>
        </w:drawing>
      </w:r>
    </w:p>
    <w:p w14:paraId="1AB01ACC" w14:textId="77777777" w:rsidR="008337D8" w:rsidRPr="00DB7912" w:rsidRDefault="000F58B7" w:rsidP="0059111C">
      <w:pPr>
        <w:autoSpaceDE w:val="0"/>
        <w:autoSpaceDN w:val="0"/>
        <w:adjustRightInd w:val="0"/>
        <w:spacing w:after="0"/>
        <w:ind w:left="851" w:hanging="851"/>
        <w:jc w:val="center"/>
        <w:rPr>
          <w:rFonts w:ascii="Arial" w:hAnsi="Arial" w:cs="Arial"/>
          <w:sz w:val="20"/>
          <w:szCs w:val="24"/>
        </w:rPr>
      </w:pPr>
      <w:r w:rsidRPr="00DB7912">
        <w:rPr>
          <w:rFonts w:ascii="Arial" w:hAnsi="Arial" w:cs="Arial"/>
          <w:sz w:val="20"/>
          <w:szCs w:val="24"/>
        </w:rPr>
        <w:t>Fig. 10. Available zinc</w:t>
      </w:r>
    </w:p>
    <w:p w14:paraId="7100CA51" w14:textId="77777777" w:rsidR="008B3A71" w:rsidRDefault="008B3A71" w:rsidP="00CF6887">
      <w:pPr>
        <w:autoSpaceDE w:val="0"/>
        <w:autoSpaceDN w:val="0"/>
        <w:adjustRightInd w:val="0"/>
        <w:spacing w:after="0"/>
        <w:ind w:left="851" w:hanging="851"/>
        <w:jc w:val="center"/>
        <w:rPr>
          <w:rFonts w:ascii="Times New Roman" w:hAnsi="Times New Roman" w:cs="Times New Roman"/>
          <w:sz w:val="24"/>
          <w:szCs w:val="24"/>
        </w:rPr>
        <w:sectPr w:rsidR="008B3A71" w:rsidSect="00A80B5A">
          <w:pgSz w:w="16838" w:h="11906" w:orient="landscape"/>
          <w:pgMar w:top="1440" w:right="1440" w:bottom="1440" w:left="1440" w:header="709" w:footer="709" w:gutter="0"/>
          <w:cols w:space="708"/>
          <w:docGrid w:linePitch="360"/>
        </w:sectPr>
      </w:pPr>
    </w:p>
    <w:p w14:paraId="465E66D5" w14:textId="77777777" w:rsidR="008B3A71" w:rsidRPr="00DB7912" w:rsidRDefault="008B3A71" w:rsidP="008B3A71">
      <w:pPr>
        <w:spacing w:after="0" w:line="240" w:lineRule="auto"/>
        <w:jc w:val="both"/>
        <w:rPr>
          <w:rFonts w:ascii="Arial" w:hAnsi="Arial" w:cs="Arial"/>
          <w:sz w:val="20"/>
          <w:szCs w:val="18"/>
        </w:rPr>
      </w:pPr>
      <w:r w:rsidRPr="00DB7912">
        <w:rPr>
          <w:rFonts w:ascii="Arial" w:hAnsi="Arial" w:cs="Arial"/>
          <w:sz w:val="20"/>
          <w:szCs w:val="18"/>
        </w:rPr>
        <w:lastRenderedPageBreak/>
        <w:t xml:space="preserve">Table 2. Proposed nutrient plan for </w:t>
      </w:r>
      <w:proofErr w:type="spellStart"/>
      <w:r w:rsidRPr="00DB7912">
        <w:rPr>
          <w:rFonts w:ascii="Arial" w:hAnsi="Arial" w:cs="Arial"/>
          <w:sz w:val="20"/>
          <w:szCs w:val="18"/>
        </w:rPr>
        <w:t>Barpeta</w:t>
      </w:r>
      <w:proofErr w:type="spellEnd"/>
      <w:r w:rsidRPr="00DB7912">
        <w:rPr>
          <w:rFonts w:ascii="Arial" w:hAnsi="Arial" w:cs="Arial"/>
          <w:sz w:val="20"/>
          <w:szCs w:val="18"/>
        </w:rPr>
        <w:t xml:space="preserve"> district</w:t>
      </w:r>
    </w:p>
    <w:tbl>
      <w:tblPr>
        <w:tblStyle w:val="TableGrid"/>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857"/>
        <w:gridCol w:w="4111"/>
      </w:tblGrid>
      <w:tr w:rsidR="008B3A71" w:rsidRPr="00DB7912" w14:paraId="13A9697C" w14:textId="77777777" w:rsidTr="001D427F">
        <w:tc>
          <w:tcPr>
            <w:tcW w:w="2921" w:type="dxa"/>
          </w:tcPr>
          <w:p w14:paraId="2E9BD850" w14:textId="77777777" w:rsidR="008B3A71" w:rsidRPr="00DB7912" w:rsidRDefault="008B3A71" w:rsidP="00B33DCC">
            <w:pPr>
              <w:jc w:val="center"/>
              <w:rPr>
                <w:rFonts w:ascii="Arial" w:hAnsi="Arial" w:cs="Arial"/>
                <w:sz w:val="20"/>
                <w:szCs w:val="24"/>
              </w:rPr>
            </w:pPr>
            <w:r w:rsidRPr="00DB7912">
              <w:rPr>
                <w:rFonts w:ascii="Arial" w:hAnsi="Arial" w:cs="Arial"/>
                <w:sz w:val="20"/>
                <w:szCs w:val="24"/>
              </w:rPr>
              <w:t>Strategies</w:t>
            </w:r>
          </w:p>
        </w:tc>
        <w:tc>
          <w:tcPr>
            <w:tcW w:w="2857" w:type="dxa"/>
          </w:tcPr>
          <w:p w14:paraId="2BC65439" w14:textId="77777777" w:rsidR="008B3A71" w:rsidRPr="00DB7912" w:rsidRDefault="008B3A71" w:rsidP="00B33DCC">
            <w:pPr>
              <w:jc w:val="center"/>
              <w:rPr>
                <w:rFonts w:ascii="Arial" w:hAnsi="Arial" w:cs="Arial"/>
                <w:sz w:val="20"/>
                <w:szCs w:val="24"/>
              </w:rPr>
            </w:pPr>
            <w:proofErr w:type="gramStart"/>
            <w:r w:rsidRPr="00DB7912">
              <w:rPr>
                <w:rFonts w:ascii="Arial" w:hAnsi="Arial" w:cs="Arial"/>
                <w:sz w:val="20"/>
                <w:szCs w:val="24"/>
              </w:rPr>
              <w:t>Revenue  circle</w:t>
            </w:r>
            <w:proofErr w:type="gramEnd"/>
            <w:r w:rsidRPr="00DB7912">
              <w:rPr>
                <w:rFonts w:ascii="Arial" w:hAnsi="Arial" w:cs="Arial"/>
                <w:sz w:val="20"/>
                <w:szCs w:val="24"/>
              </w:rPr>
              <w:t>/Tehsil</w:t>
            </w:r>
          </w:p>
        </w:tc>
        <w:tc>
          <w:tcPr>
            <w:tcW w:w="4111" w:type="dxa"/>
          </w:tcPr>
          <w:p w14:paraId="7299DC68" w14:textId="77777777" w:rsidR="008B3A71" w:rsidRPr="00DB7912" w:rsidRDefault="008B3A71" w:rsidP="00B33DCC">
            <w:pPr>
              <w:jc w:val="center"/>
              <w:rPr>
                <w:rFonts w:ascii="Arial" w:hAnsi="Arial" w:cs="Arial"/>
                <w:sz w:val="20"/>
                <w:szCs w:val="24"/>
              </w:rPr>
            </w:pPr>
            <w:r w:rsidRPr="00DB7912">
              <w:rPr>
                <w:rFonts w:ascii="Arial" w:hAnsi="Arial" w:cs="Arial"/>
                <w:sz w:val="20"/>
                <w:szCs w:val="24"/>
              </w:rPr>
              <w:t>Remedial measures</w:t>
            </w:r>
          </w:p>
        </w:tc>
      </w:tr>
      <w:tr w:rsidR="008B3A71" w:rsidRPr="00DB7912" w14:paraId="5FAE713D" w14:textId="77777777" w:rsidTr="001D427F">
        <w:trPr>
          <w:trHeight w:val="2770"/>
        </w:trPr>
        <w:tc>
          <w:tcPr>
            <w:tcW w:w="2921" w:type="dxa"/>
          </w:tcPr>
          <w:p w14:paraId="65407C82" w14:textId="77777777" w:rsidR="008B3A71" w:rsidRPr="00DB7912" w:rsidRDefault="008B3A71" w:rsidP="00B33DCC">
            <w:pPr>
              <w:jc w:val="both"/>
              <w:rPr>
                <w:rFonts w:ascii="Arial" w:hAnsi="Arial" w:cs="Arial"/>
                <w:sz w:val="20"/>
                <w:szCs w:val="24"/>
              </w:rPr>
            </w:pPr>
            <w:r w:rsidRPr="00DB7912">
              <w:rPr>
                <w:rFonts w:ascii="Arial" w:hAnsi="Arial" w:cs="Arial"/>
                <w:bCs/>
                <w:sz w:val="20"/>
                <w:szCs w:val="24"/>
              </w:rPr>
              <w:t>Soil amendment</w:t>
            </w:r>
          </w:p>
          <w:p w14:paraId="75F5657C"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Acidity</w:t>
            </w:r>
          </w:p>
        </w:tc>
        <w:tc>
          <w:tcPr>
            <w:tcW w:w="2857" w:type="dxa"/>
          </w:tcPr>
          <w:p w14:paraId="62433337"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 xml:space="preserve">Whole district except Kalgachia and Baghbor </w:t>
            </w:r>
            <w:r w:rsidR="005F0F35" w:rsidRPr="00DB7912">
              <w:rPr>
                <w:rFonts w:ascii="Arial" w:hAnsi="Arial" w:cs="Arial"/>
                <w:sz w:val="20"/>
                <w:szCs w:val="24"/>
              </w:rPr>
              <w:t>revenue circle</w:t>
            </w:r>
            <w:r w:rsidRPr="00DB7912">
              <w:rPr>
                <w:rFonts w:ascii="Arial" w:hAnsi="Arial" w:cs="Arial"/>
                <w:sz w:val="20"/>
                <w:szCs w:val="24"/>
              </w:rPr>
              <w:t>.</w:t>
            </w:r>
          </w:p>
        </w:tc>
        <w:tc>
          <w:tcPr>
            <w:tcW w:w="4111" w:type="dxa"/>
          </w:tcPr>
          <w:p w14:paraId="4710B7D8" w14:textId="77777777" w:rsidR="008B3A71" w:rsidRPr="00DB7912" w:rsidRDefault="005F0F35" w:rsidP="00B33DCC">
            <w:pPr>
              <w:autoSpaceDE w:val="0"/>
              <w:autoSpaceDN w:val="0"/>
              <w:adjustRightInd w:val="0"/>
              <w:jc w:val="both"/>
              <w:rPr>
                <w:rFonts w:ascii="Arial" w:hAnsi="Arial" w:cs="Arial"/>
                <w:sz w:val="20"/>
                <w:szCs w:val="24"/>
              </w:rPr>
            </w:pPr>
            <w:r w:rsidRPr="00DB7912">
              <w:rPr>
                <w:rFonts w:ascii="Arial" w:hAnsi="Arial" w:cs="Arial"/>
                <w:bCs/>
                <w:sz w:val="20"/>
                <w:szCs w:val="24"/>
              </w:rPr>
              <w:t xml:space="preserve">Calcium carbonate @ 4 t </w:t>
            </w:r>
            <w:r w:rsidR="008B3A71" w:rsidRPr="00DB7912">
              <w:rPr>
                <w:rFonts w:ascii="Arial" w:hAnsi="Arial" w:cs="Arial"/>
                <w:bCs/>
                <w:sz w:val="20"/>
                <w:szCs w:val="24"/>
              </w:rPr>
              <w:t>ha</w:t>
            </w:r>
            <w:r w:rsidRPr="00DB7912">
              <w:rPr>
                <w:rFonts w:ascii="Arial" w:hAnsi="Arial" w:cs="Arial"/>
                <w:sz w:val="20"/>
                <w:szCs w:val="24"/>
                <w:vertAlign w:val="superscript"/>
              </w:rPr>
              <w:t>-1</w:t>
            </w:r>
            <w:r w:rsidR="008B3A71" w:rsidRPr="00DB7912">
              <w:rPr>
                <w:rFonts w:ascii="Arial" w:hAnsi="Arial" w:cs="Arial"/>
                <w:bCs/>
                <w:sz w:val="20"/>
                <w:szCs w:val="24"/>
              </w:rPr>
              <w:t xml:space="preserve"> or 5 q/ bigha at every alternate year during land preparation </w:t>
            </w:r>
          </w:p>
          <w:p w14:paraId="6769C4C4" w14:textId="77777777" w:rsidR="008B3A71" w:rsidRPr="00DB7912" w:rsidRDefault="008B3A71" w:rsidP="00B33DCC">
            <w:pPr>
              <w:autoSpaceDE w:val="0"/>
              <w:autoSpaceDN w:val="0"/>
              <w:adjustRightInd w:val="0"/>
              <w:jc w:val="both"/>
              <w:rPr>
                <w:rFonts w:ascii="Arial" w:hAnsi="Arial" w:cs="Arial"/>
                <w:sz w:val="20"/>
                <w:szCs w:val="24"/>
              </w:rPr>
            </w:pPr>
            <w:r w:rsidRPr="00DB7912">
              <w:rPr>
                <w:rFonts w:ascii="Arial" w:hAnsi="Arial" w:cs="Arial"/>
                <w:sz w:val="20"/>
                <w:szCs w:val="24"/>
              </w:rPr>
              <w:t xml:space="preserve">Acid tolerant crops </w:t>
            </w:r>
            <w:r w:rsidRPr="00DB7912">
              <w:rPr>
                <w:rFonts w:ascii="Arial" w:hAnsi="Arial" w:cs="Arial"/>
                <w:i/>
                <w:iCs/>
                <w:sz w:val="20"/>
                <w:szCs w:val="24"/>
              </w:rPr>
              <w:t>viz., rape seed (variety</w:t>
            </w:r>
            <w:r w:rsidR="005F0F35" w:rsidRPr="00DB7912">
              <w:rPr>
                <w:rFonts w:ascii="Arial" w:hAnsi="Arial" w:cs="Arial"/>
                <w:i/>
                <w:iCs/>
                <w:sz w:val="20"/>
                <w:szCs w:val="24"/>
              </w:rPr>
              <w:t xml:space="preserve"> - </w:t>
            </w:r>
            <w:proofErr w:type="spellStart"/>
            <w:r w:rsidR="001D427F" w:rsidRPr="00DB7912">
              <w:rPr>
                <w:rFonts w:ascii="Arial" w:hAnsi="Arial" w:cs="Arial"/>
                <w:i/>
                <w:iCs/>
                <w:sz w:val="20"/>
                <w:szCs w:val="24"/>
              </w:rPr>
              <w:t>varuna</w:t>
            </w:r>
            <w:proofErr w:type="spellEnd"/>
            <w:r w:rsidR="001D427F" w:rsidRPr="00DB7912">
              <w:rPr>
                <w:rFonts w:ascii="Arial" w:hAnsi="Arial" w:cs="Arial"/>
                <w:i/>
                <w:iCs/>
                <w:sz w:val="20"/>
                <w:szCs w:val="24"/>
              </w:rPr>
              <w:t xml:space="preserve">, </w:t>
            </w:r>
            <w:proofErr w:type="spellStart"/>
            <w:r w:rsidR="001D427F" w:rsidRPr="00DB7912">
              <w:rPr>
                <w:rFonts w:ascii="Arial" w:hAnsi="Arial" w:cs="Arial"/>
                <w:i/>
                <w:iCs/>
                <w:sz w:val="20"/>
                <w:szCs w:val="24"/>
              </w:rPr>
              <w:t>sonmukhi</w:t>
            </w:r>
            <w:proofErr w:type="spellEnd"/>
            <w:r w:rsidR="001D427F" w:rsidRPr="00DB7912">
              <w:rPr>
                <w:rFonts w:ascii="Arial" w:hAnsi="Arial" w:cs="Arial"/>
                <w:i/>
                <w:iCs/>
                <w:sz w:val="20"/>
                <w:szCs w:val="24"/>
              </w:rPr>
              <w:t>), green gram</w:t>
            </w:r>
            <w:r w:rsidR="00C97D4F">
              <w:rPr>
                <w:rFonts w:ascii="Arial" w:hAnsi="Arial" w:cs="Arial"/>
                <w:i/>
                <w:iCs/>
                <w:sz w:val="20"/>
                <w:szCs w:val="24"/>
              </w:rPr>
              <w:t xml:space="preserve"> </w:t>
            </w:r>
            <w:r w:rsidRPr="00DB7912">
              <w:rPr>
                <w:rFonts w:ascii="Arial" w:hAnsi="Arial" w:cs="Arial"/>
                <w:i/>
                <w:iCs/>
                <w:sz w:val="20"/>
                <w:szCs w:val="24"/>
              </w:rPr>
              <w:t xml:space="preserve">(K851 and </w:t>
            </w:r>
            <w:proofErr w:type="spellStart"/>
            <w:r w:rsidRPr="00DB7912">
              <w:rPr>
                <w:rFonts w:ascii="Arial" w:hAnsi="Arial" w:cs="Arial"/>
                <w:i/>
                <w:iCs/>
                <w:sz w:val="20"/>
                <w:szCs w:val="24"/>
              </w:rPr>
              <w:t>Sonmngu</w:t>
            </w:r>
            <w:proofErr w:type="spellEnd"/>
            <w:r w:rsidRPr="00DB7912">
              <w:rPr>
                <w:rFonts w:ascii="Arial" w:hAnsi="Arial" w:cs="Arial"/>
                <w:i/>
                <w:iCs/>
                <w:sz w:val="20"/>
                <w:szCs w:val="24"/>
              </w:rPr>
              <w:t>);</w:t>
            </w:r>
            <w:r w:rsidR="005F0F35" w:rsidRPr="00DB7912">
              <w:rPr>
                <w:rFonts w:ascii="Arial" w:hAnsi="Arial" w:cs="Arial"/>
                <w:i/>
                <w:iCs/>
                <w:sz w:val="20"/>
                <w:szCs w:val="24"/>
              </w:rPr>
              <w:t xml:space="preserve"> </w:t>
            </w:r>
            <w:r w:rsidRPr="00DB7912">
              <w:rPr>
                <w:rFonts w:ascii="Arial" w:hAnsi="Arial" w:cs="Arial"/>
                <w:i/>
                <w:iCs/>
                <w:sz w:val="20"/>
                <w:szCs w:val="24"/>
              </w:rPr>
              <w:t>vegetables: potato, sweet potato, chow-chow,</w:t>
            </w:r>
            <w:r w:rsidR="005F0F35" w:rsidRPr="00DB7912">
              <w:rPr>
                <w:rFonts w:ascii="Arial" w:hAnsi="Arial" w:cs="Arial"/>
                <w:i/>
                <w:iCs/>
                <w:sz w:val="20"/>
                <w:szCs w:val="24"/>
              </w:rPr>
              <w:t xml:space="preserve"> </w:t>
            </w:r>
            <w:r w:rsidRPr="00DB7912">
              <w:rPr>
                <w:rFonts w:ascii="Arial" w:hAnsi="Arial" w:cs="Arial"/>
                <w:i/>
                <w:iCs/>
                <w:sz w:val="20"/>
                <w:szCs w:val="24"/>
              </w:rPr>
              <w:t xml:space="preserve">yam and </w:t>
            </w:r>
            <w:proofErr w:type="spellStart"/>
            <w:r w:rsidRPr="00DB7912">
              <w:rPr>
                <w:rFonts w:ascii="Arial" w:hAnsi="Arial" w:cs="Arial"/>
                <w:i/>
                <w:iCs/>
                <w:sz w:val="20"/>
                <w:szCs w:val="24"/>
              </w:rPr>
              <w:t>dioscoria</w:t>
            </w:r>
            <w:proofErr w:type="spellEnd"/>
            <w:r w:rsidRPr="00DB7912">
              <w:rPr>
                <w:rFonts w:ascii="Arial" w:hAnsi="Arial" w:cs="Arial"/>
                <w:i/>
                <w:iCs/>
                <w:sz w:val="20"/>
                <w:szCs w:val="24"/>
              </w:rPr>
              <w:t xml:space="preserve"> </w:t>
            </w:r>
            <w:proofErr w:type="spellStart"/>
            <w:r w:rsidRPr="00DB7912">
              <w:rPr>
                <w:rFonts w:ascii="Arial" w:hAnsi="Arial" w:cs="Arial"/>
                <w:i/>
                <w:iCs/>
                <w:sz w:val="20"/>
                <w:szCs w:val="24"/>
              </w:rPr>
              <w:t>sp</w:t>
            </w:r>
            <w:proofErr w:type="spellEnd"/>
            <w:r w:rsidRPr="00DB7912">
              <w:rPr>
                <w:rFonts w:ascii="Arial" w:hAnsi="Arial" w:cs="Arial"/>
                <w:i/>
                <w:iCs/>
                <w:sz w:val="20"/>
                <w:szCs w:val="24"/>
              </w:rPr>
              <w:t xml:space="preserve">, </w:t>
            </w:r>
            <w:r w:rsidRPr="00DB7912">
              <w:rPr>
                <w:rFonts w:ascii="Arial" w:hAnsi="Arial" w:cs="Arial"/>
                <w:sz w:val="20"/>
                <w:szCs w:val="24"/>
              </w:rPr>
              <w:t xml:space="preserve">cauliflower </w:t>
            </w:r>
            <w:r w:rsidRPr="00DB7912">
              <w:rPr>
                <w:rFonts w:ascii="Arial" w:hAnsi="Arial" w:cs="Arial"/>
                <w:i/>
                <w:iCs/>
                <w:sz w:val="20"/>
                <w:szCs w:val="24"/>
              </w:rPr>
              <w:t xml:space="preserve">etc. </w:t>
            </w:r>
            <w:r w:rsidRPr="00DB7912">
              <w:rPr>
                <w:rFonts w:ascii="Arial" w:hAnsi="Arial" w:cs="Arial"/>
                <w:sz w:val="20"/>
                <w:szCs w:val="24"/>
              </w:rPr>
              <w:t>can be grown.</w:t>
            </w:r>
          </w:p>
        </w:tc>
      </w:tr>
      <w:tr w:rsidR="008B3A71" w:rsidRPr="00DB7912" w14:paraId="48C39EF3" w14:textId="77777777" w:rsidTr="001D427F">
        <w:tc>
          <w:tcPr>
            <w:tcW w:w="2921" w:type="dxa"/>
          </w:tcPr>
          <w:p w14:paraId="423B096D"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 xml:space="preserve">Application of organic manures and bio-fertilizer like </w:t>
            </w:r>
            <w:r w:rsidRPr="00DB7912">
              <w:rPr>
                <w:rFonts w:ascii="Arial" w:hAnsi="Arial" w:cs="Arial"/>
                <w:bCs/>
                <w:i/>
                <w:iCs/>
                <w:sz w:val="20"/>
                <w:szCs w:val="24"/>
              </w:rPr>
              <w:t>Rhizobium</w:t>
            </w:r>
            <w:r w:rsidR="005F0F35" w:rsidRPr="00DB7912">
              <w:rPr>
                <w:rFonts w:ascii="Arial" w:hAnsi="Arial" w:cs="Arial"/>
                <w:bCs/>
                <w:sz w:val="20"/>
                <w:szCs w:val="24"/>
              </w:rPr>
              <w:t xml:space="preserve"> culture @ 150</w:t>
            </w:r>
            <w:r w:rsidRPr="00DB7912">
              <w:rPr>
                <w:rFonts w:ascii="Arial" w:hAnsi="Arial" w:cs="Arial"/>
                <w:bCs/>
                <w:sz w:val="20"/>
                <w:szCs w:val="24"/>
              </w:rPr>
              <w:t xml:space="preserve">g for enhancing organic carbon status. </w:t>
            </w:r>
          </w:p>
        </w:tc>
        <w:tc>
          <w:tcPr>
            <w:tcW w:w="2857" w:type="dxa"/>
          </w:tcPr>
          <w:p w14:paraId="6DE57363" w14:textId="77777777" w:rsidR="008B3A71" w:rsidRPr="00DB7912" w:rsidRDefault="00C12332" w:rsidP="00B33DCC">
            <w:pPr>
              <w:jc w:val="both"/>
              <w:rPr>
                <w:rFonts w:ascii="Arial" w:hAnsi="Arial" w:cs="Arial"/>
                <w:sz w:val="20"/>
                <w:szCs w:val="24"/>
              </w:rPr>
            </w:pPr>
            <w:r w:rsidRPr="00DB7912">
              <w:rPr>
                <w:rFonts w:ascii="Arial" w:hAnsi="Arial" w:cs="Arial"/>
                <w:sz w:val="20"/>
                <w:szCs w:val="24"/>
              </w:rPr>
              <w:t>W</w:t>
            </w:r>
            <w:r w:rsidR="008B3A71" w:rsidRPr="00DB7912">
              <w:rPr>
                <w:rFonts w:ascii="Arial" w:hAnsi="Arial" w:cs="Arial"/>
                <w:sz w:val="20"/>
                <w:szCs w:val="24"/>
              </w:rPr>
              <w:t>hole district</w:t>
            </w:r>
          </w:p>
        </w:tc>
        <w:tc>
          <w:tcPr>
            <w:tcW w:w="4111" w:type="dxa"/>
          </w:tcPr>
          <w:p w14:paraId="1688802C" w14:textId="77777777" w:rsidR="008B3A71" w:rsidRPr="00DB7912" w:rsidRDefault="005F0F35" w:rsidP="00B33DCC">
            <w:pPr>
              <w:jc w:val="both"/>
              <w:rPr>
                <w:rFonts w:ascii="Arial" w:hAnsi="Arial" w:cs="Arial"/>
                <w:bCs/>
                <w:sz w:val="20"/>
                <w:szCs w:val="24"/>
              </w:rPr>
            </w:pPr>
            <w:r w:rsidRPr="00DB7912">
              <w:rPr>
                <w:rFonts w:ascii="Arial" w:hAnsi="Arial" w:cs="Arial"/>
                <w:bCs/>
                <w:sz w:val="20"/>
                <w:szCs w:val="24"/>
              </w:rPr>
              <w:t xml:space="preserve">Well decomposed FYM @ 5-10 t </w:t>
            </w:r>
            <w:r w:rsidR="008B3A71" w:rsidRPr="00DB7912">
              <w:rPr>
                <w:rFonts w:ascii="Arial" w:hAnsi="Arial" w:cs="Arial"/>
                <w:bCs/>
                <w:sz w:val="20"/>
                <w:szCs w:val="24"/>
              </w:rPr>
              <w:t>ha</w:t>
            </w:r>
            <w:r w:rsidRPr="00DB7912">
              <w:rPr>
                <w:rFonts w:ascii="Arial" w:hAnsi="Arial" w:cs="Arial"/>
                <w:sz w:val="20"/>
                <w:szCs w:val="24"/>
                <w:vertAlign w:val="superscript"/>
              </w:rPr>
              <w:t>-1</w:t>
            </w:r>
            <w:r w:rsidR="008B3A71" w:rsidRPr="00DB7912">
              <w:rPr>
                <w:rFonts w:ascii="Arial" w:hAnsi="Arial" w:cs="Arial"/>
                <w:bCs/>
                <w:sz w:val="20"/>
                <w:szCs w:val="24"/>
              </w:rPr>
              <w:t xml:space="preserve"> during land preparation. </w:t>
            </w:r>
            <w:r w:rsidR="008B3A71" w:rsidRPr="00DB7912">
              <w:rPr>
                <w:rFonts w:ascii="Arial" w:hAnsi="Arial" w:cs="Arial"/>
                <w:sz w:val="20"/>
                <w:szCs w:val="24"/>
              </w:rPr>
              <w:t xml:space="preserve">organic manures </w:t>
            </w:r>
            <w:r w:rsidR="008B3A71" w:rsidRPr="00DB7912">
              <w:rPr>
                <w:rFonts w:ascii="Arial" w:hAnsi="Arial" w:cs="Arial"/>
                <w:i/>
                <w:iCs/>
                <w:sz w:val="20"/>
                <w:szCs w:val="24"/>
              </w:rPr>
              <w:t xml:space="preserve">viz., </w:t>
            </w:r>
            <w:r w:rsidR="008B3A71" w:rsidRPr="00DB7912">
              <w:rPr>
                <w:rFonts w:ascii="Arial" w:hAnsi="Arial" w:cs="Arial"/>
                <w:sz w:val="20"/>
                <w:szCs w:val="24"/>
              </w:rPr>
              <w:t>FYM/vermicompost @</w:t>
            </w:r>
            <w:r w:rsidR="008D36E9" w:rsidRPr="00DB7912">
              <w:rPr>
                <w:rFonts w:ascii="Arial" w:hAnsi="Arial" w:cs="Arial"/>
                <w:sz w:val="20"/>
                <w:szCs w:val="24"/>
              </w:rPr>
              <w:t xml:space="preserve"> </w:t>
            </w:r>
            <w:r w:rsidR="008B3A71" w:rsidRPr="00DB7912">
              <w:rPr>
                <w:rFonts w:ascii="Arial" w:hAnsi="Arial" w:cs="Arial"/>
                <w:sz w:val="20"/>
                <w:szCs w:val="24"/>
              </w:rPr>
              <w:t>5</w:t>
            </w:r>
            <w:r w:rsidR="008D36E9" w:rsidRPr="00DB7912">
              <w:rPr>
                <w:rFonts w:ascii="Arial" w:hAnsi="Arial" w:cs="Arial"/>
                <w:sz w:val="20"/>
                <w:szCs w:val="24"/>
              </w:rPr>
              <w:t xml:space="preserve"> </w:t>
            </w:r>
            <w:r w:rsidR="008B3A71" w:rsidRPr="00DB7912">
              <w:rPr>
                <w:rFonts w:ascii="Arial" w:hAnsi="Arial" w:cs="Arial"/>
                <w:sz w:val="20"/>
                <w:szCs w:val="24"/>
              </w:rPr>
              <w:t>t ha</w:t>
            </w:r>
            <w:r w:rsidR="008B3A71" w:rsidRPr="00DB7912">
              <w:rPr>
                <w:rFonts w:ascii="Arial" w:hAnsi="Arial" w:cs="Arial"/>
                <w:sz w:val="20"/>
                <w:szCs w:val="24"/>
                <w:vertAlign w:val="superscript"/>
              </w:rPr>
              <w:t>-1</w:t>
            </w:r>
            <w:r w:rsidR="008B3A71" w:rsidRPr="00DB7912">
              <w:rPr>
                <w:rFonts w:ascii="Arial" w:hAnsi="Arial" w:cs="Arial"/>
                <w:sz w:val="20"/>
                <w:szCs w:val="24"/>
              </w:rPr>
              <w:t xml:space="preserve">. </w:t>
            </w:r>
            <w:r w:rsidR="008B3A71" w:rsidRPr="00DB7912">
              <w:rPr>
                <w:rFonts w:ascii="Arial" w:hAnsi="Arial" w:cs="Arial"/>
                <w:i/>
                <w:iCs/>
                <w:sz w:val="20"/>
                <w:szCs w:val="24"/>
              </w:rPr>
              <w:t xml:space="preserve">In-situ </w:t>
            </w:r>
            <w:r w:rsidR="008B3A71" w:rsidRPr="00DB7912">
              <w:rPr>
                <w:rFonts w:ascii="Arial" w:hAnsi="Arial" w:cs="Arial"/>
                <w:sz w:val="20"/>
                <w:szCs w:val="24"/>
              </w:rPr>
              <w:t>crop</w:t>
            </w:r>
            <w:r w:rsidR="008B3A71" w:rsidRPr="00DB7912">
              <w:rPr>
                <w:rFonts w:ascii="Arial" w:hAnsi="Arial" w:cs="Arial"/>
                <w:bCs/>
                <w:sz w:val="20"/>
                <w:szCs w:val="24"/>
              </w:rPr>
              <w:t xml:space="preserve"> </w:t>
            </w:r>
            <w:r w:rsidR="008B3A71" w:rsidRPr="00DB7912">
              <w:rPr>
                <w:rFonts w:ascii="Arial" w:hAnsi="Arial" w:cs="Arial"/>
                <w:sz w:val="20"/>
                <w:szCs w:val="24"/>
              </w:rPr>
              <w:t xml:space="preserve">decomposition </w:t>
            </w:r>
            <w:r w:rsidR="008B3A71" w:rsidRPr="00DB7912">
              <w:rPr>
                <w:rFonts w:ascii="Arial" w:hAnsi="Arial" w:cs="Arial"/>
                <w:i/>
                <w:iCs/>
                <w:sz w:val="20"/>
                <w:szCs w:val="24"/>
              </w:rPr>
              <w:t xml:space="preserve">etc. </w:t>
            </w:r>
            <w:r w:rsidR="008B3A71" w:rsidRPr="00DB7912">
              <w:rPr>
                <w:rFonts w:ascii="Arial" w:hAnsi="Arial" w:cs="Arial"/>
                <w:sz w:val="20"/>
                <w:szCs w:val="24"/>
              </w:rPr>
              <w:t xml:space="preserve">for residue incorporation along with </w:t>
            </w:r>
            <w:r w:rsidR="008B3A71" w:rsidRPr="00DB7912">
              <w:rPr>
                <w:rFonts w:ascii="Arial" w:hAnsi="Arial" w:cs="Arial"/>
                <w:i/>
                <w:iCs/>
                <w:sz w:val="20"/>
                <w:szCs w:val="24"/>
              </w:rPr>
              <w:t>Trichoderma viride</w:t>
            </w:r>
            <w:r w:rsidR="008B3A71" w:rsidRPr="00DB7912">
              <w:rPr>
                <w:rFonts w:ascii="Arial" w:hAnsi="Arial" w:cs="Arial"/>
                <w:bCs/>
                <w:sz w:val="20"/>
                <w:szCs w:val="24"/>
              </w:rPr>
              <w:t xml:space="preserve"> </w:t>
            </w:r>
            <w:r w:rsidR="008B3A71" w:rsidRPr="00DB7912">
              <w:rPr>
                <w:rFonts w:ascii="Arial" w:hAnsi="Arial" w:cs="Arial"/>
                <w:sz w:val="20"/>
                <w:szCs w:val="24"/>
              </w:rPr>
              <w:t>enhancing the organic (@ 4g kg</w:t>
            </w:r>
            <w:r w:rsidR="008B3A71" w:rsidRPr="00DB7912">
              <w:rPr>
                <w:rFonts w:ascii="Arial" w:hAnsi="Arial" w:cs="Arial"/>
                <w:sz w:val="20"/>
                <w:szCs w:val="24"/>
                <w:vertAlign w:val="superscript"/>
              </w:rPr>
              <w:t>-1</w:t>
            </w:r>
            <w:r w:rsidR="008B3A71" w:rsidRPr="00DB7912">
              <w:rPr>
                <w:rFonts w:ascii="Arial" w:hAnsi="Arial" w:cs="Arial"/>
                <w:sz w:val="20"/>
                <w:szCs w:val="24"/>
              </w:rPr>
              <w:t>).</w:t>
            </w:r>
            <w:r w:rsidR="008B3A71" w:rsidRPr="00DB7912">
              <w:rPr>
                <w:rFonts w:ascii="Arial" w:hAnsi="Arial" w:cs="Arial"/>
                <w:bCs/>
                <w:sz w:val="20"/>
                <w:szCs w:val="24"/>
              </w:rPr>
              <w:t xml:space="preserve"> </w:t>
            </w:r>
          </w:p>
          <w:p w14:paraId="0DA9DE58" w14:textId="77777777" w:rsidR="008B3A71" w:rsidRPr="00DB7912" w:rsidRDefault="008B3A71" w:rsidP="00B33DCC">
            <w:pPr>
              <w:jc w:val="both"/>
              <w:rPr>
                <w:rFonts w:ascii="Arial" w:hAnsi="Arial" w:cs="Arial"/>
                <w:sz w:val="20"/>
                <w:szCs w:val="24"/>
              </w:rPr>
            </w:pPr>
          </w:p>
        </w:tc>
      </w:tr>
      <w:tr w:rsidR="008B3A71" w:rsidRPr="00DB7912" w14:paraId="62045DC8" w14:textId="77777777" w:rsidTr="001D427F">
        <w:trPr>
          <w:trHeight w:val="1461"/>
        </w:trPr>
        <w:tc>
          <w:tcPr>
            <w:tcW w:w="2921" w:type="dxa"/>
          </w:tcPr>
          <w:p w14:paraId="13B5A6F9"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Recommendations for NPK</w:t>
            </w:r>
          </w:p>
        </w:tc>
        <w:tc>
          <w:tcPr>
            <w:tcW w:w="2857" w:type="dxa"/>
          </w:tcPr>
          <w:p w14:paraId="3AD35801"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 xml:space="preserve">Low N status- Kalagachia and </w:t>
            </w:r>
            <w:proofErr w:type="spellStart"/>
            <w:r w:rsidRPr="00DB7912">
              <w:rPr>
                <w:rFonts w:ascii="Arial" w:hAnsi="Arial" w:cs="Arial"/>
                <w:sz w:val="20"/>
                <w:szCs w:val="24"/>
              </w:rPr>
              <w:t>Chenga</w:t>
            </w:r>
            <w:proofErr w:type="spellEnd"/>
            <w:r w:rsidRPr="00DB7912">
              <w:rPr>
                <w:rFonts w:ascii="Arial" w:hAnsi="Arial" w:cs="Arial"/>
                <w:sz w:val="20"/>
                <w:szCs w:val="24"/>
              </w:rPr>
              <w:t xml:space="preserve"> </w:t>
            </w:r>
            <w:r w:rsidR="00450D81" w:rsidRPr="00DB7912">
              <w:rPr>
                <w:rFonts w:ascii="Arial" w:hAnsi="Arial" w:cs="Arial"/>
                <w:sz w:val="20"/>
                <w:szCs w:val="24"/>
              </w:rPr>
              <w:t>revenue circle</w:t>
            </w:r>
            <w:r w:rsidRPr="00DB7912">
              <w:rPr>
                <w:rFonts w:ascii="Arial" w:hAnsi="Arial" w:cs="Arial"/>
                <w:sz w:val="20"/>
                <w:szCs w:val="24"/>
              </w:rPr>
              <w:t>.</w:t>
            </w:r>
          </w:p>
          <w:p w14:paraId="58E3E505" w14:textId="77777777" w:rsidR="008B3A71" w:rsidRPr="00DB7912" w:rsidRDefault="008B3A71" w:rsidP="00B33DCC">
            <w:pPr>
              <w:jc w:val="both"/>
              <w:rPr>
                <w:rFonts w:ascii="Arial" w:hAnsi="Arial" w:cs="Arial"/>
                <w:sz w:val="20"/>
                <w:szCs w:val="24"/>
              </w:rPr>
            </w:pPr>
          </w:p>
          <w:p w14:paraId="39D5D5AC"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 xml:space="preserve">Low P status - </w:t>
            </w:r>
            <w:proofErr w:type="spellStart"/>
            <w:r w:rsidRPr="00DB7912">
              <w:rPr>
                <w:rFonts w:ascii="Arial" w:hAnsi="Arial" w:cs="Arial"/>
                <w:sz w:val="20"/>
                <w:szCs w:val="24"/>
              </w:rPr>
              <w:t>Barpeta</w:t>
            </w:r>
            <w:proofErr w:type="spellEnd"/>
            <w:r w:rsidRPr="00DB7912">
              <w:rPr>
                <w:rFonts w:ascii="Arial" w:hAnsi="Arial" w:cs="Arial"/>
                <w:sz w:val="20"/>
                <w:szCs w:val="24"/>
              </w:rPr>
              <w:t xml:space="preserve">, </w:t>
            </w:r>
            <w:proofErr w:type="spellStart"/>
            <w:r w:rsidRPr="00DB7912">
              <w:rPr>
                <w:rFonts w:ascii="Arial" w:hAnsi="Arial" w:cs="Arial"/>
                <w:sz w:val="20"/>
                <w:szCs w:val="24"/>
              </w:rPr>
              <w:t>Sarupeta</w:t>
            </w:r>
            <w:proofErr w:type="spellEnd"/>
            <w:r w:rsidRPr="00DB7912">
              <w:rPr>
                <w:rFonts w:ascii="Arial" w:hAnsi="Arial" w:cs="Arial"/>
                <w:sz w:val="20"/>
                <w:szCs w:val="24"/>
              </w:rPr>
              <w:t xml:space="preserve">, Balaji, </w:t>
            </w:r>
            <w:proofErr w:type="spellStart"/>
            <w:r w:rsidRPr="00DB7912">
              <w:rPr>
                <w:rFonts w:ascii="Arial" w:hAnsi="Arial" w:cs="Arial"/>
                <w:sz w:val="20"/>
                <w:szCs w:val="24"/>
              </w:rPr>
              <w:t>Sarthebari</w:t>
            </w:r>
            <w:proofErr w:type="spellEnd"/>
            <w:r w:rsidRPr="00DB7912">
              <w:rPr>
                <w:rFonts w:ascii="Arial" w:hAnsi="Arial" w:cs="Arial"/>
                <w:sz w:val="20"/>
                <w:szCs w:val="24"/>
              </w:rPr>
              <w:t xml:space="preserve"> and </w:t>
            </w:r>
            <w:proofErr w:type="spellStart"/>
            <w:r w:rsidRPr="00DB7912">
              <w:rPr>
                <w:rFonts w:ascii="Arial" w:hAnsi="Arial" w:cs="Arial"/>
                <w:sz w:val="20"/>
                <w:szCs w:val="24"/>
              </w:rPr>
              <w:t>Chenga</w:t>
            </w:r>
            <w:proofErr w:type="spellEnd"/>
          </w:p>
          <w:p w14:paraId="5B72EDB1" w14:textId="77777777" w:rsidR="008B3A71" w:rsidRPr="00DB7912" w:rsidRDefault="008B3A71" w:rsidP="00B33DCC">
            <w:pPr>
              <w:jc w:val="both"/>
              <w:rPr>
                <w:rFonts w:ascii="Arial" w:hAnsi="Arial" w:cs="Arial"/>
                <w:sz w:val="20"/>
                <w:szCs w:val="24"/>
              </w:rPr>
            </w:pPr>
          </w:p>
          <w:p w14:paraId="631580B5"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 xml:space="preserve">Low K status- </w:t>
            </w:r>
            <w:proofErr w:type="spellStart"/>
            <w:r w:rsidRPr="00DB7912">
              <w:rPr>
                <w:rFonts w:ascii="Arial" w:hAnsi="Arial" w:cs="Arial"/>
                <w:sz w:val="20"/>
                <w:szCs w:val="24"/>
              </w:rPr>
              <w:t>Barnagar</w:t>
            </w:r>
            <w:proofErr w:type="spellEnd"/>
            <w:r w:rsidRPr="00DB7912">
              <w:rPr>
                <w:rFonts w:ascii="Arial" w:hAnsi="Arial" w:cs="Arial"/>
                <w:sz w:val="20"/>
                <w:szCs w:val="24"/>
              </w:rPr>
              <w:t xml:space="preserve">, Balaji, </w:t>
            </w:r>
            <w:proofErr w:type="spellStart"/>
            <w:r w:rsidRPr="00DB7912">
              <w:rPr>
                <w:rFonts w:ascii="Arial" w:hAnsi="Arial" w:cs="Arial"/>
                <w:sz w:val="20"/>
                <w:szCs w:val="24"/>
              </w:rPr>
              <w:t>Sarupeta</w:t>
            </w:r>
            <w:proofErr w:type="spellEnd"/>
            <w:r w:rsidRPr="00DB7912">
              <w:rPr>
                <w:rFonts w:ascii="Arial" w:hAnsi="Arial" w:cs="Arial"/>
                <w:sz w:val="20"/>
                <w:szCs w:val="24"/>
              </w:rPr>
              <w:t xml:space="preserve">, Jelah and </w:t>
            </w:r>
            <w:proofErr w:type="spellStart"/>
            <w:r w:rsidRPr="00DB7912">
              <w:rPr>
                <w:rFonts w:ascii="Arial" w:hAnsi="Arial" w:cs="Arial"/>
                <w:sz w:val="20"/>
                <w:szCs w:val="24"/>
              </w:rPr>
              <w:t>Sarthebari</w:t>
            </w:r>
            <w:proofErr w:type="spellEnd"/>
            <w:r w:rsidRPr="00DB7912">
              <w:rPr>
                <w:rFonts w:ascii="Arial" w:hAnsi="Arial" w:cs="Arial"/>
                <w:sz w:val="20"/>
                <w:szCs w:val="24"/>
              </w:rPr>
              <w:t xml:space="preserve"> </w:t>
            </w:r>
            <w:r w:rsidR="00450D81" w:rsidRPr="00DB7912">
              <w:rPr>
                <w:rFonts w:ascii="Arial" w:hAnsi="Arial" w:cs="Arial"/>
                <w:sz w:val="20"/>
                <w:szCs w:val="24"/>
              </w:rPr>
              <w:t>revenue circle</w:t>
            </w:r>
            <w:r w:rsidRPr="00DB7912">
              <w:rPr>
                <w:rFonts w:ascii="Arial" w:hAnsi="Arial" w:cs="Arial"/>
                <w:sz w:val="20"/>
                <w:szCs w:val="24"/>
              </w:rPr>
              <w:t xml:space="preserve">. </w:t>
            </w:r>
          </w:p>
        </w:tc>
        <w:tc>
          <w:tcPr>
            <w:tcW w:w="4111" w:type="dxa"/>
          </w:tcPr>
          <w:p w14:paraId="4AF77EB0" w14:textId="77777777" w:rsidR="008B3A71" w:rsidRPr="00DB7912" w:rsidRDefault="008B3A71" w:rsidP="00B33DCC">
            <w:pPr>
              <w:autoSpaceDE w:val="0"/>
              <w:autoSpaceDN w:val="0"/>
              <w:adjustRightInd w:val="0"/>
              <w:spacing w:line="276" w:lineRule="auto"/>
              <w:jc w:val="both"/>
              <w:rPr>
                <w:rFonts w:ascii="Arial" w:hAnsi="Arial" w:cs="Arial"/>
                <w:sz w:val="20"/>
                <w:szCs w:val="24"/>
              </w:rPr>
            </w:pPr>
            <w:r w:rsidRPr="00DB7912">
              <w:rPr>
                <w:rFonts w:ascii="Arial" w:hAnsi="Arial" w:cs="Arial"/>
                <w:sz w:val="20"/>
                <w:szCs w:val="24"/>
              </w:rPr>
              <w:t>http://www.stcr.gov.in and http://www.soilhealth.dac.gov.in).</w:t>
            </w:r>
          </w:p>
          <w:p w14:paraId="13C40519" w14:textId="77777777" w:rsidR="008B3A71" w:rsidRPr="00DB7912" w:rsidRDefault="008B3A71" w:rsidP="00B33DCC">
            <w:pPr>
              <w:autoSpaceDE w:val="0"/>
              <w:autoSpaceDN w:val="0"/>
              <w:adjustRightInd w:val="0"/>
              <w:spacing w:line="276" w:lineRule="auto"/>
              <w:jc w:val="both"/>
              <w:rPr>
                <w:rFonts w:ascii="Arial" w:hAnsi="Arial" w:cs="Arial"/>
                <w:sz w:val="20"/>
                <w:szCs w:val="24"/>
              </w:rPr>
            </w:pPr>
            <w:r w:rsidRPr="00DB7912">
              <w:rPr>
                <w:rFonts w:ascii="Arial" w:hAnsi="Arial" w:cs="Arial"/>
                <w:sz w:val="20"/>
                <w:szCs w:val="24"/>
              </w:rPr>
              <w:t>25</w:t>
            </w:r>
            <w:r w:rsidR="00FD2BC6" w:rsidRPr="00DB7912">
              <w:rPr>
                <w:rFonts w:ascii="Arial" w:hAnsi="Arial" w:cs="Arial"/>
                <w:sz w:val="20"/>
                <w:szCs w:val="24"/>
              </w:rPr>
              <w:t>% higher</w:t>
            </w:r>
            <w:r w:rsidRPr="00DB7912">
              <w:rPr>
                <w:rFonts w:ascii="Arial" w:hAnsi="Arial" w:cs="Arial"/>
                <w:sz w:val="20"/>
                <w:szCs w:val="24"/>
              </w:rPr>
              <w:t xml:space="preserve"> than the recommended of K</w:t>
            </w:r>
            <w:r w:rsidRPr="00DB7912">
              <w:rPr>
                <w:rFonts w:ascii="Arial" w:hAnsi="Arial" w:cs="Arial"/>
                <w:sz w:val="20"/>
                <w:szCs w:val="24"/>
                <w:vertAlign w:val="subscript"/>
              </w:rPr>
              <w:t>2</w:t>
            </w:r>
            <w:r w:rsidRPr="00DB7912">
              <w:rPr>
                <w:rFonts w:ascii="Arial" w:hAnsi="Arial" w:cs="Arial"/>
                <w:sz w:val="20"/>
                <w:szCs w:val="24"/>
              </w:rPr>
              <w:t>O is recommended as maintenance dose.</w:t>
            </w:r>
          </w:p>
        </w:tc>
      </w:tr>
      <w:tr w:rsidR="008B3A71" w:rsidRPr="00DB7912" w14:paraId="0E447299" w14:textId="77777777" w:rsidTr="001D427F">
        <w:tc>
          <w:tcPr>
            <w:tcW w:w="2921" w:type="dxa"/>
            <w:vMerge w:val="restart"/>
          </w:tcPr>
          <w:p w14:paraId="5C8EA95B" w14:textId="77777777" w:rsidR="008B3A71" w:rsidRPr="00DB7912" w:rsidRDefault="008B3A71" w:rsidP="00B33DCC">
            <w:pPr>
              <w:rPr>
                <w:rFonts w:ascii="Arial" w:hAnsi="Arial" w:cs="Arial"/>
                <w:sz w:val="20"/>
                <w:szCs w:val="24"/>
              </w:rPr>
            </w:pPr>
            <w:r w:rsidRPr="00DB7912">
              <w:rPr>
                <w:rFonts w:ascii="Arial" w:hAnsi="Arial" w:cs="Arial"/>
                <w:sz w:val="20"/>
                <w:szCs w:val="24"/>
              </w:rPr>
              <w:t>Recommendations for micronutrients</w:t>
            </w:r>
          </w:p>
        </w:tc>
        <w:tc>
          <w:tcPr>
            <w:tcW w:w="2857" w:type="dxa"/>
          </w:tcPr>
          <w:p w14:paraId="6803F0E2"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Fe- sufficient in whole district</w:t>
            </w:r>
          </w:p>
        </w:tc>
        <w:tc>
          <w:tcPr>
            <w:tcW w:w="4111" w:type="dxa"/>
          </w:tcPr>
          <w:p w14:paraId="7A3CEC5C"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Recommended dose of FeSO</w:t>
            </w:r>
            <w:r w:rsidRPr="00DB7912">
              <w:rPr>
                <w:rFonts w:ascii="Arial" w:hAnsi="Arial" w:cs="Arial"/>
                <w:sz w:val="20"/>
                <w:szCs w:val="24"/>
                <w:vertAlign w:val="subscript"/>
              </w:rPr>
              <w:t>4</w:t>
            </w:r>
            <w:r w:rsidRPr="00DB7912">
              <w:rPr>
                <w:rFonts w:ascii="Arial" w:hAnsi="Arial" w:cs="Arial"/>
                <w:sz w:val="20"/>
                <w:szCs w:val="24"/>
              </w:rPr>
              <w:t xml:space="preserve"> can be applied according to crop and varieties (</w:t>
            </w:r>
            <w:r w:rsidRPr="00DB7912">
              <w:rPr>
                <w:rFonts w:ascii="Arial" w:hAnsi="Arial" w:cs="Arial"/>
                <w:i/>
                <w:iCs/>
                <w:sz w:val="20"/>
                <w:szCs w:val="24"/>
              </w:rPr>
              <w:t xml:space="preserve">e.g. </w:t>
            </w:r>
            <w:r w:rsidRPr="00DB7912">
              <w:rPr>
                <w:rFonts w:ascii="Arial" w:hAnsi="Arial" w:cs="Arial"/>
                <w:sz w:val="20"/>
                <w:szCs w:val="24"/>
              </w:rPr>
              <w:t>Sugarcane - FeSO</w:t>
            </w:r>
            <w:r w:rsidRPr="00DB7912">
              <w:rPr>
                <w:rFonts w:ascii="Arial" w:hAnsi="Arial" w:cs="Arial"/>
                <w:sz w:val="20"/>
                <w:szCs w:val="24"/>
                <w:vertAlign w:val="subscript"/>
              </w:rPr>
              <w:t>4</w:t>
            </w:r>
            <w:r w:rsidRPr="00DB7912">
              <w:rPr>
                <w:rFonts w:ascii="Arial" w:hAnsi="Arial" w:cs="Arial"/>
                <w:sz w:val="20"/>
                <w:szCs w:val="24"/>
              </w:rPr>
              <w:t xml:space="preserve"> @ 100 kg ha</w:t>
            </w:r>
            <w:r w:rsidRPr="00DB7912">
              <w:rPr>
                <w:rFonts w:ascii="Arial" w:hAnsi="Arial" w:cs="Arial"/>
                <w:sz w:val="20"/>
                <w:szCs w:val="24"/>
                <w:vertAlign w:val="superscript"/>
              </w:rPr>
              <w:t>-1</w:t>
            </w:r>
            <w:r w:rsidRPr="00DB7912">
              <w:rPr>
                <w:rFonts w:ascii="Arial" w:hAnsi="Arial" w:cs="Arial"/>
                <w:sz w:val="20"/>
                <w:szCs w:val="24"/>
              </w:rPr>
              <w:t>).</w:t>
            </w:r>
          </w:p>
        </w:tc>
      </w:tr>
      <w:tr w:rsidR="008B3A71" w:rsidRPr="00DB7912" w14:paraId="4BBF66CD" w14:textId="77777777" w:rsidTr="001D427F">
        <w:tc>
          <w:tcPr>
            <w:tcW w:w="2921" w:type="dxa"/>
            <w:vMerge/>
          </w:tcPr>
          <w:p w14:paraId="72ECFDB8" w14:textId="77777777" w:rsidR="008B3A71" w:rsidRPr="00DB7912" w:rsidRDefault="008B3A71" w:rsidP="00B33DCC">
            <w:pPr>
              <w:jc w:val="both"/>
              <w:rPr>
                <w:rFonts w:ascii="Arial" w:hAnsi="Arial" w:cs="Arial"/>
                <w:sz w:val="20"/>
                <w:szCs w:val="24"/>
              </w:rPr>
            </w:pPr>
          </w:p>
        </w:tc>
        <w:tc>
          <w:tcPr>
            <w:tcW w:w="2857" w:type="dxa"/>
          </w:tcPr>
          <w:p w14:paraId="08CE6725"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 xml:space="preserve">Mn- moderate in whole district except </w:t>
            </w:r>
            <w:proofErr w:type="spellStart"/>
            <w:r w:rsidRPr="00DB7912">
              <w:rPr>
                <w:rFonts w:ascii="Arial" w:hAnsi="Arial" w:cs="Arial"/>
                <w:sz w:val="20"/>
                <w:szCs w:val="24"/>
              </w:rPr>
              <w:t>Baghbor</w:t>
            </w:r>
            <w:proofErr w:type="spellEnd"/>
            <w:r w:rsidRPr="00DB7912">
              <w:rPr>
                <w:rFonts w:ascii="Arial" w:hAnsi="Arial" w:cs="Arial"/>
                <w:sz w:val="20"/>
                <w:szCs w:val="24"/>
              </w:rPr>
              <w:t xml:space="preserve"> </w:t>
            </w:r>
            <w:r w:rsidR="00450D81" w:rsidRPr="00DB7912">
              <w:rPr>
                <w:rFonts w:ascii="Arial" w:hAnsi="Arial" w:cs="Arial"/>
                <w:sz w:val="20"/>
                <w:szCs w:val="24"/>
              </w:rPr>
              <w:t>revenue circle</w:t>
            </w:r>
            <w:r w:rsidRPr="00DB7912">
              <w:rPr>
                <w:rFonts w:ascii="Arial" w:hAnsi="Arial" w:cs="Arial"/>
                <w:sz w:val="20"/>
                <w:szCs w:val="24"/>
              </w:rPr>
              <w:t>.</w:t>
            </w:r>
          </w:p>
        </w:tc>
        <w:tc>
          <w:tcPr>
            <w:tcW w:w="4111" w:type="dxa"/>
          </w:tcPr>
          <w:p w14:paraId="7157AE1C"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Recommended dose of MnSO</w:t>
            </w:r>
            <w:r w:rsidRPr="00DB7912">
              <w:rPr>
                <w:rFonts w:ascii="Arial" w:hAnsi="Arial" w:cs="Arial"/>
                <w:sz w:val="20"/>
                <w:szCs w:val="24"/>
                <w:vertAlign w:val="subscript"/>
              </w:rPr>
              <w:t>4</w:t>
            </w:r>
            <w:r w:rsidRPr="00DB7912">
              <w:rPr>
                <w:rFonts w:ascii="Arial" w:hAnsi="Arial" w:cs="Arial"/>
                <w:sz w:val="20"/>
                <w:szCs w:val="24"/>
              </w:rPr>
              <w:t xml:space="preserve"> can be applied according to crop and varieties (</w:t>
            </w:r>
            <w:r w:rsidRPr="00DB7912">
              <w:rPr>
                <w:rFonts w:ascii="Arial" w:hAnsi="Arial" w:cs="Arial"/>
                <w:i/>
                <w:iCs/>
                <w:sz w:val="20"/>
                <w:szCs w:val="24"/>
              </w:rPr>
              <w:t xml:space="preserve">e.g. </w:t>
            </w:r>
            <w:r w:rsidRPr="00DB7912">
              <w:rPr>
                <w:rFonts w:ascii="Arial" w:hAnsi="Arial" w:cs="Arial"/>
                <w:sz w:val="20"/>
                <w:szCs w:val="24"/>
              </w:rPr>
              <w:t>pearl millet - MnSO</w:t>
            </w:r>
            <w:r w:rsidRPr="00DB7912">
              <w:rPr>
                <w:rFonts w:ascii="Arial" w:hAnsi="Arial" w:cs="Arial"/>
                <w:sz w:val="20"/>
                <w:szCs w:val="24"/>
                <w:vertAlign w:val="subscript"/>
              </w:rPr>
              <w:t>4</w:t>
            </w:r>
            <w:r w:rsidRPr="00DB7912">
              <w:rPr>
                <w:rFonts w:ascii="Arial" w:hAnsi="Arial" w:cs="Arial"/>
                <w:sz w:val="20"/>
                <w:szCs w:val="24"/>
              </w:rPr>
              <w:t xml:space="preserve"> @ 12.5 kg ha</w:t>
            </w:r>
            <w:r w:rsidRPr="00DB7912">
              <w:rPr>
                <w:rFonts w:ascii="Arial" w:hAnsi="Arial" w:cs="Arial"/>
                <w:sz w:val="20"/>
                <w:szCs w:val="24"/>
                <w:vertAlign w:val="superscript"/>
              </w:rPr>
              <w:t>-1</w:t>
            </w:r>
            <w:r w:rsidRPr="00DB7912">
              <w:rPr>
                <w:rFonts w:ascii="Arial" w:hAnsi="Arial" w:cs="Arial"/>
                <w:sz w:val="20"/>
                <w:szCs w:val="24"/>
              </w:rPr>
              <w:t>).</w:t>
            </w:r>
          </w:p>
        </w:tc>
      </w:tr>
      <w:tr w:rsidR="008B3A71" w:rsidRPr="00DB7912" w14:paraId="31FE1ABB" w14:textId="77777777" w:rsidTr="001D427F">
        <w:tc>
          <w:tcPr>
            <w:tcW w:w="2921" w:type="dxa"/>
            <w:vMerge/>
          </w:tcPr>
          <w:p w14:paraId="08D79F6B" w14:textId="77777777" w:rsidR="008B3A71" w:rsidRPr="00DB7912" w:rsidRDefault="008B3A71" w:rsidP="00B33DCC">
            <w:pPr>
              <w:jc w:val="both"/>
              <w:rPr>
                <w:rFonts w:ascii="Arial" w:hAnsi="Arial" w:cs="Arial"/>
                <w:sz w:val="20"/>
                <w:szCs w:val="24"/>
              </w:rPr>
            </w:pPr>
          </w:p>
        </w:tc>
        <w:tc>
          <w:tcPr>
            <w:tcW w:w="2857" w:type="dxa"/>
          </w:tcPr>
          <w:p w14:paraId="530B7049"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 xml:space="preserve">Cu - sufficient in whole district except fringe are of </w:t>
            </w:r>
            <w:proofErr w:type="spellStart"/>
            <w:r w:rsidRPr="00DB7912">
              <w:rPr>
                <w:rFonts w:ascii="Arial" w:hAnsi="Arial" w:cs="Arial"/>
                <w:sz w:val="20"/>
                <w:szCs w:val="24"/>
              </w:rPr>
              <w:t>Baghbor</w:t>
            </w:r>
            <w:proofErr w:type="spellEnd"/>
            <w:r w:rsidRPr="00DB7912">
              <w:rPr>
                <w:rFonts w:ascii="Arial" w:hAnsi="Arial" w:cs="Arial"/>
                <w:sz w:val="20"/>
                <w:szCs w:val="24"/>
              </w:rPr>
              <w:t xml:space="preserve"> and </w:t>
            </w:r>
            <w:proofErr w:type="spellStart"/>
            <w:r w:rsidRPr="00DB7912">
              <w:rPr>
                <w:rFonts w:ascii="Arial" w:hAnsi="Arial" w:cs="Arial"/>
                <w:sz w:val="20"/>
                <w:szCs w:val="24"/>
              </w:rPr>
              <w:t>Chenga</w:t>
            </w:r>
            <w:proofErr w:type="spellEnd"/>
            <w:r w:rsidRPr="00DB7912">
              <w:rPr>
                <w:rFonts w:ascii="Arial" w:hAnsi="Arial" w:cs="Arial"/>
                <w:sz w:val="20"/>
                <w:szCs w:val="24"/>
              </w:rPr>
              <w:t xml:space="preserve"> </w:t>
            </w:r>
            <w:r w:rsidR="00450D81" w:rsidRPr="00DB7912">
              <w:rPr>
                <w:rFonts w:ascii="Arial" w:hAnsi="Arial" w:cs="Arial"/>
                <w:sz w:val="20"/>
                <w:szCs w:val="24"/>
              </w:rPr>
              <w:t>revenue circle</w:t>
            </w:r>
            <w:r w:rsidRPr="00DB7912">
              <w:rPr>
                <w:rFonts w:ascii="Arial" w:hAnsi="Arial" w:cs="Arial"/>
                <w:sz w:val="20"/>
                <w:szCs w:val="24"/>
              </w:rPr>
              <w:t>.</w:t>
            </w:r>
          </w:p>
        </w:tc>
        <w:tc>
          <w:tcPr>
            <w:tcW w:w="4111" w:type="dxa"/>
          </w:tcPr>
          <w:p w14:paraId="78DF84FF"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Recommended dose of CuSO</w:t>
            </w:r>
            <w:r w:rsidRPr="00DB7912">
              <w:rPr>
                <w:rFonts w:ascii="Arial" w:hAnsi="Arial" w:cs="Arial"/>
                <w:sz w:val="20"/>
                <w:szCs w:val="24"/>
                <w:vertAlign w:val="subscript"/>
              </w:rPr>
              <w:t>4</w:t>
            </w:r>
            <w:r w:rsidRPr="00DB7912">
              <w:rPr>
                <w:rFonts w:ascii="Arial" w:hAnsi="Arial" w:cs="Arial"/>
                <w:sz w:val="20"/>
                <w:szCs w:val="24"/>
              </w:rPr>
              <w:t xml:space="preserve"> can be applied according to crop and varieties (</w:t>
            </w:r>
            <w:r w:rsidRPr="00DB7912">
              <w:rPr>
                <w:rFonts w:ascii="Arial" w:hAnsi="Arial" w:cs="Arial"/>
                <w:i/>
                <w:iCs/>
                <w:sz w:val="20"/>
                <w:szCs w:val="24"/>
              </w:rPr>
              <w:t xml:space="preserve">e.g. </w:t>
            </w:r>
            <w:r w:rsidRPr="00DB7912">
              <w:rPr>
                <w:rFonts w:ascii="Arial" w:hAnsi="Arial" w:cs="Arial"/>
                <w:sz w:val="20"/>
                <w:szCs w:val="24"/>
              </w:rPr>
              <w:t>rice - CuSO</w:t>
            </w:r>
            <w:r w:rsidRPr="00DB7912">
              <w:rPr>
                <w:rFonts w:ascii="Arial" w:hAnsi="Arial" w:cs="Arial"/>
                <w:sz w:val="20"/>
                <w:szCs w:val="24"/>
                <w:vertAlign w:val="subscript"/>
              </w:rPr>
              <w:t>4</w:t>
            </w:r>
            <w:r w:rsidRPr="00DB7912">
              <w:rPr>
                <w:rFonts w:ascii="Arial" w:hAnsi="Arial" w:cs="Arial"/>
                <w:sz w:val="20"/>
                <w:szCs w:val="24"/>
              </w:rPr>
              <w:t xml:space="preserve"> @ 5 kg ha</w:t>
            </w:r>
            <w:r w:rsidRPr="00DB7912">
              <w:rPr>
                <w:rFonts w:ascii="Arial" w:hAnsi="Arial" w:cs="Arial"/>
                <w:sz w:val="20"/>
                <w:szCs w:val="24"/>
                <w:vertAlign w:val="superscript"/>
              </w:rPr>
              <w:t>-1</w:t>
            </w:r>
            <w:r w:rsidRPr="00DB7912">
              <w:rPr>
                <w:rFonts w:ascii="Arial" w:hAnsi="Arial" w:cs="Arial"/>
                <w:sz w:val="20"/>
                <w:szCs w:val="24"/>
              </w:rPr>
              <w:t>).</w:t>
            </w:r>
          </w:p>
        </w:tc>
      </w:tr>
      <w:tr w:rsidR="008B3A71" w:rsidRPr="00DB7912" w14:paraId="1162A8A3" w14:textId="77777777" w:rsidTr="001D427F">
        <w:tc>
          <w:tcPr>
            <w:tcW w:w="2921" w:type="dxa"/>
            <w:vMerge/>
          </w:tcPr>
          <w:p w14:paraId="7C544794" w14:textId="77777777" w:rsidR="008B3A71" w:rsidRPr="00DB7912" w:rsidRDefault="008B3A71" w:rsidP="00B33DCC">
            <w:pPr>
              <w:jc w:val="both"/>
              <w:rPr>
                <w:rFonts w:ascii="Arial" w:hAnsi="Arial" w:cs="Arial"/>
                <w:sz w:val="20"/>
                <w:szCs w:val="24"/>
              </w:rPr>
            </w:pPr>
          </w:p>
        </w:tc>
        <w:tc>
          <w:tcPr>
            <w:tcW w:w="2857" w:type="dxa"/>
          </w:tcPr>
          <w:p w14:paraId="484AFC31" w14:textId="77777777" w:rsidR="008B3A71" w:rsidRPr="00DB7912" w:rsidRDefault="008B3A71" w:rsidP="00B33DCC">
            <w:pPr>
              <w:jc w:val="both"/>
              <w:rPr>
                <w:rFonts w:ascii="Arial" w:hAnsi="Arial" w:cs="Arial"/>
                <w:sz w:val="20"/>
                <w:szCs w:val="24"/>
              </w:rPr>
            </w:pPr>
            <w:r w:rsidRPr="00DB7912">
              <w:rPr>
                <w:rFonts w:ascii="Arial" w:hAnsi="Arial" w:cs="Arial"/>
                <w:sz w:val="20"/>
                <w:szCs w:val="24"/>
              </w:rPr>
              <w:t xml:space="preserve">Zn - deficient in whole district except </w:t>
            </w:r>
            <w:proofErr w:type="spellStart"/>
            <w:r w:rsidRPr="00DB7912">
              <w:rPr>
                <w:rFonts w:ascii="Arial" w:hAnsi="Arial" w:cs="Arial"/>
                <w:sz w:val="20"/>
                <w:szCs w:val="24"/>
              </w:rPr>
              <w:t>Sarthebari</w:t>
            </w:r>
            <w:proofErr w:type="spellEnd"/>
            <w:r w:rsidRPr="00DB7912">
              <w:rPr>
                <w:rFonts w:ascii="Arial" w:hAnsi="Arial" w:cs="Arial"/>
                <w:sz w:val="20"/>
                <w:szCs w:val="24"/>
              </w:rPr>
              <w:t xml:space="preserve"> </w:t>
            </w:r>
            <w:r w:rsidR="00450D81" w:rsidRPr="00DB7912">
              <w:rPr>
                <w:rFonts w:ascii="Arial" w:hAnsi="Arial" w:cs="Arial"/>
                <w:sz w:val="20"/>
                <w:szCs w:val="24"/>
              </w:rPr>
              <w:t>revenue circle</w:t>
            </w:r>
            <w:r w:rsidRPr="00DB7912">
              <w:rPr>
                <w:rFonts w:ascii="Arial" w:hAnsi="Arial" w:cs="Arial"/>
                <w:sz w:val="20"/>
                <w:szCs w:val="24"/>
              </w:rPr>
              <w:t xml:space="preserve">. </w:t>
            </w:r>
          </w:p>
        </w:tc>
        <w:tc>
          <w:tcPr>
            <w:tcW w:w="4111" w:type="dxa"/>
          </w:tcPr>
          <w:p w14:paraId="7FB9AE5A" w14:textId="77777777" w:rsidR="008B3A71" w:rsidRPr="00DB7912" w:rsidRDefault="008B3A71" w:rsidP="00B33DCC">
            <w:pPr>
              <w:autoSpaceDE w:val="0"/>
              <w:autoSpaceDN w:val="0"/>
              <w:adjustRightInd w:val="0"/>
              <w:jc w:val="both"/>
              <w:rPr>
                <w:rFonts w:ascii="Arial" w:hAnsi="Arial" w:cs="Arial"/>
                <w:sz w:val="20"/>
                <w:szCs w:val="24"/>
              </w:rPr>
            </w:pPr>
            <w:r w:rsidRPr="00DB7912">
              <w:rPr>
                <w:rFonts w:ascii="Arial" w:hAnsi="Arial" w:cs="Arial"/>
                <w:sz w:val="20"/>
                <w:szCs w:val="24"/>
              </w:rPr>
              <w:t>Recommended dose of ZnSO</w:t>
            </w:r>
            <w:r w:rsidRPr="00DB7912">
              <w:rPr>
                <w:rFonts w:ascii="Arial" w:hAnsi="Arial" w:cs="Arial"/>
                <w:sz w:val="20"/>
                <w:szCs w:val="24"/>
                <w:vertAlign w:val="subscript"/>
              </w:rPr>
              <w:t>4</w:t>
            </w:r>
            <w:r w:rsidRPr="00DB7912">
              <w:rPr>
                <w:rFonts w:ascii="Arial" w:hAnsi="Arial" w:cs="Arial"/>
                <w:sz w:val="20"/>
                <w:szCs w:val="24"/>
              </w:rPr>
              <w:t xml:space="preserve"> can be applied according to crop and varieties (</w:t>
            </w:r>
            <w:r w:rsidRPr="00DB7912">
              <w:rPr>
                <w:rFonts w:ascii="Arial" w:hAnsi="Arial" w:cs="Arial"/>
                <w:i/>
                <w:iCs/>
                <w:sz w:val="20"/>
                <w:szCs w:val="24"/>
              </w:rPr>
              <w:t xml:space="preserve">e.g. </w:t>
            </w:r>
            <w:r w:rsidRPr="00DB7912">
              <w:rPr>
                <w:rFonts w:ascii="Arial" w:hAnsi="Arial" w:cs="Arial"/>
                <w:sz w:val="20"/>
                <w:szCs w:val="24"/>
              </w:rPr>
              <w:t>rice - ZnSO</w:t>
            </w:r>
            <w:r w:rsidRPr="00DB7912">
              <w:rPr>
                <w:rFonts w:ascii="Arial" w:hAnsi="Arial" w:cs="Arial"/>
                <w:sz w:val="20"/>
                <w:szCs w:val="24"/>
                <w:vertAlign w:val="subscript"/>
              </w:rPr>
              <w:t>4</w:t>
            </w:r>
            <w:r w:rsidRPr="00DB7912">
              <w:rPr>
                <w:rFonts w:ascii="Arial" w:hAnsi="Arial" w:cs="Arial"/>
                <w:sz w:val="20"/>
                <w:szCs w:val="24"/>
              </w:rPr>
              <w:t xml:space="preserve"> @ 25 kg ha</w:t>
            </w:r>
            <w:r w:rsidRPr="00DB7912">
              <w:rPr>
                <w:rFonts w:ascii="Arial" w:hAnsi="Arial" w:cs="Arial"/>
                <w:sz w:val="20"/>
                <w:szCs w:val="24"/>
                <w:vertAlign w:val="superscript"/>
              </w:rPr>
              <w:t>-1</w:t>
            </w:r>
            <w:r w:rsidRPr="00DB7912">
              <w:rPr>
                <w:rFonts w:ascii="Arial" w:hAnsi="Arial" w:cs="Arial"/>
                <w:sz w:val="20"/>
                <w:szCs w:val="24"/>
              </w:rPr>
              <w:t>).</w:t>
            </w:r>
          </w:p>
        </w:tc>
      </w:tr>
    </w:tbl>
    <w:p w14:paraId="10EC2519" w14:textId="77777777" w:rsidR="008B3A71" w:rsidRPr="00DB7912" w:rsidRDefault="008B3A71" w:rsidP="008B3A71">
      <w:pPr>
        <w:spacing w:after="0" w:line="240" w:lineRule="auto"/>
        <w:jc w:val="both"/>
        <w:rPr>
          <w:rFonts w:ascii="Arial" w:hAnsi="Arial" w:cs="Arial"/>
          <w:sz w:val="20"/>
          <w:szCs w:val="24"/>
        </w:rPr>
      </w:pPr>
    </w:p>
    <w:p w14:paraId="4E57E62E" w14:textId="77777777" w:rsidR="008B3A71" w:rsidRPr="00DB7912" w:rsidRDefault="008B3A71" w:rsidP="008B3A71">
      <w:pPr>
        <w:spacing w:after="0" w:line="240" w:lineRule="auto"/>
        <w:jc w:val="both"/>
        <w:rPr>
          <w:rFonts w:ascii="Arial" w:hAnsi="Arial" w:cs="Arial"/>
          <w:sz w:val="20"/>
          <w:szCs w:val="24"/>
        </w:rPr>
      </w:pPr>
    </w:p>
    <w:p w14:paraId="1D265219" w14:textId="77777777" w:rsidR="008B3A71" w:rsidRPr="00DB7912" w:rsidRDefault="008B3A71" w:rsidP="008B3A71">
      <w:pPr>
        <w:spacing w:after="0" w:line="240" w:lineRule="auto"/>
        <w:jc w:val="both"/>
        <w:rPr>
          <w:rFonts w:ascii="Arial" w:hAnsi="Arial" w:cs="Arial"/>
          <w:sz w:val="20"/>
          <w:szCs w:val="24"/>
        </w:rPr>
      </w:pPr>
    </w:p>
    <w:p w14:paraId="62284553" w14:textId="77777777" w:rsidR="008337D8" w:rsidRPr="00DB7912" w:rsidRDefault="008337D8" w:rsidP="008B3A71">
      <w:pPr>
        <w:autoSpaceDE w:val="0"/>
        <w:autoSpaceDN w:val="0"/>
        <w:adjustRightInd w:val="0"/>
        <w:spacing w:after="0"/>
        <w:ind w:left="851" w:hanging="851"/>
        <w:jc w:val="both"/>
        <w:rPr>
          <w:rFonts w:ascii="Arial" w:hAnsi="Arial" w:cs="Arial"/>
          <w:sz w:val="20"/>
          <w:szCs w:val="24"/>
        </w:rPr>
      </w:pPr>
    </w:p>
    <w:sectPr w:rsidR="008337D8" w:rsidRPr="00DB7912" w:rsidSect="008B3A7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03B92" w14:textId="77777777" w:rsidR="00730A1C" w:rsidRDefault="00730A1C" w:rsidP="00A37E7A">
      <w:pPr>
        <w:spacing w:after="0" w:line="240" w:lineRule="auto"/>
      </w:pPr>
      <w:r>
        <w:separator/>
      </w:r>
    </w:p>
  </w:endnote>
  <w:endnote w:type="continuationSeparator" w:id="0">
    <w:p w14:paraId="657B95B9" w14:textId="77777777" w:rsidR="00730A1C" w:rsidRDefault="00730A1C" w:rsidP="00A3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Identity-H">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D7182" w14:textId="77777777" w:rsidR="001522FD" w:rsidRDefault="00152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3542"/>
      <w:docPartObj>
        <w:docPartGallery w:val="Page Numbers (Bottom of Page)"/>
        <w:docPartUnique/>
      </w:docPartObj>
    </w:sdtPr>
    <w:sdtContent>
      <w:p w14:paraId="3135B9B2" w14:textId="77777777" w:rsidR="0000441B" w:rsidRDefault="00C97D4F">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7521B668" w14:textId="77777777" w:rsidR="0000441B" w:rsidRDefault="000044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F075" w14:textId="77777777" w:rsidR="001522FD" w:rsidRDefault="00152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12DB7" w14:textId="77777777" w:rsidR="00730A1C" w:rsidRDefault="00730A1C" w:rsidP="00A37E7A">
      <w:pPr>
        <w:spacing w:after="0" w:line="240" w:lineRule="auto"/>
      </w:pPr>
      <w:r>
        <w:separator/>
      </w:r>
    </w:p>
  </w:footnote>
  <w:footnote w:type="continuationSeparator" w:id="0">
    <w:p w14:paraId="3330C6DB" w14:textId="77777777" w:rsidR="00730A1C" w:rsidRDefault="00730A1C" w:rsidP="00A37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20D90" w14:textId="49249611" w:rsidR="001522FD" w:rsidRDefault="001522FD">
    <w:pPr>
      <w:pStyle w:val="Header"/>
    </w:pPr>
    <w:r>
      <w:rPr>
        <w:noProof/>
      </w:rPr>
      <w:pict w14:anchorId="3AB4E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7323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9F624" w14:textId="3BC2633A" w:rsidR="001522FD" w:rsidRDefault="001522FD">
    <w:pPr>
      <w:pStyle w:val="Header"/>
    </w:pPr>
    <w:r>
      <w:rPr>
        <w:noProof/>
      </w:rPr>
      <w:pict w14:anchorId="2FB48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7323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337" w14:textId="5B10D3AA" w:rsidR="001522FD" w:rsidRDefault="001522FD">
    <w:pPr>
      <w:pStyle w:val="Header"/>
    </w:pPr>
    <w:r>
      <w:rPr>
        <w:noProof/>
      </w:rPr>
      <w:pict w14:anchorId="62FB3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7323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90B5F"/>
    <w:multiLevelType w:val="hybridMultilevel"/>
    <w:tmpl w:val="241A4140"/>
    <w:lvl w:ilvl="0" w:tplc="197A9D1E">
      <w:start w:val="19"/>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EC0AD5"/>
    <w:multiLevelType w:val="multilevel"/>
    <w:tmpl w:val="19FAD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B4A186D"/>
    <w:multiLevelType w:val="hybridMultilevel"/>
    <w:tmpl w:val="C3AAF11A"/>
    <w:lvl w:ilvl="0" w:tplc="0C3EF836">
      <w:start w:val="19"/>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7414353">
    <w:abstractNumId w:val="1"/>
  </w:num>
  <w:num w:numId="2" w16cid:durableId="1160736239">
    <w:abstractNumId w:val="2"/>
  </w:num>
  <w:num w:numId="3" w16cid:durableId="1760102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93B13"/>
    <w:rsid w:val="00000B1B"/>
    <w:rsid w:val="00002C4E"/>
    <w:rsid w:val="0000441B"/>
    <w:rsid w:val="00004C22"/>
    <w:rsid w:val="000118C0"/>
    <w:rsid w:val="0001561E"/>
    <w:rsid w:val="00016C66"/>
    <w:rsid w:val="0002454A"/>
    <w:rsid w:val="00024D4A"/>
    <w:rsid w:val="0006137D"/>
    <w:rsid w:val="00061B43"/>
    <w:rsid w:val="000706D9"/>
    <w:rsid w:val="00072316"/>
    <w:rsid w:val="00072DCC"/>
    <w:rsid w:val="00082D0C"/>
    <w:rsid w:val="00092332"/>
    <w:rsid w:val="00095061"/>
    <w:rsid w:val="000962F5"/>
    <w:rsid w:val="000B2418"/>
    <w:rsid w:val="000C1BAC"/>
    <w:rsid w:val="000F3530"/>
    <w:rsid w:val="000F47E1"/>
    <w:rsid w:val="000F52CA"/>
    <w:rsid w:val="000F58B7"/>
    <w:rsid w:val="0010155E"/>
    <w:rsid w:val="001123AF"/>
    <w:rsid w:val="00134649"/>
    <w:rsid w:val="0013491A"/>
    <w:rsid w:val="00141E43"/>
    <w:rsid w:val="00144102"/>
    <w:rsid w:val="00150E9A"/>
    <w:rsid w:val="001522FD"/>
    <w:rsid w:val="001577E3"/>
    <w:rsid w:val="00157D60"/>
    <w:rsid w:val="00163011"/>
    <w:rsid w:val="00164777"/>
    <w:rsid w:val="00165411"/>
    <w:rsid w:val="00184065"/>
    <w:rsid w:val="00184363"/>
    <w:rsid w:val="001935C8"/>
    <w:rsid w:val="00194060"/>
    <w:rsid w:val="001A41A4"/>
    <w:rsid w:val="001A7469"/>
    <w:rsid w:val="001C2B85"/>
    <w:rsid w:val="001D427F"/>
    <w:rsid w:val="001F021F"/>
    <w:rsid w:val="001F07E8"/>
    <w:rsid w:val="001F431F"/>
    <w:rsid w:val="002067FE"/>
    <w:rsid w:val="00210FD0"/>
    <w:rsid w:val="002129D2"/>
    <w:rsid w:val="0022073B"/>
    <w:rsid w:val="00241E5A"/>
    <w:rsid w:val="0025108B"/>
    <w:rsid w:val="0026237A"/>
    <w:rsid w:val="00265F87"/>
    <w:rsid w:val="00274271"/>
    <w:rsid w:val="00277E39"/>
    <w:rsid w:val="00292A30"/>
    <w:rsid w:val="00293359"/>
    <w:rsid w:val="002944FD"/>
    <w:rsid w:val="00296F79"/>
    <w:rsid w:val="002A5986"/>
    <w:rsid w:val="002B0AEB"/>
    <w:rsid w:val="002B1538"/>
    <w:rsid w:val="002B1A95"/>
    <w:rsid w:val="002D3314"/>
    <w:rsid w:val="002D6EAB"/>
    <w:rsid w:val="002E0AED"/>
    <w:rsid w:val="002E2D25"/>
    <w:rsid w:val="002E5180"/>
    <w:rsid w:val="002F1ACA"/>
    <w:rsid w:val="002F3918"/>
    <w:rsid w:val="0030204B"/>
    <w:rsid w:val="003038ED"/>
    <w:rsid w:val="003073A7"/>
    <w:rsid w:val="003078AB"/>
    <w:rsid w:val="003115C5"/>
    <w:rsid w:val="0032427A"/>
    <w:rsid w:val="00324578"/>
    <w:rsid w:val="0032616D"/>
    <w:rsid w:val="0034630B"/>
    <w:rsid w:val="003620A1"/>
    <w:rsid w:val="00377313"/>
    <w:rsid w:val="003773D7"/>
    <w:rsid w:val="00380613"/>
    <w:rsid w:val="0038177F"/>
    <w:rsid w:val="003826CA"/>
    <w:rsid w:val="00393B13"/>
    <w:rsid w:val="00395577"/>
    <w:rsid w:val="003A3010"/>
    <w:rsid w:val="003A7B14"/>
    <w:rsid w:val="003B31E2"/>
    <w:rsid w:val="003B59AC"/>
    <w:rsid w:val="003C4444"/>
    <w:rsid w:val="003D4455"/>
    <w:rsid w:val="003E2203"/>
    <w:rsid w:val="003E6B10"/>
    <w:rsid w:val="00403CA6"/>
    <w:rsid w:val="00406BCB"/>
    <w:rsid w:val="00410192"/>
    <w:rsid w:val="00414E87"/>
    <w:rsid w:val="004208C7"/>
    <w:rsid w:val="0042169E"/>
    <w:rsid w:val="004277E6"/>
    <w:rsid w:val="004338CF"/>
    <w:rsid w:val="004369BE"/>
    <w:rsid w:val="00436B1F"/>
    <w:rsid w:val="0043793A"/>
    <w:rsid w:val="00450D81"/>
    <w:rsid w:val="00451119"/>
    <w:rsid w:val="00456F37"/>
    <w:rsid w:val="00457E66"/>
    <w:rsid w:val="004649EA"/>
    <w:rsid w:val="00480FA3"/>
    <w:rsid w:val="00482276"/>
    <w:rsid w:val="00492625"/>
    <w:rsid w:val="00492ABC"/>
    <w:rsid w:val="004B0B0F"/>
    <w:rsid w:val="004B3F4F"/>
    <w:rsid w:val="0051039A"/>
    <w:rsid w:val="00510F0E"/>
    <w:rsid w:val="00517A7B"/>
    <w:rsid w:val="005210DF"/>
    <w:rsid w:val="00543D08"/>
    <w:rsid w:val="00550F30"/>
    <w:rsid w:val="00553507"/>
    <w:rsid w:val="00553E15"/>
    <w:rsid w:val="00554D66"/>
    <w:rsid w:val="005760B7"/>
    <w:rsid w:val="00583B51"/>
    <w:rsid w:val="00586608"/>
    <w:rsid w:val="00590857"/>
    <w:rsid w:val="0059111C"/>
    <w:rsid w:val="005A3022"/>
    <w:rsid w:val="005D5060"/>
    <w:rsid w:val="005E1F47"/>
    <w:rsid w:val="005F0F35"/>
    <w:rsid w:val="005F1D54"/>
    <w:rsid w:val="005F49A5"/>
    <w:rsid w:val="00603964"/>
    <w:rsid w:val="006102DF"/>
    <w:rsid w:val="00615FA9"/>
    <w:rsid w:val="006218F4"/>
    <w:rsid w:val="0062321D"/>
    <w:rsid w:val="00630FC2"/>
    <w:rsid w:val="00642E77"/>
    <w:rsid w:val="00643BE1"/>
    <w:rsid w:val="00663705"/>
    <w:rsid w:val="00665064"/>
    <w:rsid w:val="00674968"/>
    <w:rsid w:val="0068088F"/>
    <w:rsid w:val="00682A29"/>
    <w:rsid w:val="006A0934"/>
    <w:rsid w:val="006A0BF8"/>
    <w:rsid w:val="006A321F"/>
    <w:rsid w:val="006B23DA"/>
    <w:rsid w:val="006B67D6"/>
    <w:rsid w:val="006D0A72"/>
    <w:rsid w:val="006E1431"/>
    <w:rsid w:val="006E234F"/>
    <w:rsid w:val="006F1A14"/>
    <w:rsid w:val="00700567"/>
    <w:rsid w:val="0070147F"/>
    <w:rsid w:val="00704066"/>
    <w:rsid w:val="007057A5"/>
    <w:rsid w:val="0071608D"/>
    <w:rsid w:val="00730A1C"/>
    <w:rsid w:val="00735276"/>
    <w:rsid w:val="00737FBD"/>
    <w:rsid w:val="00744DB6"/>
    <w:rsid w:val="007769C0"/>
    <w:rsid w:val="00777DDE"/>
    <w:rsid w:val="00787FB1"/>
    <w:rsid w:val="007A5254"/>
    <w:rsid w:val="007B6EA4"/>
    <w:rsid w:val="007C5399"/>
    <w:rsid w:val="007E3092"/>
    <w:rsid w:val="007F45CE"/>
    <w:rsid w:val="00802DD9"/>
    <w:rsid w:val="00812B95"/>
    <w:rsid w:val="008165E9"/>
    <w:rsid w:val="0081797F"/>
    <w:rsid w:val="0082112E"/>
    <w:rsid w:val="00826DF1"/>
    <w:rsid w:val="008337D8"/>
    <w:rsid w:val="00844814"/>
    <w:rsid w:val="00872D02"/>
    <w:rsid w:val="00882CF6"/>
    <w:rsid w:val="008B3A71"/>
    <w:rsid w:val="008B58D0"/>
    <w:rsid w:val="008C2816"/>
    <w:rsid w:val="008C2D39"/>
    <w:rsid w:val="008D0549"/>
    <w:rsid w:val="008D36E9"/>
    <w:rsid w:val="008E732D"/>
    <w:rsid w:val="00901714"/>
    <w:rsid w:val="0091103F"/>
    <w:rsid w:val="0091601F"/>
    <w:rsid w:val="0091660D"/>
    <w:rsid w:val="00921696"/>
    <w:rsid w:val="009272EF"/>
    <w:rsid w:val="00930883"/>
    <w:rsid w:val="00945B51"/>
    <w:rsid w:val="009606CE"/>
    <w:rsid w:val="00972FA3"/>
    <w:rsid w:val="0097444B"/>
    <w:rsid w:val="00982EDA"/>
    <w:rsid w:val="00983817"/>
    <w:rsid w:val="0099577D"/>
    <w:rsid w:val="0099669B"/>
    <w:rsid w:val="00997CDE"/>
    <w:rsid w:val="009A5569"/>
    <w:rsid w:val="009B55FD"/>
    <w:rsid w:val="009B602D"/>
    <w:rsid w:val="009C452A"/>
    <w:rsid w:val="009C4B77"/>
    <w:rsid w:val="009D1AEC"/>
    <w:rsid w:val="009D24E1"/>
    <w:rsid w:val="009D3244"/>
    <w:rsid w:val="009E7E3F"/>
    <w:rsid w:val="009F44D3"/>
    <w:rsid w:val="00A013EC"/>
    <w:rsid w:val="00A0647B"/>
    <w:rsid w:val="00A064B5"/>
    <w:rsid w:val="00A13863"/>
    <w:rsid w:val="00A20E8C"/>
    <w:rsid w:val="00A2513B"/>
    <w:rsid w:val="00A37E7A"/>
    <w:rsid w:val="00A5180C"/>
    <w:rsid w:val="00A52F16"/>
    <w:rsid w:val="00A5630A"/>
    <w:rsid w:val="00A72238"/>
    <w:rsid w:val="00A74CAB"/>
    <w:rsid w:val="00A7714C"/>
    <w:rsid w:val="00A80B5A"/>
    <w:rsid w:val="00A92D97"/>
    <w:rsid w:val="00A951BF"/>
    <w:rsid w:val="00AA0627"/>
    <w:rsid w:val="00AA6746"/>
    <w:rsid w:val="00AA707D"/>
    <w:rsid w:val="00AB1A90"/>
    <w:rsid w:val="00AB2DF1"/>
    <w:rsid w:val="00AB3C53"/>
    <w:rsid w:val="00AC61F5"/>
    <w:rsid w:val="00AE0144"/>
    <w:rsid w:val="00AE5302"/>
    <w:rsid w:val="00AF6686"/>
    <w:rsid w:val="00B03810"/>
    <w:rsid w:val="00B148A9"/>
    <w:rsid w:val="00B27301"/>
    <w:rsid w:val="00B33DCC"/>
    <w:rsid w:val="00B354E8"/>
    <w:rsid w:val="00B4004E"/>
    <w:rsid w:val="00B61456"/>
    <w:rsid w:val="00B74575"/>
    <w:rsid w:val="00B83D28"/>
    <w:rsid w:val="00B94F84"/>
    <w:rsid w:val="00BA68C9"/>
    <w:rsid w:val="00BB0320"/>
    <w:rsid w:val="00BB09C3"/>
    <w:rsid w:val="00BB55CB"/>
    <w:rsid w:val="00BB79C9"/>
    <w:rsid w:val="00BB7B17"/>
    <w:rsid w:val="00BC6B45"/>
    <w:rsid w:val="00BF0A26"/>
    <w:rsid w:val="00BF3CB0"/>
    <w:rsid w:val="00C01E32"/>
    <w:rsid w:val="00C01EB2"/>
    <w:rsid w:val="00C022D5"/>
    <w:rsid w:val="00C040E2"/>
    <w:rsid w:val="00C062F8"/>
    <w:rsid w:val="00C06DAB"/>
    <w:rsid w:val="00C10D84"/>
    <w:rsid w:val="00C12332"/>
    <w:rsid w:val="00C12BBD"/>
    <w:rsid w:val="00C13093"/>
    <w:rsid w:val="00C146DE"/>
    <w:rsid w:val="00C246BE"/>
    <w:rsid w:val="00C24709"/>
    <w:rsid w:val="00C31055"/>
    <w:rsid w:val="00C33950"/>
    <w:rsid w:val="00C54667"/>
    <w:rsid w:val="00C62B3A"/>
    <w:rsid w:val="00C947FC"/>
    <w:rsid w:val="00C94BB7"/>
    <w:rsid w:val="00C97D4F"/>
    <w:rsid w:val="00CA2CF7"/>
    <w:rsid w:val="00CB32FE"/>
    <w:rsid w:val="00CB4421"/>
    <w:rsid w:val="00CC07EE"/>
    <w:rsid w:val="00CD278F"/>
    <w:rsid w:val="00CE1487"/>
    <w:rsid w:val="00CE7297"/>
    <w:rsid w:val="00CE7719"/>
    <w:rsid w:val="00CF1BA7"/>
    <w:rsid w:val="00CF6887"/>
    <w:rsid w:val="00D02B9A"/>
    <w:rsid w:val="00D12C97"/>
    <w:rsid w:val="00D14C43"/>
    <w:rsid w:val="00D15898"/>
    <w:rsid w:val="00D16123"/>
    <w:rsid w:val="00D16497"/>
    <w:rsid w:val="00D211EE"/>
    <w:rsid w:val="00D375F8"/>
    <w:rsid w:val="00D47682"/>
    <w:rsid w:val="00D556A6"/>
    <w:rsid w:val="00D73B2B"/>
    <w:rsid w:val="00D93F09"/>
    <w:rsid w:val="00DA41E4"/>
    <w:rsid w:val="00DA4548"/>
    <w:rsid w:val="00DB0070"/>
    <w:rsid w:val="00DB5828"/>
    <w:rsid w:val="00DB7912"/>
    <w:rsid w:val="00DC537F"/>
    <w:rsid w:val="00DE4933"/>
    <w:rsid w:val="00E15472"/>
    <w:rsid w:val="00E21E8E"/>
    <w:rsid w:val="00E333EE"/>
    <w:rsid w:val="00E5043E"/>
    <w:rsid w:val="00E50C90"/>
    <w:rsid w:val="00E55DA2"/>
    <w:rsid w:val="00E6418E"/>
    <w:rsid w:val="00E728F3"/>
    <w:rsid w:val="00E75159"/>
    <w:rsid w:val="00E825FF"/>
    <w:rsid w:val="00E92A16"/>
    <w:rsid w:val="00E945BE"/>
    <w:rsid w:val="00EA3BE8"/>
    <w:rsid w:val="00EA613C"/>
    <w:rsid w:val="00ED12DA"/>
    <w:rsid w:val="00EF107D"/>
    <w:rsid w:val="00F04CDA"/>
    <w:rsid w:val="00F27AB3"/>
    <w:rsid w:val="00F33604"/>
    <w:rsid w:val="00F3500C"/>
    <w:rsid w:val="00F37706"/>
    <w:rsid w:val="00F421F5"/>
    <w:rsid w:val="00F45020"/>
    <w:rsid w:val="00F52502"/>
    <w:rsid w:val="00F624D2"/>
    <w:rsid w:val="00F662A1"/>
    <w:rsid w:val="00F710B8"/>
    <w:rsid w:val="00F7307C"/>
    <w:rsid w:val="00F930BF"/>
    <w:rsid w:val="00FD2BC6"/>
    <w:rsid w:val="00FE4DA3"/>
    <w:rsid w:val="00FE6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2E8B4"/>
  <w15:docId w15:val="{D8A74A52-437D-4ADF-98B8-627C22F6D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B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9C3"/>
    <w:rPr>
      <w:rFonts w:ascii="Tahoma" w:hAnsi="Tahoma" w:cs="Tahoma"/>
      <w:sz w:val="16"/>
      <w:szCs w:val="16"/>
    </w:rPr>
  </w:style>
  <w:style w:type="table" w:styleId="TableGrid">
    <w:name w:val="Table Grid"/>
    <w:basedOn w:val="TableNormal"/>
    <w:uiPriority w:val="59"/>
    <w:rsid w:val="00A80B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37E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E7A"/>
  </w:style>
  <w:style w:type="paragraph" w:styleId="Footer">
    <w:name w:val="footer"/>
    <w:basedOn w:val="Normal"/>
    <w:link w:val="FooterChar"/>
    <w:uiPriority w:val="99"/>
    <w:unhideWhenUsed/>
    <w:rsid w:val="00A37E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E7A"/>
  </w:style>
  <w:style w:type="paragraph" w:styleId="NormalWeb">
    <w:name w:val="Normal (Web)"/>
    <w:basedOn w:val="Normal"/>
    <w:uiPriority w:val="99"/>
    <w:semiHidden/>
    <w:unhideWhenUsed/>
    <w:rsid w:val="002E2D25"/>
    <w:rPr>
      <w:rFonts w:ascii="Times New Roman" w:hAnsi="Times New Roman" w:cs="Times New Roman"/>
      <w:sz w:val="24"/>
      <w:szCs w:val="24"/>
    </w:rPr>
  </w:style>
  <w:style w:type="character" w:styleId="Strong">
    <w:name w:val="Strong"/>
    <w:basedOn w:val="DefaultParagraphFont"/>
    <w:uiPriority w:val="22"/>
    <w:qFormat/>
    <w:rsid w:val="00AA6746"/>
    <w:rPr>
      <w:b/>
      <w:bCs/>
    </w:rPr>
  </w:style>
  <w:style w:type="character" w:styleId="Hyperlink">
    <w:name w:val="Hyperlink"/>
    <w:basedOn w:val="DefaultParagraphFont"/>
    <w:uiPriority w:val="99"/>
    <w:unhideWhenUsed/>
    <w:rsid w:val="00CC07EE"/>
    <w:rPr>
      <w:color w:val="0000FF" w:themeColor="hyperlink"/>
      <w:u w:val="single"/>
    </w:rPr>
  </w:style>
  <w:style w:type="paragraph" w:styleId="ListParagraph">
    <w:name w:val="List Paragraph"/>
    <w:basedOn w:val="Normal"/>
    <w:uiPriority w:val="34"/>
    <w:qFormat/>
    <w:rsid w:val="00744DB6"/>
    <w:pPr>
      <w:ind w:left="720"/>
      <w:contextualSpacing/>
    </w:pPr>
  </w:style>
  <w:style w:type="character" w:styleId="UnresolvedMention">
    <w:name w:val="Unresolved Mention"/>
    <w:basedOn w:val="DefaultParagraphFont"/>
    <w:uiPriority w:val="99"/>
    <w:semiHidden/>
    <w:unhideWhenUsed/>
    <w:rsid w:val="00A52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60825">
      <w:bodyDiv w:val="1"/>
      <w:marLeft w:val="0"/>
      <w:marRight w:val="0"/>
      <w:marTop w:val="0"/>
      <w:marBottom w:val="0"/>
      <w:divBdr>
        <w:top w:val="none" w:sz="0" w:space="0" w:color="auto"/>
        <w:left w:val="none" w:sz="0" w:space="0" w:color="auto"/>
        <w:bottom w:val="none" w:sz="0" w:space="0" w:color="auto"/>
        <w:right w:val="none" w:sz="0" w:space="0" w:color="auto"/>
      </w:divBdr>
    </w:div>
    <w:div w:id="383993099">
      <w:bodyDiv w:val="1"/>
      <w:marLeft w:val="0"/>
      <w:marRight w:val="0"/>
      <w:marTop w:val="0"/>
      <w:marBottom w:val="0"/>
      <w:divBdr>
        <w:top w:val="none" w:sz="0" w:space="0" w:color="auto"/>
        <w:left w:val="none" w:sz="0" w:space="0" w:color="auto"/>
        <w:bottom w:val="none" w:sz="0" w:space="0" w:color="auto"/>
        <w:right w:val="none" w:sz="0" w:space="0" w:color="auto"/>
      </w:divBdr>
    </w:div>
    <w:div w:id="709302974">
      <w:bodyDiv w:val="1"/>
      <w:marLeft w:val="0"/>
      <w:marRight w:val="0"/>
      <w:marTop w:val="0"/>
      <w:marBottom w:val="0"/>
      <w:divBdr>
        <w:top w:val="none" w:sz="0" w:space="0" w:color="auto"/>
        <w:left w:val="none" w:sz="0" w:space="0" w:color="auto"/>
        <w:bottom w:val="none" w:sz="0" w:space="0" w:color="auto"/>
        <w:right w:val="none" w:sz="0" w:space="0" w:color="auto"/>
      </w:divBdr>
    </w:div>
    <w:div w:id="810362546">
      <w:bodyDiv w:val="1"/>
      <w:marLeft w:val="0"/>
      <w:marRight w:val="0"/>
      <w:marTop w:val="0"/>
      <w:marBottom w:val="0"/>
      <w:divBdr>
        <w:top w:val="none" w:sz="0" w:space="0" w:color="auto"/>
        <w:left w:val="none" w:sz="0" w:space="0" w:color="auto"/>
        <w:bottom w:val="none" w:sz="0" w:space="0" w:color="auto"/>
        <w:right w:val="none" w:sz="0" w:space="0" w:color="auto"/>
      </w:divBdr>
    </w:div>
    <w:div w:id="901283651">
      <w:bodyDiv w:val="1"/>
      <w:marLeft w:val="0"/>
      <w:marRight w:val="0"/>
      <w:marTop w:val="0"/>
      <w:marBottom w:val="0"/>
      <w:divBdr>
        <w:top w:val="none" w:sz="0" w:space="0" w:color="auto"/>
        <w:left w:val="none" w:sz="0" w:space="0" w:color="auto"/>
        <w:bottom w:val="none" w:sz="0" w:space="0" w:color="auto"/>
        <w:right w:val="none" w:sz="0" w:space="0" w:color="auto"/>
      </w:divBdr>
    </w:div>
    <w:div w:id="916476289">
      <w:bodyDiv w:val="1"/>
      <w:marLeft w:val="0"/>
      <w:marRight w:val="0"/>
      <w:marTop w:val="0"/>
      <w:marBottom w:val="0"/>
      <w:divBdr>
        <w:top w:val="none" w:sz="0" w:space="0" w:color="auto"/>
        <w:left w:val="none" w:sz="0" w:space="0" w:color="auto"/>
        <w:bottom w:val="none" w:sz="0" w:space="0" w:color="auto"/>
        <w:right w:val="none" w:sz="0" w:space="0" w:color="auto"/>
      </w:divBdr>
    </w:div>
    <w:div w:id="1171334465">
      <w:bodyDiv w:val="1"/>
      <w:marLeft w:val="0"/>
      <w:marRight w:val="0"/>
      <w:marTop w:val="0"/>
      <w:marBottom w:val="0"/>
      <w:divBdr>
        <w:top w:val="none" w:sz="0" w:space="0" w:color="auto"/>
        <w:left w:val="none" w:sz="0" w:space="0" w:color="auto"/>
        <w:bottom w:val="none" w:sz="0" w:space="0" w:color="auto"/>
        <w:right w:val="none" w:sz="0" w:space="0" w:color="auto"/>
      </w:divBdr>
      <w:divsChild>
        <w:div w:id="668481945">
          <w:marLeft w:val="0"/>
          <w:marRight w:val="0"/>
          <w:marTop w:val="0"/>
          <w:marBottom w:val="0"/>
          <w:divBdr>
            <w:top w:val="none" w:sz="0" w:space="0" w:color="auto"/>
            <w:left w:val="none" w:sz="0" w:space="0" w:color="auto"/>
            <w:bottom w:val="none" w:sz="0" w:space="0" w:color="auto"/>
            <w:right w:val="none" w:sz="0" w:space="0" w:color="auto"/>
          </w:divBdr>
          <w:divsChild>
            <w:div w:id="19039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0224">
      <w:bodyDiv w:val="1"/>
      <w:marLeft w:val="0"/>
      <w:marRight w:val="0"/>
      <w:marTop w:val="0"/>
      <w:marBottom w:val="0"/>
      <w:divBdr>
        <w:top w:val="none" w:sz="0" w:space="0" w:color="auto"/>
        <w:left w:val="none" w:sz="0" w:space="0" w:color="auto"/>
        <w:bottom w:val="none" w:sz="0" w:space="0" w:color="auto"/>
        <w:right w:val="none" w:sz="0" w:space="0" w:color="auto"/>
      </w:divBdr>
    </w:div>
    <w:div w:id="1364984459">
      <w:bodyDiv w:val="1"/>
      <w:marLeft w:val="0"/>
      <w:marRight w:val="0"/>
      <w:marTop w:val="0"/>
      <w:marBottom w:val="0"/>
      <w:divBdr>
        <w:top w:val="none" w:sz="0" w:space="0" w:color="auto"/>
        <w:left w:val="none" w:sz="0" w:space="0" w:color="auto"/>
        <w:bottom w:val="none" w:sz="0" w:space="0" w:color="auto"/>
        <w:right w:val="none" w:sz="0" w:space="0" w:color="auto"/>
      </w:divBdr>
    </w:div>
    <w:div w:id="1569459713">
      <w:bodyDiv w:val="1"/>
      <w:marLeft w:val="0"/>
      <w:marRight w:val="0"/>
      <w:marTop w:val="0"/>
      <w:marBottom w:val="0"/>
      <w:divBdr>
        <w:top w:val="none" w:sz="0" w:space="0" w:color="auto"/>
        <w:left w:val="none" w:sz="0" w:space="0" w:color="auto"/>
        <w:bottom w:val="none" w:sz="0" w:space="0" w:color="auto"/>
        <w:right w:val="none" w:sz="0" w:space="0" w:color="auto"/>
      </w:divBdr>
    </w:div>
    <w:div w:id="1691485976">
      <w:bodyDiv w:val="1"/>
      <w:marLeft w:val="0"/>
      <w:marRight w:val="0"/>
      <w:marTop w:val="0"/>
      <w:marBottom w:val="0"/>
      <w:divBdr>
        <w:top w:val="none" w:sz="0" w:space="0" w:color="auto"/>
        <w:left w:val="none" w:sz="0" w:space="0" w:color="auto"/>
        <w:bottom w:val="none" w:sz="0" w:space="0" w:color="auto"/>
        <w:right w:val="none" w:sz="0" w:space="0" w:color="auto"/>
      </w:divBdr>
    </w:div>
    <w:div w:id="1777940460">
      <w:bodyDiv w:val="1"/>
      <w:marLeft w:val="0"/>
      <w:marRight w:val="0"/>
      <w:marTop w:val="0"/>
      <w:marBottom w:val="0"/>
      <w:divBdr>
        <w:top w:val="none" w:sz="0" w:space="0" w:color="auto"/>
        <w:left w:val="none" w:sz="0" w:space="0" w:color="auto"/>
        <w:bottom w:val="none" w:sz="0" w:space="0" w:color="auto"/>
        <w:right w:val="none" w:sz="0" w:space="0" w:color="auto"/>
      </w:divBdr>
    </w:div>
    <w:div w:id="1827238689">
      <w:bodyDiv w:val="1"/>
      <w:marLeft w:val="0"/>
      <w:marRight w:val="0"/>
      <w:marTop w:val="0"/>
      <w:marBottom w:val="0"/>
      <w:divBdr>
        <w:top w:val="none" w:sz="0" w:space="0" w:color="auto"/>
        <w:left w:val="none" w:sz="0" w:space="0" w:color="auto"/>
        <w:bottom w:val="none" w:sz="0" w:space="0" w:color="auto"/>
        <w:right w:val="none" w:sz="0" w:space="0" w:color="auto"/>
      </w:divBdr>
    </w:div>
    <w:div w:id="1864897955">
      <w:bodyDiv w:val="1"/>
      <w:marLeft w:val="0"/>
      <w:marRight w:val="0"/>
      <w:marTop w:val="0"/>
      <w:marBottom w:val="0"/>
      <w:divBdr>
        <w:top w:val="none" w:sz="0" w:space="0" w:color="auto"/>
        <w:left w:val="none" w:sz="0" w:space="0" w:color="auto"/>
        <w:bottom w:val="none" w:sz="0" w:space="0" w:color="auto"/>
        <w:right w:val="none" w:sz="0" w:space="0" w:color="auto"/>
      </w:divBdr>
    </w:div>
    <w:div w:id="1881671605">
      <w:bodyDiv w:val="1"/>
      <w:marLeft w:val="0"/>
      <w:marRight w:val="0"/>
      <w:marTop w:val="0"/>
      <w:marBottom w:val="0"/>
      <w:divBdr>
        <w:top w:val="none" w:sz="0" w:space="0" w:color="auto"/>
        <w:left w:val="none" w:sz="0" w:space="0" w:color="auto"/>
        <w:bottom w:val="none" w:sz="0" w:space="0" w:color="auto"/>
        <w:right w:val="none" w:sz="0" w:space="0" w:color="auto"/>
      </w:divBdr>
    </w:div>
    <w:div w:id="1907256985">
      <w:bodyDiv w:val="1"/>
      <w:marLeft w:val="0"/>
      <w:marRight w:val="0"/>
      <w:marTop w:val="0"/>
      <w:marBottom w:val="0"/>
      <w:divBdr>
        <w:top w:val="none" w:sz="0" w:space="0" w:color="auto"/>
        <w:left w:val="none" w:sz="0" w:space="0" w:color="auto"/>
        <w:bottom w:val="none" w:sz="0" w:space="0" w:color="auto"/>
        <w:right w:val="none" w:sz="0" w:space="0" w:color="auto"/>
      </w:divBdr>
    </w:div>
    <w:div w:id="1952084493">
      <w:bodyDiv w:val="1"/>
      <w:marLeft w:val="0"/>
      <w:marRight w:val="0"/>
      <w:marTop w:val="0"/>
      <w:marBottom w:val="0"/>
      <w:divBdr>
        <w:top w:val="none" w:sz="0" w:space="0" w:color="auto"/>
        <w:left w:val="none" w:sz="0" w:space="0" w:color="auto"/>
        <w:bottom w:val="none" w:sz="0" w:space="0" w:color="auto"/>
        <w:right w:val="none" w:sz="0" w:space="0" w:color="auto"/>
      </w:divBdr>
    </w:div>
    <w:div w:id="1980501582">
      <w:bodyDiv w:val="1"/>
      <w:marLeft w:val="0"/>
      <w:marRight w:val="0"/>
      <w:marTop w:val="0"/>
      <w:marBottom w:val="0"/>
      <w:divBdr>
        <w:top w:val="none" w:sz="0" w:space="0" w:color="auto"/>
        <w:left w:val="none" w:sz="0" w:space="0" w:color="auto"/>
        <w:bottom w:val="none" w:sz="0" w:space="0" w:color="auto"/>
        <w:right w:val="none" w:sz="0" w:space="0" w:color="auto"/>
      </w:divBdr>
    </w:div>
    <w:div w:id="209119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B462F-334A-4FDD-8AE7-40CB2F16C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21</Pages>
  <Words>4855</Words>
  <Characters>27678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Editor-22</cp:lastModifiedBy>
  <cp:revision>207</cp:revision>
  <cp:lastPrinted>2019-08-13T07:28:00Z</cp:lastPrinted>
  <dcterms:created xsi:type="dcterms:W3CDTF">2023-12-01T11:06:00Z</dcterms:created>
  <dcterms:modified xsi:type="dcterms:W3CDTF">2025-02-12T09:39:00Z</dcterms:modified>
</cp:coreProperties>
</file>