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BC837" w14:textId="64BB7902" w:rsidR="00754C9A" w:rsidRDefault="0003662D" w:rsidP="00441B6F">
      <w:pPr>
        <w:pStyle w:val="Title"/>
        <w:spacing w:after="0"/>
        <w:jc w:val="both"/>
        <w:rPr>
          <w:rFonts w:ascii="Arial" w:hAnsi="Arial" w:cs="Arial"/>
        </w:rPr>
      </w:pPr>
      <w:r w:rsidRPr="0003662D">
        <w:rPr>
          <w:rFonts w:ascii="Arial" w:hAnsi="Arial" w:cs="Arial"/>
          <w:bCs/>
          <w:i/>
          <w:iCs/>
          <w:u w:val="single"/>
        </w:rPr>
        <w:t>Original Research Article</w:t>
      </w:r>
    </w:p>
    <w:p w14:paraId="1D9FCA1F" w14:textId="5092E403" w:rsidR="00A258C3" w:rsidRDefault="00BA26C3" w:rsidP="00B45FC1">
      <w:pPr>
        <w:pStyle w:val="Author"/>
        <w:spacing w:line="240" w:lineRule="auto"/>
        <w:rPr>
          <w:rFonts w:ascii="Arial" w:hAnsi="Arial" w:cs="Arial"/>
          <w:bCs/>
          <w:iCs/>
          <w:kern w:val="28"/>
          <w:sz w:val="36"/>
        </w:rPr>
      </w:pPr>
      <w:r w:rsidRPr="00BA26C3">
        <w:rPr>
          <w:rFonts w:ascii="Arial" w:hAnsi="Arial" w:cs="Arial"/>
          <w:bCs/>
          <w:iCs/>
          <w:kern w:val="28"/>
          <w:sz w:val="36"/>
        </w:rPr>
        <w:t>An in-vitro dissolution profile and impurity analysis comparing commercially available dutasteride tamsulosin fixed drug combinations</w:t>
      </w:r>
    </w:p>
    <w:p w14:paraId="7120F4F9" w14:textId="77777777" w:rsidR="0003662D" w:rsidRPr="00B45FC1" w:rsidRDefault="0003662D" w:rsidP="00B45FC1">
      <w:pPr>
        <w:pStyle w:val="Author"/>
        <w:spacing w:line="240" w:lineRule="auto"/>
        <w:rPr>
          <w:rFonts w:ascii="Arial" w:hAnsi="Arial" w:cs="Arial"/>
          <w:bCs/>
          <w:iCs/>
          <w:kern w:val="28"/>
          <w:sz w:val="36"/>
        </w:rPr>
      </w:pPr>
    </w:p>
    <w:p w14:paraId="40BD423D" w14:textId="77777777" w:rsidR="002C57D2" w:rsidRPr="00FB3A86" w:rsidRDefault="002C57D2" w:rsidP="00441B6F">
      <w:pPr>
        <w:pStyle w:val="Affiliation"/>
        <w:spacing w:after="0" w:line="240" w:lineRule="auto"/>
        <w:jc w:val="both"/>
        <w:rPr>
          <w:rFonts w:ascii="Arial" w:hAnsi="Arial" w:cs="Arial"/>
        </w:rPr>
      </w:pPr>
    </w:p>
    <w:p w14:paraId="37A2EB1D" w14:textId="449CD0C1" w:rsidR="00B01FCD" w:rsidRPr="00FB3A86" w:rsidRDefault="00DD6409" w:rsidP="00441B6F">
      <w:pPr>
        <w:pStyle w:val="Copyright"/>
        <w:spacing w:after="0" w:line="240" w:lineRule="auto"/>
        <w:jc w:val="both"/>
        <w:rPr>
          <w:rFonts w:ascii="Arial" w:hAnsi="Arial" w:cs="Arial"/>
        </w:rPr>
        <w:sectPr w:rsidR="00B01FCD" w:rsidRPr="00FB3A86" w:rsidSect="00831BF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E3E8FC8" wp14:editId="1C5A05CA">
                <wp:extent cx="5303520" cy="635"/>
                <wp:effectExtent l="13335" t="13335" r="17145" b="15240"/>
                <wp:docPr id="20961675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C2E19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0227FEC" w14:textId="403418F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921FA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C612623" w14:textId="77777777" w:rsidTr="001E44FE">
        <w:tc>
          <w:tcPr>
            <w:tcW w:w="9576" w:type="dxa"/>
            <w:shd w:val="clear" w:color="auto" w:fill="F2F2F2"/>
          </w:tcPr>
          <w:p w14:paraId="4251EDFD" w14:textId="65BFC2A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96288" w:rsidRPr="00196288">
              <w:rPr>
                <w:rFonts w:ascii="Arial" w:eastAsia="Calibri" w:hAnsi="Arial" w:cs="Arial"/>
                <w:szCs w:val="22"/>
              </w:rPr>
              <w:t xml:space="preserve">This in vitro study aimed to assess </w:t>
            </w:r>
            <w:proofErr w:type="spellStart"/>
            <w:r w:rsidR="00196288" w:rsidRPr="00196288">
              <w:rPr>
                <w:rFonts w:ascii="Arial" w:eastAsia="Calibri" w:hAnsi="Arial" w:cs="Arial"/>
                <w:szCs w:val="22"/>
              </w:rPr>
              <w:t>Dutas</w:t>
            </w:r>
            <w:proofErr w:type="spellEnd"/>
            <w:r w:rsidR="00196288" w:rsidRPr="00196288">
              <w:rPr>
                <w:rFonts w:ascii="Arial" w:eastAsia="Calibri" w:hAnsi="Arial" w:cs="Arial"/>
                <w:szCs w:val="22"/>
              </w:rPr>
              <w:t xml:space="preserve"> T+ pharmacokinetics (dissolution) and impurity profile in comparison with other brands.</w:t>
            </w:r>
          </w:p>
          <w:p w14:paraId="5C23E417" w14:textId="7B6D085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322BE">
              <w:rPr>
                <w:rFonts w:ascii="Arial" w:eastAsia="Calibri" w:hAnsi="Arial" w:cs="Arial"/>
                <w:szCs w:val="22"/>
              </w:rPr>
              <w:t>In vitro dissolution study</w:t>
            </w:r>
          </w:p>
          <w:p w14:paraId="67F236BF" w14:textId="70374C0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20B1C" w:rsidRPr="00C20B1C">
              <w:rPr>
                <w:rFonts w:ascii="Arial" w:eastAsia="Calibri" w:hAnsi="Arial" w:cs="Arial"/>
                <w:szCs w:val="22"/>
              </w:rPr>
              <w:t>Theta-Beta Algorithms, India</w:t>
            </w:r>
            <w:r w:rsidRPr="00BA1B01">
              <w:rPr>
                <w:rFonts w:ascii="Arial" w:eastAsia="Calibri" w:hAnsi="Arial" w:cs="Arial"/>
                <w:szCs w:val="22"/>
              </w:rPr>
              <w:t xml:space="preserve"> </w:t>
            </w:r>
            <w:r w:rsidR="00EC2059">
              <w:rPr>
                <w:rFonts w:ascii="Arial" w:eastAsia="Calibri" w:hAnsi="Arial" w:cs="Arial"/>
                <w:szCs w:val="22"/>
              </w:rPr>
              <w:t>for the duration of one month.</w:t>
            </w:r>
          </w:p>
          <w:p w14:paraId="522B28E8" w14:textId="7D22D05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50046" w:rsidRPr="00150046">
              <w:rPr>
                <w:rFonts w:ascii="Arial" w:eastAsia="Calibri" w:hAnsi="Arial" w:cs="Arial"/>
                <w:szCs w:val="22"/>
              </w:rPr>
              <w:t xml:space="preserve">The dissolution of dutasteride was done by using type-2 apparatus (75 rpm) with the chromatographic system (240 nm detector). The percentage of the labelled amount of dutasteride dissolved was then calculated. The dissolution of tamsulosin hydrochloride involved acid stage (0.1 N hydrochloric acid) and buffer stage (0.1N hydrochloric acid and a sodium phosphate buffer) and was done by using type-2 apparatus (50 rpm) with the chromatographic system (225 nm detector). The tailing factor was NMT 2.0. Further, </w:t>
            </w:r>
            <w:r w:rsidR="003B6EA2" w:rsidRPr="00150046">
              <w:rPr>
                <w:rFonts w:ascii="Arial" w:eastAsia="Calibri" w:hAnsi="Arial" w:cs="Arial"/>
                <w:szCs w:val="22"/>
              </w:rPr>
              <w:t>the impurities</w:t>
            </w:r>
            <w:r w:rsidR="00150046" w:rsidRPr="00150046">
              <w:rPr>
                <w:rFonts w:ascii="Arial" w:eastAsia="Calibri" w:hAnsi="Arial" w:cs="Arial"/>
                <w:szCs w:val="22"/>
              </w:rPr>
              <w:t xml:space="preserve"> tested for dutasteride were </w:t>
            </w:r>
            <w:proofErr w:type="spellStart"/>
            <w:r w:rsidR="00150046" w:rsidRPr="00150046">
              <w:rPr>
                <w:rFonts w:ascii="Arial" w:eastAsia="Calibri" w:hAnsi="Arial" w:cs="Arial"/>
                <w:szCs w:val="22"/>
              </w:rPr>
              <w:t>Desmethyldutasteride</w:t>
            </w:r>
            <w:proofErr w:type="spellEnd"/>
            <w:r w:rsidR="00150046" w:rsidRPr="00150046">
              <w:rPr>
                <w:rFonts w:ascii="Arial" w:eastAsia="Calibri" w:hAnsi="Arial" w:cs="Arial"/>
                <w:szCs w:val="22"/>
              </w:rPr>
              <w:t xml:space="preserve">, and </w:t>
            </w:r>
            <w:proofErr w:type="spellStart"/>
            <w:r w:rsidR="00150046" w:rsidRPr="00150046">
              <w:rPr>
                <w:rFonts w:ascii="Arial" w:eastAsia="Calibri" w:hAnsi="Arial" w:cs="Arial"/>
                <w:szCs w:val="22"/>
              </w:rPr>
              <w:t>Dihydrodutasteride</w:t>
            </w:r>
            <w:proofErr w:type="spellEnd"/>
            <w:r w:rsidR="00150046" w:rsidRPr="00150046">
              <w:rPr>
                <w:rFonts w:ascii="Arial" w:eastAsia="Calibri" w:hAnsi="Arial" w:cs="Arial"/>
                <w:szCs w:val="22"/>
              </w:rPr>
              <w:t xml:space="preserve"> and for tamsulosin were 2-methoxy, 5-benzenesulphonamide, and 2-propan-2-amine. Detection was done using spectrophotometer at 220 nm and 225 nm for dutasteride and tamsulosin respectively</w:t>
            </w:r>
            <w:r w:rsidRPr="00BA1B01">
              <w:rPr>
                <w:rFonts w:ascii="Arial" w:eastAsia="Calibri" w:hAnsi="Arial" w:cs="Arial"/>
                <w:szCs w:val="22"/>
              </w:rPr>
              <w:t>.</w:t>
            </w:r>
          </w:p>
          <w:p w14:paraId="0E2A5FDF" w14:textId="5E712CF6" w:rsidR="00856EB4"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856EB4" w:rsidRPr="00856EB4">
              <w:rPr>
                <w:rFonts w:ascii="Arial" w:eastAsia="Calibri" w:hAnsi="Arial" w:cs="Arial"/>
                <w:szCs w:val="22"/>
              </w:rPr>
              <w:t xml:space="preserve">In vitro dissolution profiles show that </w:t>
            </w:r>
            <w:proofErr w:type="spellStart"/>
            <w:r w:rsidR="00856EB4" w:rsidRPr="00856EB4">
              <w:rPr>
                <w:rFonts w:ascii="Arial" w:eastAsia="Calibri" w:hAnsi="Arial" w:cs="Arial"/>
                <w:szCs w:val="22"/>
              </w:rPr>
              <w:t>Dutas</w:t>
            </w:r>
            <w:proofErr w:type="spellEnd"/>
            <w:r w:rsidR="00856EB4" w:rsidRPr="00856EB4">
              <w:rPr>
                <w:rFonts w:ascii="Arial" w:eastAsia="Calibri" w:hAnsi="Arial" w:cs="Arial"/>
                <w:szCs w:val="22"/>
              </w:rPr>
              <w:t xml:space="preserve"> T+ achieves the highest release of dutasteride compared to other brands. No release of tamsulosin is observed in any formulation within the first 2 hours at </w:t>
            </w:r>
            <w:r w:rsidR="0035222F" w:rsidRPr="00856EB4">
              <w:rPr>
                <w:rFonts w:ascii="Arial" w:eastAsia="Calibri" w:hAnsi="Arial" w:cs="Arial"/>
                <w:szCs w:val="22"/>
              </w:rPr>
              <w:t>the acid</w:t>
            </w:r>
            <w:r w:rsidR="00856EB4" w:rsidRPr="00856EB4">
              <w:rPr>
                <w:rFonts w:ascii="Arial" w:eastAsia="Calibri" w:hAnsi="Arial" w:cs="Arial"/>
                <w:szCs w:val="22"/>
              </w:rPr>
              <w:t xml:space="preserve"> stage. However, after 7 hours in the buffer stage, </w:t>
            </w:r>
            <w:proofErr w:type="spellStart"/>
            <w:r w:rsidR="00856EB4" w:rsidRPr="00856EB4">
              <w:rPr>
                <w:rFonts w:ascii="Arial" w:eastAsia="Calibri" w:hAnsi="Arial" w:cs="Arial"/>
                <w:szCs w:val="22"/>
              </w:rPr>
              <w:t>Dutas</w:t>
            </w:r>
            <w:proofErr w:type="spellEnd"/>
            <w:r w:rsidR="00856EB4" w:rsidRPr="00856EB4">
              <w:rPr>
                <w:rFonts w:ascii="Arial" w:eastAsia="Calibri" w:hAnsi="Arial" w:cs="Arial"/>
                <w:szCs w:val="22"/>
              </w:rPr>
              <w:t xml:space="preserve"> T+, brand A, and brand B exhibit nearly complete dissolution. Dissolution times for dutasteride vary significantly among formulations, with </w:t>
            </w:r>
            <w:proofErr w:type="spellStart"/>
            <w:r w:rsidR="00856EB4" w:rsidRPr="00856EB4">
              <w:rPr>
                <w:rFonts w:ascii="Arial" w:eastAsia="Calibri" w:hAnsi="Arial" w:cs="Arial"/>
                <w:szCs w:val="22"/>
              </w:rPr>
              <w:t>Dutas</w:t>
            </w:r>
            <w:proofErr w:type="spellEnd"/>
            <w:r w:rsidR="00856EB4" w:rsidRPr="00856EB4">
              <w:rPr>
                <w:rFonts w:ascii="Arial" w:eastAsia="Calibri" w:hAnsi="Arial" w:cs="Arial"/>
                <w:szCs w:val="22"/>
              </w:rPr>
              <w:t xml:space="preserve"> T+ dissolving over 75% in 5 minutes, while brand A takes 30 minutes for complete dissolution. For tamsulosin hydrochloride, </w:t>
            </w:r>
            <w:proofErr w:type="spellStart"/>
            <w:r w:rsidR="00856EB4" w:rsidRPr="00856EB4">
              <w:rPr>
                <w:rFonts w:ascii="Arial" w:eastAsia="Calibri" w:hAnsi="Arial" w:cs="Arial"/>
                <w:szCs w:val="22"/>
              </w:rPr>
              <w:t>Dutas</w:t>
            </w:r>
            <w:proofErr w:type="spellEnd"/>
            <w:r w:rsidR="00856EB4" w:rsidRPr="00856EB4">
              <w:rPr>
                <w:rFonts w:ascii="Arial" w:eastAsia="Calibri" w:hAnsi="Arial" w:cs="Arial"/>
                <w:szCs w:val="22"/>
              </w:rPr>
              <w:t xml:space="preserve"> T+ reaches 50–75% dissolution in 3 hours and full dissolution in 4 hours, compared to brand C, which takes up to 6 hours, and brand B, which completes in 3 hours. All formulations show no detectable impurities for both dutasteride and tamsulosin.</w:t>
            </w:r>
          </w:p>
          <w:p w14:paraId="0251EF97" w14:textId="4144D9AF" w:rsidR="00505F06" w:rsidRPr="00BA1B01" w:rsidRDefault="00BA1B01" w:rsidP="00DF7BD3">
            <w:pPr>
              <w:pStyle w:val="Body"/>
              <w:spacing w:after="0"/>
              <w:rPr>
                <w:rFonts w:ascii="Arial" w:eastAsia="Calibri" w:hAnsi="Arial" w:cs="Arial"/>
                <w:szCs w:val="22"/>
              </w:rPr>
            </w:pPr>
            <w:r w:rsidRPr="00BA1B01">
              <w:rPr>
                <w:rFonts w:ascii="Arial" w:eastAsia="Calibri" w:hAnsi="Arial" w:cs="Arial"/>
                <w:b/>
                <w:bCs/>
                <w:szCs w:val="22"/>
              </w:rPr>
              <w:t>Conclusion</w:t>
            </w:r>
            <w:r w:rsidR="00DF7BD3">
              <w:rPr>
                <w:rFonts w:ascii="Arial" w:eastAsia="Calibri" w:hAnsi="Arial" w:cs="Arial"/>
                <w:b/>
                <w:bCs/>
                <w:szCs w:val="22"/>
              </w:rPr>
              <w:t xml:space="preserve">: </w:t>
            </w:r>
            <w:r w:rsidR="00DF7BD3" w:rsidRPr="00DF7BD3">
              <w:rPr>
                <w:rFonts w:ascii="Arial" w:eastAsia="Calibri" w:hAnsi="Arial" w:cs="Arial"/>
                <w:szCs w:val="22"/>
              </w:rPr>
              <w:t xml:space="preserve">Dissolution studies indicate that </w:t>
            </w:r>
            <w:proofErr w:type="spellStart"/>
            <w:r w:rsidR="00DF7BD3" w:rsidRPr="00DF7BD3">
              <w:rPr>
                <w:rFonts w:ascii="Arial" w:eastAsia="Calibri" w:hAnsi="Arial" w:cs="Arial"/>
                <w:szCs w:val="22"/>
              </w:rPr>
              <w:t>Dutas</w:t>
            </w:r>
            <w:proofErr w:type="spellEnd"/>
            <w:r w:rsidR="00DF7BD3" w:rsidRPr="00DF7BD3">
              <w:rPr>
                <w:rFonts w:ascii="Arial" w:eastAsia="Calibri" w:hAnsi="Arial" w:cs="Arial"/>
                <w:szCs w:val="22"/>
              </w:rPr>
              <w:t xml:space="preserve"> T+ excels in releasing both dutasteride and tamsulosin compared to other formulations. All formulations showed no detectable impurities, confirming high purity levels</w:t>
            </w:r>
            <w:r w:rsidR="00DF7BD3">
              <w:rPr>
                <w:rFonts w:ascii="Arial" w:eastAsia="Calibri" w:hAnsi="Arial" w:cs="Arial"/>
                <w:szCs w:val="22"/>
              </w:rPr>
              <w:t>.</w:t>
            </w:r>
          </w:p>
        </w:tc>
      </w:tr>
    </w:tbl>
    <w:p w14:paraId="5600BB9F" w14:textId="77777777" w:rsidR="00636EB2" w:rsidRDefault="00636EB2" w:rsidP="00441B6F">
      <w:pPr>
        <w:pStyle w:val="Body"/>
        <w:spacing w:after="0"/>
        <w:rPr>
          <w:rFonts w:ascii="Arial" w:hAnsi="Arial" w:cs="Arial"/>
          <w:i/>
        </w:rPr>
      </w:pPr>
    </w:p>
    <w:p w14:paraId="752AA85D" w14:textId="7BE54462" w:rsidR="00A24E7E" w:rsidRDefault="00A24E7E" w:rsidP="00441B6F">
      <w:pPr>
        <w:pStyle w:val="Body"/>
        <w:spacing w:after="0"/>
        <w:rPr>
          <w:rFonts w:ascii="Arial" w:hAnsi="Arial" w:cs="Arial"/>
          <w:i/>
        </w:rPr>
      </w:pPr>
      <w:r>
        <w:rPr>
          <w:rFonts w:ascii="Arial" w:hAnsi="Arial" w:cs="Arial"/>
          <w:i/>
        </w:rPr>
        <w:t xml:space="preserve">Keywords: </w:t>
      </w:r>
      <w:r w:rsidR="00F90F01" w:rsidRPr="00F90F01">
        <w:rPr>
          <w:rFonts w:ascii="Arial" w:hAnsi="Arial" w:cs="Arial"/>
          <w:i/>
        </w:rPr>
        <w:t>Benign prostatic hyperplasia, Tamsulosin Hydrochloride, Dutasteride, Dissolution, Impurity</w:t>
      </w:r>
      <w:r w:rsidR="00F90F01">
        <w:rPr>
          <w:rFonts w:ascii="Arial" w:hAnsi="Arial" w:cs="Arial"/>
          <w:i/>
        </w:rPr>
        <w:t>.</w:t>
      </w:r>
    </w:p>
    <w:p w14:paraId="0089DD51" w14:textId="77777777" w:rsidR="00790ADA" w:rsidRDefault="00790ADA" w:rsidP="00441B6F">
      <w:pPr>
        <w:pStyle w:val="Body"/>
        <w:spacing w:after="0"/>
        <w:rPr>
          <w:rFonts w:ascii="Arial" w:hAnsi="Arial" w:cs="Arial"/>
          <w:i/>
        </w:rPr>
      </w:pPr>
    </w:p>
    <w:p w14:paraId="3AAB6C2D" w14:textId="77777777" w:rsidR="00505F06" w:rsidRPr="00A24E7E" w:rsidRDefault="00505F06" w:rsidP="00441B6F">
      <w:pPr>
        <w:pStyle w:val="Body"/>
        <w:spacing w:after="0"/>
        <w:rPr>
          <w:rFonts w:ascii="Arial" w:hAnsi="Arial" w:cs="Arial"/>
          <w:i/>
        </w:rPr>
      </w:pPr>
    </w:p>
    <w:p w14:paraId="5D61CAE5" w14:textId="5751A9F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BB19726" w14:textId="77777777" w:rsidR="00790ADA" w:rsidRPr="00FB3A86" w:rsidRDefault="00790ADA" w:rsidP="00441B6F">
      <w:pPr>
        <w:pStyle w:val="AbstHead"/>
        <w:spacing w:after="0"/>
        <w:jc w:val="both"/>
        <w:rPr>
          <w:rFonts w:ascii="Arial" w:hAnsi="Arial" w:cs="Arial"/>
        </w:rPr>
      </w:pPr>
    </w:p>
    <w:p w14:paraId="776F2077" w14:textId="77777777" w:rsidR="00C27808" w:rsidRPr="00C27808" w:rsidRDefault="00C27808" w:rsidP="00C27808">
      <w:pPr>
        <w:pStyle w:val="Body"/>
        <w:rPr>
          <w:rFonts w:ascii="Arial" w:hAnsi="Arial" w:cs="Arial"/>
        </w:rPr>
      </w:pPr>
      <w:r w:rsidRPr="00C27808">
        <w:rPr>
          <w:rFonts w:ascii="Arial" w:hAnsi="Arial" w:cs="Arial"/>
        </w:rPr>
        <w:t xml:space="preserve">Benign prostatic hyperplasia (BPH) is a multifocal, non-malignant, hyperplastic, and progressive disorder of prostate. There are histopathological changes in stromal and epithelial cells in the transitional zone of the prostate, resulting in discrete prostatic nodules, inflammation, fibrosis, and changes in smooth muscle activity, which can cause partial or </w:t>
      </w:r>
      <w:r w:rsidRPr="00C27808">
        <w:rPr>
          <w:rFonts w:ascii="Arial" w:hAnsi="Arial" w:cs="Arial"/>
        </w:rPr>
        <w:lastRenderedPageBreak/>
        <w:t xml:space="preserve">complete obstruction of the urethra.(1),(2) Clinical BPH can be defined as prostate adenoma or any other benign growth which causes bladder outlet obstruction (BOO).(3) BPH can cause lower urinary tract symptoms due to bladder outlet constriction and occlusion, leading to increased bladder muscular tone, and detrusor dysfunction.(4) Increase in the modifiable risk factors like metabolic diseases and obesity, have led an increase in incidence of BPH in the last decade.(5) </w:t>
      </w:r>
    </w:p>
    <w:p w14:paraId="7D3D6864" w14:textId="56EE62A4" w:rsidR="00C27808" w:rsidRPr="00C27808" w:rsidRDefault="00C27808" w:rsidP="00C27808">
      <w:pPr>
        <w:pStyle w:val="Body"/>
        <w:rPr>
          <w:rFonts w:ascii="Arial" w:hAnsi="Arial" w:cs="Arial"/>
        </w:rPr>
      </w:pPr>
      <w:r w:rsidRPr="00C27808">
        <w:rPr>
          <w:rFonts w:ascii="Arial" w:hAnsi="Arial" w:cs="Arial"/>
        </w:rPr>
        <w:t xml:space="preserve">Current treatment modalities available for management of BPH include both medical and surgical interventions. Surgical interventions include </w:t>
      </w:r>
      <w:r w:rsidR="003B6EA2" w:rsidRPr="00C27808">
        <w:rPr>
          <w:rFonts w:ascii="Arial" w:hAnsi="Arial" w:cs="Arial"/>
        </w:rPr>
        <w:t>conventional</w:t>
      </w:r>
      <w:r w:rsidRPr="00C27808">
        <w:rPr>
          <w:rFonts w:ascii="Arial" w:hAnsi="Arial" w:cs="Arial"/>
        </w:rPr>
        <w:t xml:space="preserve"> methods or laser assisted procedures</w:t>
      </w:r>
      <w:r w:rsidR="003B6EA2" w:rsidRPr="00C27808">
        <w:rPr>
          <w:rFonts w:ascii="Arial" w:hAnsi="Arial" w:cs="Arial"/>
        </w:rPr>
        <w:t>). (</w:t>
      </w:r>
      <w:r w:rsidRPr="00C27808">
        <w:rPr>
          <w:rFonts w:ascii="Arial" w:hAnsi="Arial" w:cs="Arial"/>
        </w:rPr>
        <w:t xml:space="preserve">6) Medical therapy for BPH includes 5-alpha-reductase inhibitors (finasteride and </w:t>
      </w:r>
      <w:r w:rsidR="003B6EA2" w:rsidRPr="00C27808">
        <w:rPr>
          <w:rFonts w:ascii="Arial" w:hAnsi="Arial" w:cs="Arial"/>
        </w:rPr>
        <w:t>dutasteride) and</w:t>
      </w:r>
      <w:r w:rsidRPr="00C27808">
        <w:rPr>
          <w:rFonts w:ascii="Arial" w:hAnsi="Arial" w:cs="Arial"/>
        </w:rPr>
        <w:t xml:space="preserve"> alpha-blockers (doxazosin, tamsulosin and terazosin), or a combination of both which seem to have a comparable side effect profile to the separate monotherapies administered in combination, and they are well </w:t>
      </w:r>
      <w:r w:rsidR="003B6EA2" w:rsidRPr="00C27808">
        <w:rPr>
          <w:rFonts w:ascii="Arial" w:hAnsi="Arial" w:cs="Arial"/>
        </w:rPr>
        <w:t>tolerated. (</w:t>
      </w:r>
      <w:r w:rsidRPr="00C27808">
        <w:rPr>
          <w:rFonts w:ascii="Arial" w:hAnsi="Arial" w:cs="Arial"/>
        </w:rPr>
        <w:t xml:space="preserve">7) </w:t>
      </w:r>
    </w:p>
    <w:p w14:paraId="37DACB93" w14:textId="507AEDFF" w:rsidR="00C27808" w:rsidRPr="00C27808" w:rsidRDefault="00C27808" w:rsidP="00C27808">
      <w:pPr>
        <w:pStyle w:val="Body"/>
        <w:rPr>
          <w:rFonts w:ascii="Arial" w:hAnsi="Arial" w:cs="Arial"/>
        </w:rPr>
      </w:pPr>
      <w:r w:rsidRPr="00C27808">
        <w:rPr>
          <w:rFonts w:ascii="Arial" w:hAnsi="Arial" w:cs="Arial"/>
        </w:rPr>
        <w:t>Selective alpha-1 antagonist like tamsulosin is a safer, effective, and fast-acting first-line BPH treatment that targets voiding and storage.(8) It is highly specific for the alpha-1A and alpha-1D subtypes which are found abundantly in the prostate and in submaxillary tissue.(9) Tamsulosin binds to alpha-1A receptors 3.9 – 38.0 times more selectively than alpha-1B and 3 – 20 times more selectively than alpha-1D.(9) This selectivity allows for a significant effect on bladder with minimal adverse events like orthostatic hypotension caused by non-specific alpha receptor antagonists.(10) Tamsulosin is well-absorbed from the gastrointestinal tract with an oral bioavailability of 100% for the modified-release (MR) formulation.(11) It is absorbed primarily from intestines and not from stomach. Hence, tamsulosin formulations are designed to be release</w:t>
      </w:r>
      <w:r w:rsidR="00572A05">
        <w:rPr>
          <w:rFonts w:ascii="Arial" w:hAnsi="Arial" w:cs="Arial"/>
        </w:rPr>
        <w:t>d</w:t>
      </w:r>
      <w:r w:rsidRPr="00C27808">
        <w:rPr>
          <w:rFonts w:ascii="Arial" w:hAnsi="Arial" w:cs="Arial"/>
        </w:rPr>
        <w:t xml:space="preserve"> in intestines for better bioavailability. The modified release formulation helps sustained release with once daily administration and improved patient compliance.</w:t>
      </w:r>
    </w:p>
    <w:p w14:paraId="5FC09AFF" w14:textId="7FE80A51" w:rsidR="00C27808" w:rsidRPr="00C27808" w:rsidRDefault="00C27808" w:rsidP="00C27808">
      <w:pPr>
        <w:pStyle w:val="Body"/>
        <w:rPr>
          <w:rFonts w:ascii="Arial" w:hAnsi="Arial" w:cs="Arial"/>
        </w:rPr>
      </w:pPr>
      <w:r w:rsidRPr="00C27808">
        <w:rPr>
          <w:rFonts w:ascii="Arial" w:hAnsi="Arial" w:cs="Arial"/>
        </w:rPr>
        <w:t>The 5α-reductase is a nuclear-bound steroid intracellular enzyme primarily located in the prostatic stromal cell that converts testosterone into the more active metabolite, 5α-dihydrotestosterone (DHT</w:t>
      </w:r>
      <w:r w:rsidR="00572A05" w:rsidRPr="00C27808">
        <w:rPr>
          <w:rFonts w:ascii="Arial" w:hAnsi="Arial" w:cs="Arial"/>
        </w:rPr>
        <w:t>). (</w:t>
      </w:r>
      <w:r w:rsidRPr="00C27808">
        <w:rPr>
          <w:rFonts w:ascii="Arial" w:hAnsi="Arial" w:cs="Arial"/>
        </w:rPr>
        <w:t xml:space="preserve">12) DHT is the primary androgen playing a role in the initial development and subsequent enlargement of the prostate gland. It serves as the hormonal mediator for the hyperplasia upon accumulation within the prostate gland. DHT displays a higher affinity towards androgen receptors in the prostate gland compared to testosterone and by acting on the androgen receptors, DHT modulates genes that are responsible for cell proliferation. The 5-alpha reductase inhibitors like finasteride and dutasteride are used as monotherapy or combination therapy in men with BPH and/or urinary </w:t>
      </w:r>
      <w:proofErr w:type="gramStart"/>
      <w:r w:rsidRPr="00C27808">
        <w:rPr>
          <w:rFonts w:ascii="Arial" w:hAnsi="Arial" w:cs="Arial"/>
        </w:rPr>
        <w:t>retention.(</w:t>
      </w:r>
      <w:proofErr w:type="gramEnd"/>
      <w:r w:rsidRPr="00C27808">
        <w:rPr>
          <w:rFonts w:ascii="Arial" w:hAnsi="Arial" w:cs="Arial"/>
        </w:rPr>
        <w:t xml:space="preserve">8) Dutasteride, an oral synthetic 4-azasteroid, is a potent, selective, irreversible inhibitor of type-1 and type-2 5AR.(13) Due to its dual inhibition of both isoenzymes of 5α-reductase, dutasteride causes a near-complete suppression of DHT.(14) </w:t>
      </w:r>
    </w:p>
    <w:p w14:paraId="7FD83D0A" w14:textId="154DD4EA" w:rsidR="00790ADA" w:rsidRPr="00FB3A86" w:rsidRDefault="00C27808" w:rsidP="00C27808">
      <w:pPr>
        <w:pStyle w:val="Body"/>
        <w:spacing w:after="0"/>
        <w:rPr>
          <w:rFonts w:ascii="Arial" w:hAnsi="Arial" w:cs="Arial"/>
        </w:rPr>
      </w:pPr>
      <w:r w:rsidRPr="00C27808">
        <w:rPr>
          <w:rFonts w:ascii="Arial" w:hAnsi="Arial" w:cs="Arial"/>
        </w:rPr>
        <w:t xml:space="preserve">Fixed dose combination (FDC) of tamsulosin and dutasteride are developed to improve treatment outcomes by improving patient compliance by virtue of once daily administration and reducing the pill burden. However, poor absorption or presence of impurities in the FDC’s is a problem in currently available </w:t>
      </w:r>
      <w:r w:rsidR="00B55574" w:rsidRPr="00C27808">
        <w:rPr>
          <w:rFonts w:ascii="Arial" w:hAnsi="Arial" w:cs="Arial"/>
        </w:rPr>
        <w:t>formulations. (</w:t>
      </w:r>
      <w:r w:rsidRPr="00C27808">
        <w:rPr>
          <w:rFonts w:ascii="Arial" w:hAnsi="Arial" w:cs="Arial"/>
        </w:rPr>
        <w:t>15,16) This study compares the in-vitro dissolution release and impurities in four commercially available FDC oral formulations containing tamsulosin hydrochloride (0.4mg) and dutasteride (0.5mg) in India.</w:t>
      </w:r>
    </w:p>
    <w:p w14:paraId="25AAADC8" w14:textId="3944D75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FD9A2F5" w14:textId="77777777" w:rsidR="00790ADA" w:rsidRPr="00FB3A86" w:rsidRDefault="00790ADA" w:rsidP="00441B6F">
      <w:pPr>
        <w:pStyle w:val="AbstHead"/>
        <w:spacing w:after="0"/>
        <w:jc w:val="both"/>
        <w:rPr>
          <w:rFonts w:ascii="Arial" w:hAnsi="Arial" w:cs="Arial"/>
        </w:rPr>
      </w:pPr>
    </w:p>
    <w:p w14:paraId="250D307B" w14:textId="77777777" w:rsidR="00A246EE" w:rsidRDefault="00AA74E0" w:rsidP="00441B6F">
      <w:pPr>
        <w:pStyle w:val="Body"/>
        <w:spacing w:after="0"/>
        <w:rPr>
          <w:rFonts w:ascii="Arial" w:hAnsi="Arial" w:cs="Arial"/>
          <w:b/>
          <w:sz w:val="22"/>
        </w:rPr>
      </w:pPr>
      <w:r w:rsidRPr="00C30A0F">
        <w:rPr>
          <w:rFonts w:ascii="Arial" w:hAnsi="Arial" w:cs="Arial"/>
          <w:b/>
          <w:caps/>
          <w:sz w:val="22"/>
        </w:rPr>
        <w:t xml:space="preserve">2.1 </w:t>
      </w:r>
      <w:r w:rsidR="00572140" w:rsidRPr="00572140">
        <w:rPr>
          <w:rFonts w:ascii="Arial" w:hAnsi="Arial" w:cs="Arial"/>
          <w:b/>
          <w:sz w:val="22"/>
        </w:rPr>
        <w:t>Study design and setting</w:t>
      </w:r>
    </w:p>
    <w:p w14:paraId="1BABA891" w14:textId="77777777" w:rsidR="00A246EE" w:rsidRDefault="00A246EE" w:rsidP="00441B6F">
      <w:pPr>
        <w:pStyle w:val="Body"/>
        <w:spacing w:after="0"/>
        <w:rPr>
          <w:rFonts w:ascii="Arial" w:hAnsi="Arial" w:cs="Arial"/>
          <w:b/>
          <w:sz w:val="22"/>
        </w:rPr>
      </w:pPr>
    </w:p>
    <w:p w14:paraId="2BF8F979" w14:textId="1E445A41" w:rsidR="00505F06" w:rsidRDefault="00A246EE" w:rsidP="00A246EE">
      <w:pPr>
        <w:pStyle w:val="Body"/>
        <w:rPr>
          <w:rFonts w:ascii="Arial" w:hAnsi="Arial" w:cs="Arial"/>
        </w:rPr>
      </w:pPr>
      <w:r w:rsidRPr="00A246EE">
        <w:rPr>
          <w:rFonts w:ascii="Arial" w:hAnsi="Arial" w:cs="Arial"/>
        </w:rPr>
        <w:t xml:space="preserve">This in-vitro study was conducted at Theta-Beta Algorithms, India. Four FDC formulations used were Brand A, B, &amp; C compared to </w:t>
      </w:r>
      <w:proofErr w:type="spellStart"/>
      <w:r w:rsidR="00DD3711" w:rsidRPr="00866113">
        <w:rPr>
          <w:rFonts w:eastAsia="DengXian"/>
          <w:lang w:val="en-IN" w:eastAsia="zh-CN" w:bidi="th-TH"/>
        </w:rPr>
        <w:t>Dutas</w:t>
      </w:r>
      <w:proofErr w:type="spellEnd"/>
      <w:r w:rsidR="00DD3711" w:rsidRPr="00866113">
        <w:rPr>
          <w:rFonts w:eastAsia="DengXian"/>
          <w:lang w:val="en-IN" w:eastAsia="zh-CN" w:bidi="th-TH"/>
        </w:rPr>
        <w:t xml:space="preserve"> T+</w:t>
      </w:r>
      <w:r w:rsidRPr="00A246EE">
        <w:rPr>
          <w:rFonts w:ascii="Arial" w:hAnsi="Arial" w:cs="Arial"/>
        </w:rPr>
        <w:t>. These were tested for dissolution time (time required for 100% dissolution), and impurity profiling for tamsulosin hydrochloride and dutasteride.</w:t>
      </w:r>
    </w:p>
    <w:p w14:paraId="09876E1A" w14:textId="60EA2946" w:rsidR="00AA74E0" w:rsidRDefault="00AA74E0" w:rsidP="00441B6F">
      <w:pPr>
        <w:pStyle w:val="Body"/>
        <w:spacing w:after="0"/>
        <w:rPr>
          <w:rFonts w:ascii="Arial" w:hAnsi="Arial" w:cs="Arial"/>
        </w:rPr>
      </w:pPr>
      <w:r>
        <w:rPr>
          <w:rFonts w:ascii="Arial" w:hAnsi="Arial" w:cs="Arial"/>
          <w:b/>
          <w:u w:val="single"/>
        </w:rPr>
        <w:lastRenderedPageBreak/>
        <w:t>2</w:t>
      </w:r>
      <w:r w:rsidRPr="00902823">
        <w:rPr>
          <w:rFonts w:ascii="Arial" w:hAnsi="Arial" w:cs="Arial"/>
          <w:b/>
          <w:u w:val="single"/>
        </w:rPr>
        <w:t xml:space="preserve">.1.1 </w:t>
      </w:r>
      <w:r w:rsidR="00776B70" w:rsidRPr="00776B70">
        <w:rPr>
          <w:rFonts w:ascii="Arial" w:hAnsi="Arial" w:cs="Arial"/>
          <w:b/>
          <w:u w:val="single"/>
        </w:rPr>
        <w:t xml:space="preserve">Dissolution of dutasteride </w:t>
      </w:r>
    </w:p>
    <w:p w14:paraId="2B979870" w14:textId="77777777" w:rsidR="00505F06" w:rsidRDefault="00505F06" w:rsidP="00441B6F">
      <w:pPr>
        <w:pStyle w:val="Body"/>
        <w:spacing w:after="0"/>
        <w:rPr>
          <w:rFonts w:ascii="Arial" w:hAnsi="Arial" w:cs="Arial"/>
        </w:rPr>
      </w:pPr>
    </w:p>
    <w:p w14:paraId="37629EDC" w14:textId="01FCFE16" w:rsidR="00612804" w:rsidRDefault="00612804" w:rsidP="00441B6F">
      <w:pPr>
        <w:pStyle w:val="Body"/>
        <w:spacing w:after="0"/>
        <w:rPr>
          <w:rFonts w:ascii="Arial" w:hAnsi="Arial" w:cs="Arial"/>
        </w:rPr>
      </w:pPr>
      <w:r w:rsidRPr="00612804">
        <w:rPr>
          <w:rFonts w:ascii="Arial" w:hAnsi="Arial" w:cs="Arial"/>
        </w:rPr>
        <w:t xml:space="preserve">The in-vitro dissolution study of dutasteride was conducted in a single stage with 12 samples per experiment. The dissolution medium consisted of 10 g/L of </w:t>
      </w:r>
      <w:proofErr w:type="spellStart"/>
      <w:r w:rsidRPr="00612804">
        <w:rPr>
          <w:rFonts w:ascii="Arial" w:hAnsi="Arial" w:cs="Arial"/>
        </w:rPr>
        <w:t>acetyltrimethylammonium</w:t>
      </w:r>
      <w:proofErr w:type="spellEnd"/>
      <w:r w:rsidRPr="00612804">
        <w:rPr>
          <w:rFonts w:ascii="Arial" w:hAnsi="Arial" w:cs="Arial"/>
        </w:rPr>
        <w:t xml:space="preserve"> bromide and 750,000 USP units of pepsin activity per milligram, all prepared in 0.1 N hydrochloric acid, with a total volume of 900 </w:t>
      </w:r>
      <w:proofErr w:type="spellStart"/>
      <w:r w:rsidRPr="00612804">
        <w:rPr>
          <w:rFonts w:ascii="Arial" w:hAnsi="Arial" w:cs="Arial"/>
        </w:rPr>
        <w:t>mL.</w:t>
      </w:r>
      <w:proofErr w:type="spellEnd"/>
      <w:r w:rsidRPr="00612804">
        <w:rPr>
          <w:rFonts w:ascii="Arial" w:hAnsi="Arial" w:cs="Arial"/>
        </w:rPr>
        <w:t xml:space="preserve"> The experiment was performed using a paddle apparatus (Apparatus 2) set at 75 rpm, and the dutasteride tablet was placed in the medium</w:t>
      </w:r>
      <w:r w:rsidR="006013B7">
        <w:rPr>
          <w:rFonts w:ascii="Arial" w:hAnsi="Arial" w:cs="Arial"/>
        </w:rPr>
        <w:t>.</w:t>
      </w:r>
      <w:r w:rsidRPr="00612804">
        <w:rPr>
          <w:rFonts w:ascii="Arial" w:hAnsi="Arial" w:cs="Arial"/>
        </w:rPr>
        <w:t xml:space="preserve"> Samples were collected at intervals of 5, 10, 15, 20, 30, and 45 minutes to monitor the dissolution process. A buffer solution was prepared by dissolving 1.37 g/L of potassium dihydrogen phosphate in water and adjusting the pH to 3.0 using phosphoric acid. The mobile phase was made by mixing acetonitrile and the buffer in a 65:35 ratio. For the standard stock solution, 0.22 mg/mL of USP Dutasteride working standard (WS) was dissolved in methanol. This stock solution was further diluted, to prepare a standard solution with a concentration of 0.55 </w:t>
      </w:r>
      <w:proofErr w:type="spellStart"/>
      <w:r w:rsidRPr="00612804">
        <w:rPr>
          <w:rFonts w:ascii="Arial" w:hAnsi="Arial" w:cs="Arial"/>
        </w:rPr>
        <w:t>μg</w:t>
      </w:r>
      <w:proofErr w:type="spellEnd"/>
      <w:r w:rsidRPr="00612804">
        <w:rPr>
          <w:rFonts w:ascii="Arial" w:hAnsi="Arial" w:cs="Arial"/>
        </w:rPr>
        <w:t xml:space="preserve">/mL of USP dutasteride reference standard (RS) in the dissolution medium. To obtain the sample solution, approximately 10 mL of the test solution was filtered (0.45-μm filter). The analysis was performed using liquid chromatography (LC) with UV detection at 240 nm. The column used was 4.6 mm by 15 cm, with 5-μm packing (L1), and the flow rate is maintained at 2 mL/min. A sample injection volume of 100 </w:t>
      </w:r>
      <w:proofErr w:type="spellStart"/>
      <w:r w:rsidRPr="00612804">
        <w:rPr>
          <w:rFonts w:ascii="Arial" w:hAnsi="Arial" w:cs="Arial"/>
        </w:rPr>
        <w:t>μL</w:t>
      </w:r>
      <w:proofErr w:type="spellEnd"/>
      <w:r w:rsidRPr="00612804">
        <w:rPr>
          <w:rFonts w:ascii="Arial" w:hAnsi="Arial" w:cs="Arial"/>
        </w:rPr>
        <w:t xml:space="preserve"> was used, with a run time of at least 2.5 times the retention time of Dutasteride.</w:t>
      </w:r>
    </w:p>
    <w:p w14:paraId="5C26D8BC" w14:textId="77777777" w:rsidR="00E21E9D" w:rsidRDefault="00E21E9D" w:rsidP="00441B6F">
      <w:pPr>
        <w:pStyle w:val="Body"/>
        <w:spacing w:after="0"/>
        <w:rPr>
          <w:rFonts w:ascii="Arial" w:hAnsi="Arial" w:cs="Arial"/>
        </w:rPr>
      </w:pPr>
    </w:p>
    <w:p w14:paraId="5CBCF50B" w14:textId="2DB0FD8C" w:rsidR="00E21E9D" w:rsidRDefault="00E21E9D" w:rsidP="00E21E9D">
      <w:pPr>
        <w:pStyle w:val="Body"/>
        <w:spacing w:after="0"/>
        <w:rPr>
          <w:rFonts w:ascii="Arial" w:hAnsi="Arial" w:cs="Arial"/>
          <w:b/>
          <w:u w:val="single"/>
        </w:rPr>
      </w:pPr>
      <w:r>
        <w:rPr>
          <w:rFonts w:ascii="Arial" w:hAnsi="Arial" w:cs="Arial"/>
          <w:b/>
          <w:u w:val="single"/>
        </w:rPr>
        <w:t>2</w:t>
      </w:r>
      <w:r w:rsidR="003E4CFC">
        <w:rPr>
          <w:rFonts w:ascii="Arial" w:hAnsi="Arial" w:cs="Arial"/>
          <w:b/>
          <w:u w:val="single"/>
        </w:rPr>
        <w:t xml:space="preserve">.1.2 </w:t>
      </w:r>
      <w:r w:rsidRPr="00E21E9D">
        <w:rPr>
          <w:rFonts w:ascii="Arial" w:hAnsi="Arial" w:cs="Arial"/>
          <w:b/>
          <w:u w:val="single"/>
        </w:rPr>
        <w:t>Dissolution of tamsulosin hydrochloride</w:t>
      </w:r>
    </w:p>
    <w:p w14:paraId="09F6FC39" w14:textId="77777777" w:rsidR="003D195B" w:rsidRPr="00E21E9D" w:rsidRDefault="003D195B" w:rsidP="00E21E9D">
      <w:pPr>
        <w:pStyle w:val="Body"/>
        <w:spacing w:after="0"/>
        <w:rPr>
          <w:rFonts w:ascii="Arial" w:hAnsi="Arial" w:cs="Arial"/>
          <w:b/>
          <w:u w:val="single"/>
        </w:rPr>
      </w:pPr>
    </w:p>
    <w:p w14:paraId="159FED5A" w14:textId="104E0199" w:rsidR="00E21E9D" w:rsidRDefault="003D195B" w:rsidP="00441B6F">
      <w:pPr>
        <w:pStyle w:val="Body"/>
        <w:spacing w:after="0"/>
        <w:rPr>
          <w:rFonts w:ascii="Arial" w:hAnsi="Arial" w:cs="Arial"/>
        </w:rPr>
      </w:pPr>
      <w:r w:rsidRPr="003D195B">
        <w:rPr>
          <w:rFonts w:ascii="Arial" w:hAnsi="Arial" w:cs="Arial"/>
        </w:rPr>
        <w:t xml:space="preserve">Two stages were involved: the acid stage and the buffer stage. In the Acid Stage, the medium was 0.1N hydrochloric acid, with a volume of 750 mL, and the apparatus was a USP Type II (50 RPM). The sampling was done after 2 hours. The standard stock solution was prepared by dissolving 0.4 mg/mL of USP tamsulosin hydrochloride RS in methanol. This stock solution was then diluted to concentration of 0.5 </w:t>
      </w:r>
      <w:proofErr w:type="spellStart"/>
      <w:r w:rsidRPr="003D195B">
        <w:rPr>
          <w:rFonts w:ascii="Arial" w:hAnsi="Arial" w:cs="Arial"/>
        </w:rPr>
        <w:t>μg</w:t>
      </w:r>
      <w:proofErr w:type="spellEnd"/>
      <w:r w:rsidRPr="003D195B">
        <w:rPr>
          <w:rFonts w:ascii="Arial" w:hAnsi="Arial" w:cs="Arial"/>
        </w:rPr>
        <w:t xml:space="preserve">/mL in the acid medium. For sample collection, 10 mL of the solution was filtered (0.45-μm filter), discarding the first few ml, and replacing with the same volume of the acid medium. In the buffer stage, the medium was a combination of 0.1N hydrochloric acid and a sodium phosphate buffer at pH 6.8, with a total volume of 1000 mL using USP Type II (50 RPM) After 2 hours in the acid medium, 250 mL of 76 g/L sodium phosphate tribasic (pre-heated to 37 ± 0.5°C) was added to the acid stage medium, adjusting the pH to 6.8 ± 0.1 using either dilute phosphoric acid or sodium hydroxide. The total volume becomes 1000 </w:t>
      </w:r>
      <w:proofErr w:type="spellStart"/>
      <w:r w:rsidRPr="003D195B">
        <w:rPr>
          <w:rFonts w:ascii="Arial" w:hAnsi="Arial" w:cs="Arial"/>
        </w:rPr>
        <w:t>mL.</w:t>
      </w:r>
      <w:proofErr w:type="spellEnd"/>
      <w:r w:rsidRPr="003D195B">
        <w:rPr>
          <w:rFonts w:ascii="Arial" w:hAnsi="Arial" w:cs="Arial"/>
        </w:rPr>
        <w:t xml:space="preserve"> The sampling is done at 3, 4, 5, 6, and 7 hours, with recovery. The buffer solution was prepared by dissolving 6.8 g of ammonium phosphate dibasic in 800 mL of water, adding 2 mL of triethylamine, and adjusting the pH to 7.0 with phosphoric acid, then diluting to 1000 </w:t>
      </w:r>
      <w:proofErr w:type="spellStart"/>
      <w:r w:rsidRPr="003D195B">
        <w:rPr>
          <w:rFonts w:ascii="Arial" w:hAnsi="Arial" w:cs="Arial"/>
        </w:rPr>
        <w:t>mL.</w:t>
      </w:r>
      <w:proofErr w:type="spellEnd"/>
      <w:r w:rsidRPr="003D195B">
        <w:rPr>
          <w:rFonts w:ascii="Arial" w:hAnsi="Arial" w:cs="Arial"/>
        </w:rPr>
        <w:t xml:space="preserve"> The buffer stage standard solution is created by diluting the stock solution to 0.4 </w:t>
      </w:r>
      <w:proofErr w:type="spellStart"/>
      <w:r w:rsidRPr="003D195B">
        <w:rPr>
          <w:rFonts w:ascii="Arial" w:hAnsi="Arial" w:cs="Arial"/>
        </w:rPr>
        <w:t>μg</w:t>
      </w:r>
      <w:proofErr w:type="spellEnd"/>
      <w:r w:rsidRPr="003D195B">
        <w:rPr>
          <w:rFonts w:ascii="Arial" w:hAnsi="Arial" w:cs="Arial"/>
        </w:rPr>
        <w:t xml:space="preserve">/mL in the buffer medium. At each sampling point, 10 mL of the solution is withdrawn, filtered (0.45-μm filter), replaced by the same volume of buffer medium. For system suitability, the buffer stage standard solution was tested. The chromatographic analysis was performed for both </w:t>
      </w:r>
      <w:r w:rsidR="00572A05" w:rsidRPr="003D195B">
        <w:rPr>
          <w:rFonts w:ascii="Arial" w:hAnsi="Arial" w:cs="Arial"/>
        </w:rPr>
        <w:t>stages</w:t>
      </w:r>
      <w:r w:rsidRPr="003D195B">
        <w:rPr>
          <w:rFonts w:ascii="Arial" w:hAnsi="Arial" w:cs="Arial"/>
        </w:rPr>
        <w:t xml:space="preserve"> using LC with UV detection at 225 nm.</w:t>
      </w:r>
    </w:p>
    <w:p w14:paraId="2543E201" w14:textId="77777777" w:rsidR="00710019" w:rsidRDefault="00710019" w:rsidP="00441B6F">
      <w:pPr>
        <w:pStyle w:val="Body"/>
        <w:spacing w:after="0"/>
        <w:rPr>
          <w:rFonts w:ascii="Arial" w:hAnsi="Arial" w:cs="Arial"/>
        </w:rPr>
      </w:pPr>
    </w:p>
    <w:p w14:paraId="1EA8D3C7" w14:textId="096BD1BC" w:rsidR="00710019" w:rsidRDefault="00710019" w:rsidP="00710019">
      <w:pPr>
        <w:pStyle w:val="Body"/>
        <w:spacing w:after="0"/>
        <w:rPr>
          <w:rFonts w:ascii="Arial" w:hAnsi="Arial" w:cs="Arial"/>
          <w:b/>
          <w:u w:val="single"/>
        </w:rPr>
      </w:pPr>
      <w:r>
        <w:rPr>
          <w:rFonts w:ascii="Arial" w:hAnsi="Arial" w:cs="Arial"/>
          <w:b/>
          <w:u w:val="single"/>
        </w:rPr>
        <w:t xml:space="preserve">2.1.3 </w:t>
      </w:r>
      <w:r w:rsidRPr="00710019">
        <w:rPr>
          <w:rFonts w:ascii="Arial" w:hAnsi="Arial" w:cs="Arial"/>
          <w:b/>
          <w:u w:val="single"/>
        </w:rPr>
        <w:t>Impurity testing of dutasteride</w:t>
      </w:r>
    </w:p>
    <w:p w14:paraId="4197B630" w14:textId="77777777" w:rsidR="001438D1" w:rsidRPr="00710019" w:rsidRDefault="001438D1" w:rsidP="00710019">
      <w:pPr>
        <w:pStyle w:val="Body"/>
        <w:spacing w:after="0"/>
        <w:rPr>
          <w:rFonts w:ascii="Arial" w:hAnsi="Arial" w:cs="Arial"/>
          <w:b/>
          <w:u w:val="single"/>
        </w:rPr>
      </w:pPr>
    </w:p>
    <w:p w14:paraId="1E7CDB8C" w14:textId="77777777" w:rsidR="001438D1" w:rsidRPr="001438D1" w:rsidRDefault="001438D1" w:rsidP="001438D1">
      <w:pPr>
        <w:pStyle w:val="Body"/>
        <w:rPr>
          <w:rFonts w:ascii="Arial" w:hAnsi="Arial" w:cs="Arial"/>
        </w:rPr>
      </w:pPr>
      <w:r w:rsidRPr="001438D1">
        <w:rPr>
          <w:rFonts w:ascii="Arial" w:hAnsi="Arial" w:cs="Arial"/>
        </w:rPr>
        <w:t xml:space="preserve">Impurities tested for dutasteride were </w:t>
      </w:r>
      <w:proofErr w:type="spellStart"/>
      <w:r w:rsidRPr="001438D1">
        <w:rPr>
          <w:rFonts w:ascii="Arial" w:hAnsi="Arial" w:cs="Arial"/>
        </w:rPr>
        <w:t>desmethyldutasteride</w:t>
      </w:r>
      <w:proofErr w:type="spellEnd"/>
      <w:r w:rsidRPr="001438D1">
        <w:rPr>
          <w:rFonts w:ascii="Arial" w:hAnsi="Arial" w:cs="Arial"/>
        </w:rPr>
        <w:t xml:space="preserve">, and </w:t>
      </w:r>
      <w:proofErr w:type="spellStart"/>
      <w:r w:rsidRPr="001438D1">
        <w:rPr>
          <w:rFonts w:ascii="Arial" w:hAnsi="Arial" w:cs="Arial"/>
        </w:rPr>
        <w:t>dihydrodutasteride</w:t>
      </w:r>
      <w:proofErr w:type="spellEnd"/>
      <w:r w:rsidRPr="001438D1">
        <w:rPr>
          <w:rFonts w:ascii="Arial" w:hAnsi="Arial" w:cs="Arial"/>
        </w:rPr>
        <w:t xml:space="preserve">. The solvent mixture was prepared, and the test solution was prepared by dissolving 50.0 mg of Dutasteride in this solvent mixture and diluting it to 100.0 </w:t>
      </w:r>
      <w:proofErr w:type="spellStart"/>
      <w:r w:rsidRPr="001438D1">
        <w:rPr>
          <w:rFonts w:ascii="Arial" w:hAnsi="Arial" w:cs="Arial"/>
        </w:rPr>
        <w:t>mL.</w:t>
      </w:r>
      <w:proofErr w:type="spellEnd"/>
      <w:r w:rsidRPr="001438D1">
        <w:rPr>
          <w:rFonts w:ascii="Arial" w:hAnsi="Arial" w:cs="Arial"/>
        </w:rPr>
        <w:t xml:space="preserve"> For the reference solution, 1.0 mL of the test solution is further diluted to 100.0 mL with the solvent mixture, followed by another dilution where 1.0 mL of this solution is diluted to 10.0 </w:t>
      </w:r>
      <w:proofErr w:type="spellStart"/>
      <w:r w:rsidRPr="001438D1">
        <w:rPr>
          <w:rFonts w:ascii="Arial" w:hAnsi="Arial" w:cs="Arial"/>
        </w:rPr>
        <w:t>mL.</w:t>
      </w:r>
      <w:proofErr w:type="spellEnd"/>
      <w:r w:rsidRPr="001438D1">
        <w:rPr>
          <w:rFonts w:ascii="Arial" w:hAnsi="Arial" w:cs="Arial"/>
        </w:rPr>
        <w:t xml:space="preserve"> The chromatographic analysis was conducted using a column packed with end-capped octadecyl silyl silica gel (5 </w:t>
      </w:r>
      <w:proofErr w:type="spellStart"/>
      <w:r w:rsidRPr="001438D1">
        <w:rPr>
          <w:rFonts w:ascii="Arial" w:hAnsi="Arial" w:cs="Arial"/>
        </w:rPr>
        <w:t>μm</w:t>
      </w:r>
      <w:proofErr w:type="spellEnd"/>
      <w:r w:rsidRPr="001438D1">
        <w:rPr>
          <w:rFonts w:ascii="Arial" w:hAnsi="Arial" w:cs="Arial"/>
        </w:rPr>
        <w:t xml:space="preserve">). The column was maintained at a temperature of 35°C. The mobile phase consists of 0.25 volumes of trifluoroacetic acid, 480 volumes of water, and 520 volumes of acetonitrile. The flow rate was set at 1.0 mL/min, and detection is performed using a UV spectrophotometer at </w:t>
      </w:r>
      <w:r w:rsidRPr="001438D1">
        <w:rPr>
          <w:rFonts w:ascii="Arial" w:hAnsi="Arial" w:cs="Arial"/>
        </w:rPr>
        <w:lastRenderedPageBreak/>
        <w:t xml:space="preserve">220 nm. The injection volume for both the test solution and the reference solution was 20 </w:t>
      </w:r>
      <w:proofErr w:type="spellStart"/>
      <w:r w:rsidRPr="001438D1">
        <w:rPr>
          <w:rFonts w:ascii="Arial" w:hAnsi="Arial" w:cs="Arial"/>
        </w:rPr>
        <w:t>μL</w:t>
      </w:r>
      <w:proofErr w:type="spellEnd"/>
      <w:r w:rsidRPr="001438D1">
        <w:rPr>
          <w:rFonts w:ascii="Arial" w:hAnsi="Arial" w:cs="Arial"/>
        </w:rPr>
        <w:t>, with the total run time being 1.6 times the retention time of Dutasteride, approximately 36 minutes.</w:t>
      </w:r>
    </w:p>
    <w:p w14:paraId="3A13FC6C" w14:textId="36FF3D09" w:rsidR="00710019" w:rsidRDefault="001438D1" w:rsidP="001438D1">
      <w:pPr>
        <w:pStyle w:val="Body"/>
        <w:spacing w:after="0"/>
        <w:rPr>
          <w:rFonts w:ascii="Arial" w:hAnsi="Arial" w:cs="Arial"/>
        </w:rPr>
      </w:pPr>
      <w:r w:rsidRPr="001438D1">
        <w:rPr>
          <w:rFonts w:ascii="Arial" w:hAnsi="Arial" w:cs="Arial"/>
        </w:rPr>
        <w:t>The relative retention times (RRT) of impurities were identified as follows: Impurity A at around 0.10, Impurity B at 0.11, Impurity C at 0.40, Impurity E at 0.90, Impurity F at 1.10, and Impurity G at 1.20, all relative to Dutasteride. The system suitability was confirmed by ensuring that the signal-to-noise ratio was at least 30.</w:t>
      </w:r>
    </w:p>
    <w:p w14:paraId="269643BD" w14:textId="77777777" w:rsidR="00CC46DF" w:rsidRDefault="00CC46DF" w:rsidP="001438D1">
      <w:pPr>
        <w:pStyle w:val="Body"/>
        <w:spacing w:after="0"/>
        <w:rPr>
          <w:rFonts w:ascii="Arial" w:hAnsi="Arial" w:cs="Arial"/>
        </w:rPr>
      </w:pPr>
    </w:p>
    <w:p w14:paraId="5615BB8E" w14:textId="2F3024A6" w:rsidR="00CC46DF" w:rsidRDefault="00CC46DF" w:rsidP="00CC46DF">
      <w:pPr>
        <w:pStyle w:val="Body"/>
        <w:spacing w:after="0"/>
        <w:rPr>
          <w:rFonts w:ascii="Arial" w:hAnsi="Arial" w:cs="Arial"/>
          <w:b/>
          <w:u w:val="single"/>
        </w:rPr>
      </w:pPr>
      <w:r>
        <w:rPr>
          <w:rFonts w:ascii="Arial" w:hAnsi="Arial" w:cs="Arial"/>
          <w:b/>
          <w:u w:val="single"/>
        </w:rPr>
        <w:t xml:space="preserve">2.1.4 </w:t>
      </w:r>
      <w:r w:rsidRPr="00CC46DF">
        <w:rPr>
          <w:rFonts w:ascii="Arial" w:hAnsi="Arial" w:cs="Arial"/>
          <w:b/>
          <w:u w:val="single"/>
        </w:rPr>
        <w:t>Impurity testing of tamsulosin hydrochloride</w:t>
      </w:r>
    </w:p>
    <w:p w14:paraId="772E5670" w14:textId="77777777" w:rsidR="00766DAB" w:rsidRPr="00CC46DF" w:rsidRDefault="00766DAB" w:rsidP="00CC46DF">
      <w:pPr>
        <w:pStyle w:val="Body"/>
        <w:spacing w:after="0"/>
        <w:rPr>
          <w:rFonts w:ascii="Arial" w:hAnsi="Arial" w:cs="Arial"/>
          <w:b/>
          <w:u w:val="single"/>
        </w:rPr>
      </w:pPr>
    </w:p>
    <w:p w14:paraId="493DE885" w14:textId="398756EF" w:rsidR="00CC46DF" w:rsidRDefault="00766DAB" w:rsidP="001438D1">
      <w:pPr>
        <w:pStyle w:val="Body"/>
        <w:spacing w:after="0"/>
        <w:rPr>
          <w:rFonts w:ascii="Arial" w:hAnsi="Arial" w:cs="Arial"/>
        </w:rPr>
      </w:pPr>
      <w:r w:rsidRPr="00766DAB">
        <w:rPr>
          <w:rFonts w:ascii="Arial" w:hAnsi="Arial" w:cs="Arial"/>
        </w:rPr>
        <w:t xml:space="preserve">Impurities tested for tamsulosin were 2-methoxy, 5-benzenesulphonamide, and 2-propan-2-amine. The test solution was created by dissolving 50.0 mg of tamsulosin hydrochloride in the mobile phase and then diluting it to a total volume of 10.0 mL with the same mobile phase. The reference solution was prepared by diluting 1.0 mL of the test solution to 100.0 mL with the mobile phase and further dilution involves taking 1.0 mL of this solution and diluting it to 10.0 mL with the mobile phase. The chromatographic analysis was performed using a column, packed with end-capped octadecyl silyl silica gel (5 </w:t>
      </w:r>
      <w:proofErr w:type="spellStart"/>
      <w:r w:rsidRPr="00766DAB">
        <w:rPr>
          <w:rFonts w:ascii="Arial" w:hAnsi="Arial" w:cs="Arial"/>
        </w:rPr>
        <w:t>μm</w:t>
      </w:r>
      <w:proofErr w:type="spellEnd"/>
      <w:r w:rsidRPr="00766DAB">
        <w:rPr>
          <w:rFonts w:ascii="Arial" w:hAnsi="Arial" w:cs="Arial"/>
        </w:rPr>
        <w:t xml:space="preserve">). The column temperature was maintained at 40 °C during the analysis. The mobile phase consisted of two components: Mobile Phase A, which is prepared by dissolving 3.0 g of sodium hydroxide in a mixture of 8.7 mL of perchloric acid and 1900 mL of water. The pH of this mixture was adjusted to 2.0 using 0.5 M sodium hydroxide and then diluted to a final volume of 2000 mL with water. Mobile Phase B was simply acetonitrile. The flow rate was set to 1.3 mL/min, and detection occurs using a spectrophotometer at a wavelength of 225 nm. The injection volume for both the test solution and reference solution (a) is 10 </w:t>
      </w:r>
      <w:proofErr w:type="spellStart"/>
      <w:r w:rsidRPr="00766DAB">
        <w:rPr>
          <w:rFonts w:ascii="Arial" w:hAnsi="Arial" w:cs="Arial"/>
        </w:rPr>
        <w:t>μL</w:t>
      </w:r>
      <w:proofErr w:type="spellEnd"/>
      <w:r w:rsidRPr="00766DAB">
        <w:rPr>
          <w:rFonts w:ascii="Arial" w:hAnsi="Arial" w:cs="Arial"/>
        </w:rPr>
        <w:t>, and the total run time for the chromatographic analysis was 45 minutes.</w:t>
      </w:r>
    </w:p>
    <w:p w14:paraId="1FBD1B6F" w14:textId="77777777" w:rsidR="00612804" w:rsidRDefault="00612804" w:rsidP="00441B6F">
      <w:pPr>
        <w:pStyle w:val="Body"/>
        <w:spacing w:after="0"/>
        <w:rPr>
          <w:rFonts w:ascii="Arial" w:hAnsi="Arial" w:cs="Arial"/>
        </w:rPr>
      </w:pPr>
    </w:p>
    <w:p w14:paraId="675A8848" w14:textId="74B1E2DC" w:rsidR="00790ADA" w:rsidRDefault="002A2723" w:rsidP="00441B6F">
      <w:pPr>
        <w:pStyle w:val="Body"/>
        <w:spacing w:after="0"/>
        <w:rPr>
          <w:rFonts w:ascii="Arial" w:hAnsi="Arial" w:cs="Arial"/>
          <w:b/>
          <w:sz w:val="22"/>
        </w:rPr>
      </w:pPr>
      <w:r>
        <w:rPr>
          <w:rFonts w:ascii="Arial" w:hAnsi="Arial" w:cs="Arial"/>
          <w:b/>
          <w:sz w:val="22"/>
        </w:rPr>
        <w:t xml:space="preserve">2.2 </w:t>
      </w:r>
      <w:r w:rsidRPr="002A2723">
        <w:rPr>
          <w:rFonts w:ascii="Arial" w:hAnsi="Arial" w:cs="Arial"/>
          <w:b/>
          <w:sz w:val="22"/>
        </w:rPr>
        <w:t>Safety assessment</w:t>
      </w:r>
    </w:p>
    <w:p w14:paraId="5B3053F2" w14:textId="77777777" w:rsidR="00334B05" w:rsidRDefault="00334B05" w:rsidP="00441B6F">
      <w:pPr>
        <w:pStyle w:val="Body"/>
        <w:spacing w:after="0"/>
        <w:rPr>
          <w:rFonts w:ascii="Arial" w:hAnsi="Arial" w:cs="Arial"/>
          <w:b/>
          <w:sz w:val="22"/>
        </w:rPr>
      </w:pPr>
    </w:p>
    <w:p w14:paraId="778B533A" w14:textId="0501ABB7" w:rsidR="00334B05" w:rsidRDefault="00334B05" w:rsidP="00441B6F">
      <w:pPr>
        <w:pStyle w:val="Body"/>
        <w:spacing w:after="0"/>
        <w:rPr>
          <w:rFonts w:ascii="Arial" w:hAnsi="Arial" w:cs="Arial"/>
        </w:rPr>
      </w:pPr>
      <w:r w:rsidRPr="00334B05">
        <w:rPr>
          <w:rFonts w:ascii="Arial" w:hAnsi="Arial" w:cs="Arial"/>
        </w:rPr>
        <w:t>The safety assessment of dutasteride and tamsulosin hydrochloride formulations included testing for presence of specific impurities in the formulation.</w:t>
      </w:r>
    </w:p>
    <w:p w14:paraId="6751AED0" w14:textId="77777777" w:rsidR="00334B05" w:rsidRPr="00334B05" w:rsidRDefault="00334B05" w:rsidP="00441B6F">
      <w:pPr>
        <w:pStyle w:val="Body"/>
        <w:spacing w:after="0"/>
        <w:rPr>
          <w:rFonts w:ascii="Arial" w:hAnsi="Arial" w:cs="Arial"/>
        </w:rPr>
      </w:pPr>
    </w:p>
    <w:p w14:paraId="172B2FF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51E1F9D" w14:textId="77777777" w:rsidR="005C3FAA" w:rsidRDefault="005C3FAA" w:rsidP="00441B6F">
      <w:pPr>
        <w:pStyle w:val="Head1"/>
        <w:spacing w:after="0"/>
        <w:jc w:val="both"/>
        <w:rPr>
          <w:rFonts w:ascii="Arial" w:hAnsi="Arial" w:cs="Arial"/>
        </w:rPr>
      </w:pPr>
    </w:p>
    <w:p w14:paraId="00BF511A" w14:textId="0DCBACE9" w:rsidR="00393874" w:rsidRDefault="005C3FAA" w:rsidP="00441B6F">
      <w:pPr>
        <w:pStyle w:val="Head1"/>
        <w:spacing w:after="0"/>
        <w:jc w:val="both"/>
        <w:rPr>
          <w:rFonts w:ascii="Arial" w:hAnsi="Arial" w:cs="Arial"/>
        </w:rPr>
      </w:pPr>
      <w:r>
        <w:rPr>
          <w:rFonts w:ascii="Arial" w:hAnsi="Arial" w:cs="Arial"/>
        </w:rPr>
        <w:t xml:space="preserve">3.1 </w:t>
      </w:r>
      <w:r w:rsidRPr="005C3FAA">
        <w:rPr>
          <w:rFonts w:ascii="Arial" w:hAnsi="Arial" w:cs="Arial"/>
          <w:caps w:val="0"/>
        </w:rPr>
        <w:t>Results</w:t>
      </w:r>
    </w:p>
    <w:p w14:paraId="3896E6E1" w14:textId="77777777" w:rsidR="00BA4950" w:rsidRDefault="00BA4950" w:rsidP="00441B6F">
      <w:pPr>
        <w:pStyle w:val="Head1"/>
        <w:spacing w:after="0"/>
        <w:jc w:val="both"/>
        <w:rPr>
          <w:rFonts w:ascii="Arial" w:hAnsi="Arial" w:cs="Arial"/>
        </w:rPr>
      </w:pPr>
    </w:p>
    <w:p w14:paraId="412BA7AE" w14:textId="747E1F14" w:rsidR="006A09BC" w:rsidRDefault="00B95F49" w:rsidP="00B95F49">
      <w:pPr>
        <w:pStyle w:val="Body"/>
        <w:spacing w:after="0"/>
        <w:rPr>
          <w:rFonts w:ascii="Arial" w:hAnsi="Arial" w:cs="Arial"/>
          <w:b/>
          <w:sz w:val="22"/>
        </w:rPr>
      </w:pPr>
      <w:r w:rsidRPr="00B95F49">
        <w:rPr>
          <w:rFonts w:ascii="Arial" w:hAnsi="Arial" w:cs="Arial"/>
          <w:b/>
          <w:sz w:val="22"/>
        </w:rPr>
        <w:t>3.1</w:t>
      </w:r>
      <w:r w:rsidR="005C3FAA">
        <w:rPr>
          <w:rFonts w:ascii="Arial" w:hAnsi="Arial" w:cs="Arial"/>
          <w:b/>
          <w:sz w:val="22"/>
        </w:rPr>
        <w:t>.1</w:t>
      </w:r>
      <w:r w:rsidRPr="00B95F49">
        <w:rPr>
          <w:rFonts w:ascii="Arial" w:hAnsi="Arial" w:cs="Arial"/>
          <w:b/>
          <w:sz w:val="22"/>
        </w:rPr>
        <w:t xml:space="preserve"> </w:t>
      </w:r>
      <w:r w:rsidR="006A09BC" w:rsidRPr="00B95F49">
        <w:rPr>
          <w:rFonts w:ascii="Arial" w:hAnsi="Arial" w:cs="Arial"/>
          <w:b/>
          <w:sz w:val="22"/>
        </w:rPr>
        <w:t>Dissolution</w:t>
      </w:r>
    </w:p>
    <w:p w14:paraId="66D335BA" w14:textId="77777777" w:rsidR="00C80614" w:rsidRDefault="00C80614" w:rsidP="00B95F49">
      <w:pPr>
        <w:pStyle w:val="Body"/>
        <w:spacing w:after="0"/>
        <w:rPr>
          <w:rFonts w:ascii="Arial" w:hAnsi="Arial" w:cs="Arial"/>
          <w:b/>
          <w:sz w:val="22"/>
        </w:rPr>
      </w:pPr>
    </w:p>
    <w:p w14:paraId="12E56745" w14:textId="77777777" w:rsidR="00C25A82" w:rsidRPr="00C25A82" w:rsidRDefault="00C25A82" w:rsidP="00C25A82">
      <w:pPr>
        <w:pStyle w:val="Body"/>
        <w:spacing w:after="0"/>
        <w:rPr>
          <w:rFonts w:ascii="Arial" w:hAnsi="Arial" w:cs="Arial"/>
        </w:rPr>
      </w:pPr>
      <w:r w:rsidRPr="00C25A82">
        <w:rPr>
          <w:rFonts w:ascii="Arial" w:hAnsi="Arial" w:cs="Arial"/>
        </w:rPr>
        <w:t xml:space="preserve">Table 1 shows the time required for dissolution 25%, 26-50%, 50-75%, and &gt;75% for dutasteride and tamsulosin hydrochloride. The dissolution time varied significantly for both dutasteride and tamsulosin HCl across formulations. </w:t>
      </w:r>
      <w:proofErr w:type="spellStart"/>
      <w:r w:rsidRPr="00C25A82">
        <w:rPr>
          <w:rFonts w:ascii="Arial" w:hAnsi="Arial" w:cs="Arial"/>
        </w:rPr>
        <w:t>Dutas</w:t>
      </w:r>
      <w:proofErr w:type="spellEnd"/>
      <w:r w:rsidRPr="00C25A82">
        <w:rPr>
          <w:rFonts w:ascii="Arial" w:hAnsi="Arial" w:cs="Arial"/>
        </w:rPr>
        <w:t xml:space="preserve"> T+ was quickest to dissolve with over 75% release of dutasteride dissolved in 5 minutes, followed by brand C, brand A and brand B. Brand A and brand B required 30 minutes for complete release of dutasteride. Similarly, &gt;75% tamsulosin HCl was released in 4 hours with </w:t>
      </w:r>
      <w:proofErr w:type="spellStart"/>
      <w:r w:rsidRPr="00C25A82">
        <w:rPr>
          <w:rFonts w:ascii="Arial" w:hAnsi="Arial" w:cs="Arial"/>
        </w:rPr>
        <w:t>Dutas</w:t>
      </w:r>
      <w:proofErr w:type="spellEnd"/>
      <w:r w:rsidRPr="00C25A82">
        <w:rPr>
          <w:rFonts w:ascii="Arial" w:hAnsi="Arial" w:cs="Arial"/>
        </w:rPr>
        <w:t xml:space="preserve"> T+ and 3 hours with brand B. Brand C took up to 6 hours, whereas brand A took 5 hours to release &gt;75% tamsulosin from the FDC.</w:t>
      </w:r>
    </w:p>
    <w:p w14:paraId="2F3A266A" w14:textId="54F6EA39" w:rsidR="00D546FD" w:rsidRDefault="00D546FD">
      <w:pPr>
        <w:rPr>
          <w:rFonts w:ascii="Arial" w:hAnsi="Arial" w:cs="Arial"/>
        </w:rPr>
      </w:pPr>
    </w:p>
    <w:p w14:paraId="3A512D67" w14:textId="21E28141" w:rsidR="003960BE" w:rsidRDefault="003960BE" w:rsidP="00D546FD">
      <w:pPr>
        <w:tabs>
          <w:tab w:val="left" w:pos="1080"/>
        </w:tabs>
        <w:jc w:val="both"/>
        <w:rPr>
          <w:rFonts w:ascii="Arial" w:hAnsi="Arial"/>
          <w:b/>
        </w:rPr>
      </w:pPr>
      <w:bookmarkStart w:id="1" w:name="_Ref180074087"/>
      <w:bookmarkStart w:id="2" w:name="_Ref180421762"/>
      <w:r w:rsidRPr="003960BE">
        <w:rPr>
          <w:rFonts w:ascii="Arial" w:hAnsi="Arial"/>
          <w:b/>
        </w:rPr>
        <w:t xml:space="preserve">Table </w:t>
      </w:r>
      <w:r w:rsidRPr="003960BE">
        <w:rPr>
          <w:rFonts w:ascii="Arial" w:hAnsi="Arial"/>
          <w:b/>
        </w:rPr>
        <w:fldChar w:fldCharType="begin"/>
      </w:r>
      <w:r w:rsidRPr="003960BE">
        <w:rPr>
          <w:rFonts w:ascii="Arial" w:hAnsi="Arial"/>
          <w:b/>
        </w:rPr>
        <w:instrText xml:space="preserve"> SEQ Table \* ARABIC </w:instrText>
      </w:r>
      <w:r w:rsidRPr="003960BE">
        <w:rPr>
          <w:rFonts w:ascii="Arial" w:hAnsi="Arial"/>
          <w:b/>
        </w:rPr>
        <w:fldChar w:fldCharType="separate"/>
      </w:r>
      <w:r w:rsidR="00FE1E18">
        <w:rPr>
          <w:rFonts w:ascii="Arial" w:hAnsi="Arial"/>
          <w:b/>
          <w:noProof/>
        </w:rPr>
        <w:t>1</w:t>
      </w:r>
      <w:r w:rsidRPr="003960BE">
        <w:rPr>
          <w:rFonts w:ascii="Arial" w:hAnsi="Arial"/>
          <w:b/>
        </w:rPr>
        <w:fldChar w:fldCharType="end"/>
      </w:r>
      <w:bookmarkEnd w:id="1"/>
      <w:r w:rsidRPr="003960BE">
        <w:rPr>
          <w:rFonts w:ascii="Arial" w:hAnsi="Arial"/>
          <w:b/>
        </w:rPr>
        <w:t>: Dissolution times of dutasteride and tamsulosin hydrochloride across the four different formulations</w:t>
      </w:r>
      <w:bookmarkEnd w:id="2"/>
    </w:p>
    <w:p w14:paraId="48C143DB" w14:textId="77777777" w:rsidR="00D546FD" w:rsidRPr="003960BE" w:rsidRDefault="00D546FD" w:rsidP="00D546FD">
      <w:pPr>
        <w:tabs>
          <w:tab w:val="left" w:pos="1080"/>
        </w:tabs>
        <w:jc w:val="both"/>
        <w:rPr>
          <w:rFonts w:ascii="Arial" w:hAnsi="Arial"/>
          <w:b/>
        </w:rPr>
      </w:pPr>
    </w:p>
    <w:tbl>
      <w:tblPr>
        <w:tblW w:w="6321" w:type="dxa"/>
        <w:tblLook w:val="04A0" w:firstRow="1" w:lastRow="0" w:firstColumn="1" w:lastColumn="0" w:noHBand="0" w:noVBand="1"/>
      </w:tblPr>
      <w:tblGrid>
        <w:gridCol w:w="1427"/>
        <w:gridCol w:w="1153"/>
        <w:gridCol w:w="1121"/>
        <w:gridCol w:w="1212"/>
        <w:gridCol w:w="1408"/>
      </w:tblGrid>
      <w:tr w:rsidR="003960BE" w:rsidRPr="003960BE" w14:paraId="571102D6" w14:textId="77777777" w:rsidTr="003718B4">
        <w:trPr>
          <w:trHeight w:val="330"/>
        </w:trPr>
        <w:tc>
          <w:tcPr>
            <w:tcW w:w="1427" w:type="dxa"/>
            <w:tcBorders>
              <w:top w:val="single" w:sz="4" w:space="0" w:color="auto"/>
              <w:left w:val="nil"/>
              <w:bottom w:val="single" w:sz="4" w:space="0" w:color="auto"/>
              <w:right w:val="nil"/>
            </w:tcBorders>
            <w:shd w:val="clear" w:color="auto" w:fill="auto"/>
            <w:noWrap/>
            <w:hideMark/>
          </w:tcPr>
          <w:p w14:paraId="574794C5" w14:textId="77777777" w:rsidR="003960BE" w:rsidRPr="003960BE" w:rsidRDefault="003960BE" w:rsidP="003960BE">
            <w:pPr>
              <w:spacing w:line="480" w:lineRule="auto"/>
              <w:rPr>
                <w:rFonts w:ascii="Times New Roman" w:hAnsi="Times New Roman"/>
                <w:b/>
                <w:bCs/>
                <w:color w:val="000000"/>
                <w:sz w:val="22"/>
                <w:szCs w:val="22"/>
                <w:lang w:val="en-IN" w:eastAsia="en-IN" w:bidi="th-TH"/>
              </w:rPr>
            </w:pPr>
          </w:p>
        </w:tc>
        <w:tc>
          <w:tcPr>
            <w:tcW w:w="1153" w:type="dxa"/>
            <w:tcBorders>
              <w:top w:val="single" w:sz="4" w:space="0" w:color="auto"/>
              <w:left w:val="nil"/>
              <w:bottom w:val="single" w:sz="4" w:space="0" w:color="auto"/>
              <w:right w:val="nil"/>
            </w:tcBorders>
            <w:shd w:val="clear" w:color="auto" w:fill="auto"/>
            <w:noWrap/>
            <w:hideMark/>
          </w:tcPr>
          <w:p w14:paraId="702326ED" w14:textId="77777777" w:rsidR="003960BE" w:rsidRPr="003960BE" w:rsidRDefault="003960BE" w:rsidP="003960BE">
            <w:pPr>
              <w:spacing w:line="480" w:lineRule="auto"/>
              <w:rPr>
                <w:rFonts w:ascii="Times New Roman" w:hAnsi="Times New Roman"/>
                <w:color w:val="000000"/>
                <w:sz w:val="22"/>
                <w:szCs w:val="22"/>
                <w:lang w:val="en-IN" w:eastAsia="en-IN" w:bidi="th-TH"/>
              </w:rPr>
            </w:pPr>
            <w:proofErr w:type="spellStart"/>
            <w:r w:rsidRPr="003960BE">
              <w:rPr>
                <w:rFonts w:ascii="Times New Roman" w:hAnsi="Times New Roman"/>
                <w:color w:val="000000"/>
                <w:sz w:val="22"/>
                <w:szCs w:val="22"/>
                <w:lang w:val="en-IN" w:eastAsia="en-IN" w:bidi="th-TH"/>
              </w:rPr>
              <w:t>Dutas</w:t>
            </w:r>
            <w:proofErr w:type="spellEnd"/>
            <w:r w:rsidRPr="003960BE">
              <w:rPr>
                <w:rFonts w:ascii="Times New Roman" w:hAnsi="Times New Roman"/>
                <w:color w:val="000000"/>
                <w:sz w:val="22"/>
                <w:szCs w:val="22"/>
                <w:lang w:val="en-IN" w:eastAsia="en-IN" w:bidi="th-TH"/>
              </w:rPr>
              <w:t xml:space="preserve"> T+</w:t>
            </w:r>
          </w:p>
        </w:tc>
        <w:tc>
          <w:tcPr>
            <w:tcW w:w="1121" w:type="dxa"/>
            <w:tcBorders>
              <w:top w:val="single" w:sz="4" w:space="0" w:color="auto"/>
              <w:left w:val="nil"/>
              <w:bottom w:val="single" w:sz="4" w:space="0" w:color="auto"/>
              <w:right w:val="nil"/>
            </w:tcBorders>
            <w:shd w:val="clear" w:color="auto" w:fill="auto"/>
            <w:noWrap/>
            <w:hideMark/>
          </w:tcPr>
          <w:p w14:paraId="0F993861" w14:textId="77777777" w:rsidR="003960BE" w:rsidRPr="003960BE" w:rsidRDefault="003960BE" w:rsidP="003960BE">
            <w:pPr>
              <w:spacing w:line="480" w:lineRule="auto"/>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Brand C</w:t>
            </w:r>
          </w:p>
        </w:tc>
        <w:tc>
          <w:tcPr>
            <w:tcW w:w="1212" w:type="dxa"/>
            <w:tcBorders>
              <w:top w:val="single" w:sz="4" w:space="0" w:color="auto"/>
              <w:left w:val="nil"/>
              <w:bottom w:val="single" w:sz="4" w:space="0" w:color="auto"/>
              <w:right w:val="nil"/>
            </w:tcBorders>
            <w:shd w:val="clear" w:color="auto" w:fill="auto"/>
            <w:noWrap/>
            <w:hideMark/>
          </w:tcPr>
          <w:p w14:paraId="04149278" w14:textId="77777777" w:rsidR="003960BE" w:rsidRPr="003960BE" w:rsidRDefault="003960BE" w:rsidP="003960BE">
            <w:pPr>
              <w:spacing w:line="480" w:lineRule="auto"/>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Brand A</w:t>
            </w:r>
          </w:p>
        </w:tc>
        <w:tc>
          <w:tcPr>
            <w:tcW w:w="1408" w:type="dxa"/>
            <w:tcBorders>
              <w:top w:val="single" w:sz="4" w:space="0" w:color="auto"/>
              <w:left w:val="nil"/>
              <w:bottom w:val="single" w:sz="4" w:space="0" w:color="auto"/>
              <w:right w:val="nil"/>
            </w:tcBorders>
            <w:shd w:val="clear" w:color="auto" w:fill="auto"/>
            <w:noWrap/>
            <w:hideMark/>
          </w:tcPr>
          <w:p w14:paraId="2443C609" w14:textId="77777777" w:rsidR="003960BE" w:rsidRPr="003960BE" w:rsidRDefault="003960BE" w:rsidP="003960BE">
            <w:pPr>
              <w:spacing w:line="480" w:lineRule="auto"/>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Brand B</w:t>
            </w:r>
          </w:p>
        </w:tc>
      </w:tr>
      <w:tr w:rsidR="003960BE" w:rsidRPr="003960BE" w14:paraId="5E32C5BA" w14:textId="77777777" w:rsidTr="003718B4">
        <w:trPr>
          <w:trHeight w:val="330"/>
        </w:trPr>
        <w:tc>
          <w:tcPr>
            <w:tcW w:w="1427" w:type="dxa"/>
            <w:tcBorders>
              <w:top w:val="single" w:sz="4" w:space="0" w:color="auto"/>
              <w:left w:val="nil"/>
              <w:bottom w:val="nil"/>
              <w:right w:val="nil"/>
            </w:tcBorders>
            <w:shd w:val="clear" w:color="auto" w:fill="auto"/>
            <w:noWrap/>
          </w:tcPr>
          <w:p w14:paraId="42A6B517" w14:textId="77777777" w:rsidR="003960BE" w:rsidRPr="003960BE" w:rsidRDefault="003960BE" w:rsidP="003960BE">
            <w:pPr>
              <w:spacing w:line="480" w:lineRule="auto"/>
              <w:rPr>
                <w:rFonts w:ascii="Times New Roman" w:hAnsi="Times New Roman"/>
                <w:b/>
                <w:bCs/>
                <w:color w:val="000000"/>
                <w:sz w:val="22"/>
                <w:szCs w:val="22"/>
                <w:lang w:val="en-IN" w:eastAsia="en-IN" w:bidi="th-TH"/>
              </w:rPr>
            </w:pPr>
            <w:r w:rsidRPr="003960BE">
              <w:rPr>
                <w:rFonts w:ascii="Times New Roman" w:hAnsi="Times New Roman"/>
                <w:b/>
                <w:bCs/>
                <w:color w:val="000000"/>
                <w:sz w:val="22"/>
                <w:szCs w:val="22"/>
                <w:lang w:val="en-IN" w:eastAsia="en-IN" w:bidi="th-TH"/>
              </w:rPr>
              <w:lastRenderedPageBreak/>
              <w:t>Dutasteride</w:t>
            </w:r>
          </w:p>
        </w:tc>
        <w:tc>
          <w:tcPr>
            <w:tcW w:w="1153" w:type="dxa"/>
            <w:tcBorders>
              <w:top w:val="single" w:sz="4" w:space="0" w:color="auto"/>
              <w:left w:val="nil"/>
              <w:bottom w:val="nil"/>
              <w:right w:val="nil"/>
            </w:tcBorders>
            <w:shd w:val="clear" w:color="auto" w:fill="auto"/>
            <w:noWrap/>
          </w:tcPr>
          <w:p w14:paraId="107E1C09" w14:textId="77777777" w:rsidR="003960BE" w:rsidRPr="003960BE" w:rsidRDefault="003960BE" w:rsidP="003960BE">
            <w:pPr>
              <w:spacing w:line="480" w:lineRule="auto"/>
              <w:rPr>
                <w:rFonts w:ascii="Times New Roman" w:hAnsi="Times New Roman"/>
                <w:color w:val="000000"/>
                <w:sz w:val="22"/>
                <w:szCs w:val="22"/>
                <w:lang w:val="en-IN" w:eastAsia="en-IN" w:bidi="th-TH"/>
              </w:rPr>
            </w:pPr>
          </w:p>
        </w:tc>
        <w:tc>
          <w:tcPr>
            <w:tcW w:w="1121" w:type="dxa"/>
            <w:tcBorders>
              <w:top w:val="single" w:sz="4" w:space="0" w:color="auto"/>
              <w:left w:val="nil"/>
              <w:bottom w:val="nil"/>
              <w:right w:val="nil"/>
            </w:tcBorders>
            <w:shd w:val="clear" w:color="auto" w:fill="auto"/>
            <w:noWrap/>
          </w:tcPr>
          <w:p w14:paraId="51062F3B" w14:textId="77777777" w:rsidR="003960BE" w:rsidRPr="003960BE" w:rsidRDefault="003960BE" w:rsidP="003960BE">
            <w:pPr>
              <w:spacing w:line="480" w:lineRule="auto"/>
              <w:rPr>
                <w:rFonts w:ascii="Times New Roman" w:hAnsi="Times New Roman"/>
                <w:color w:val="000000"/>
                <w:sz w:val="22"/>
                <w:szCs w:val="22"/>
                <w:lang w:val="en-IN" w:eastAsia="en-IN" w:bidi="th-TH"/>
              </w:rPr>
            </w:pPr>
          </w:p>
        </w:tc>
        <w:tc>
          <w:tcPr>
            <w:tcW w:w="1212" w:type="dxa"/>
            <w:tcBorders>
              <w:top w:val="single" w:sz="4" w:space="0" w:color="auto"/>
              <w:left w:val="nil"/>
              <w:bottom w:val="nil"/>
              <w:right w:val="nil"/>
            </w:tcBorders>
            <w:shd w:val="clear" w:color="auto" w:fill="auto"/>
            <w:noWrap/>
          </w:tcPr>
          <w:p w14:paraId="754EB97B" w14:textId="77777777" w:rsidR="003960BE" w:rsidRPr="003960BE" w:rsidRDefault="003960BE" w:rsidP="003960BE">
            <w:pPr>
              <w:spacing w:line="480" w:lineRule="auto"/>
              <w:rPr>
                <w:rFonts w:ascii="Times New Roman" w:hAnsi="Times New Roman"/>
                <w:color w:val="000000"/>
                <w:sz w:val="22"/>
                <w:szCs w:val="22"/>
                <w:lang w:val="en-IN" w:eastAsia="en-IN" w:bidi="th-TH"/>
              </w:rPr>
            </w:pPr>
          </w:p>
        </w:tc>
        <w:tc>
          <w:tcPr>
            <w:tcW w:w="1408" w:type="dxa"/>
            <w:tcBorders>
              <w:top w:val="single" w:sz="4" w:space="0" w:color="auto"/>
              <w:left w:val="nil"/>
              <w:bottom w:val="nil"/>
              <w:right w:val="nil"/>
            </w:tcBorders>
            <w:shd w:val="clear" w:color="auto" w:fill="auto"/>
            <w:noWrap/>
          </w:tcPr>
          <w:p w14:paraId="682E95B9" w14:textId="77777777" w:rsidR="003960BE" w:rsidRPr="003960BE" w:rsidRDefault="003960BE" w:rsidP="003960BE">
            <w:pPr>
              <w:spacing w:line="480" w:lineRule="auto"/>
              <w:rPr>
                <w:rFonts w:ascii="Times New Roman" w:hAnsi="Times New Roman"/>
                <w:color w:val="000000"/>
                <w:sz w:val="22"/>
                <w:szCs w:val="22"/>
                <w:lang w:val="en-IN" w:eastAsia="en-IN" w:bidi="th-TH"/>
              </w:rPr>
            </w:pPr>
          </w:p>
        </w:tc>
      </w:tr>
      <w:tr w:rsidR="003960BE" w:rsidRPr="003960BE" w14:paraId="226D81DF" w14:textId="77777777" w:rsidTr="003718B4">
        <w:trPr>
          <w:trHeight w:val="330"/>
        </w:trPr>
        <w:tc>
          <w:tcPr>
            <w:tcW w:w="1427" w:type="dxa"/>
            <w:tcBorders>
              <w:top w:val="nil"/>
              <w:left w:val="nil"/>
              <w:bottom w:val="nil"/>
              <w:right w:val="nil"/>
            </w:tcBorders>
            <w:shd w:val="clear" w:color="auto" w:fill="auto"/>
            <w:noWrap/>
            <w:hideMark/>
          </w:tcPr>
          <w:p w14:paraId="5CD86382" w14:textId="77777777" w:rsidR="003960BE" w:rsidRPr="003960BE" w:rsidRDefault="003960BE" w:rsidP="003960BE">
            <w:pPr>
              <w:spacing w:line="480" w:lineRule="auto"/>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25%</w:t>
            </w:r>
          </w:p>
        </w:tc>
        <w:tc>
          <w:tcPr>
            <w:tcW w:w="1153" w:type="dxa"/>
            <w:tcBorders>
              <w:top w:val="nil"/>
              <w:left w:val="nil"/>
              <w:bottom w:val="nil"/>
              <w:right w:val="nil"/>
            </w:tcBorders>
            <w:shd w:val="clear" w:color="auto" w:fill="auto"/>
            <w:noWrap/>
            <w:hideMark/>
          </w:tcPr>
          <w:p w14:paraId="746E647D"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w:t>
            </w:r>
          </w:p>
        </w:tc>
        <w:tc>
          <w:tcPr>
            <w:tcW w:w="1121" w:type="dxa"/>
            <w:tcBorders>
              <w:top w:val="nil"/>
              <w:left w:val="nil"/>
              <w:bottom w:val="nil"/>
              <w:right w:val="nil"/>
            </w:tcBorders>
            <w:shd w:val="clear" w:color="auto" w:fill="auto"/>
            <w:noWrap/>
            <w:hideMark/>
          </w:tcPr>
          <w:p w14:paraId="4A120FB0"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w:t>
            </w:r>
          </w:p>
        </w:tc>
        <w:tc>
          <w:tcPr>
            <w:tcW w:w="1212" w:type="dxa"/>
            <w:tcBorders>
              <w:top w:val="nil"/>
              <w:left w:val="nil"/>
              <w:bottom w:val="nil"/>
              <w:right w:val="nil"/>
            </w:tcBorders>
            <w:shd w:val="clear" w:color="auto" w:fill="auto"/>
            <w:noWrap/>
            <w:hideMark/>
          </w:tcPr>
          <w:p w14:paraId="31F0AB94"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w:t>
            </w:r>
          </w:p>
        </w:tc>
        <w:tc>
          <w:tcPr>
            <w:tcW w:w="1408" w:type="dxa"/>
            <w:tcBorders>
              <w:top w:val="nil"/>
              <w:left w:val="nil"/>
              <w:bottom w:val="nil"/>
              <w:right w:val="nil"/>
            </w:tcBorders>
            <w:shd w:val="clear" w:color="auto" w:fill="auto"/>
            <w:noWrap/>
            <w:hideMark/>
          </w:tcPr>
          <w:p w14:paraId="78F32208"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w:t>
            </w:r>
          </w:p>
        </w:tc>
      </w:tr>
      <w:tr w:rsidR="003960BE" w:rsidRPr="003960BE" w14:paraId="433CA59C" w14:textId="77777777" w:rsidTr="003718B4">
        <w:trPr>
          <w:trHeight w:val="300"/>
        </w:trPr>
        <w:tc>
          <w:tcPr>
            <w:tcW w:w="1427" w:type="dxa"/>
            <w:tcBorders>
              <w:top w:val="nil"/>
              <w:left w:val="nil"/>
              <w:bottom w:val="nil"/>
              <w:right w:val="nil"/>
            </w:tcBorders>
            <w:shd w:val="clear" w:color="auto" w:fill="auto"/>
            <w:noWrap/>
            <w:hideMark/>
          </w:tcPr>
          <w:p w14:paraId="5E1C1051" w14:textId="77777777" w:rsidR="003960BE" w:rsidRPr="003960BE" w:rsidRDefault="003960BE" w:rsidP="003960BE">
            <w:pPr>
              <w:spacing w:line="480" w:lineRule="auto"/>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26-50%</w:t>
            </w:r>
          </w:p>
        </w:tc>
        <w:tc>
          <w:tcPr>
            <w:tcW w:w="1153" w:type="dxa"/>
            <w:tcBorders>
              <w:top w:val="nil"/>
              <w:left w:val="nil"/>
              <w:bottom w:val="nil"/>
              <w:right w:val="nil"/>
            </w:tcBorders>
            <w:shd w:val="clear" w:color="auto" w:fill="auto"/>
            <w:noWrap/>
            <w:hideMark/>
          </w:tcPr>
          <w:p w14:paraId="75AAD820"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w:t>
            </w:r>
          </w:p>
        </w:tc>
        <w:tc>
          <w:tcPr>
            <w:tcW w:w="1121" w:type="dxa"/>
            <w:tcBorders>
              <w:top w:val="nil"/>
              <w:left w:val="nil"/>
              <w:bottom w:val="nil"/>
              <w:right w:val="nil"/>
            </w:tcBorders>
            <w:shd w:val="clear" w:color="auto" w:fill="auto"/>
            <w:noWrap/>
            <w:hideMark/>
          </w:tcPr>
          <w:p w14:paraId="363248A0"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w:t>
            </w:r>
          </w:p>
        </w:tc>
        <w:tc>
          <w:tcPr>
            <w:tcW w:w="1212" w:type="dxa"/>
            <w:tcBorders>
              <w:top w:val="nil"/>
              <w:left w:val="nil"/>
              <w:bottom w:val="nil"/>
              <w:right w:val="nil"/>
            </w:tcBorders>
            <w:shd w:val="clear" w:color="auto" w:fill="auto"/>
            <w:noWrap/>
            <w:hideMark/>
          </w:tcPr>
          <w:p w14:paraId="4218E57C"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w:t>
            </w:r>
          </w:p>
        </w:tc>
        <w:tc>
          <w:tcPr>
            <w:tcW w:w="1408" w:type="dxa"/>
            <w:tcBorders>
              <w:top w:val="nil"/>
              <w:left w:val="nil"/>
              <w:bottom w:val="nil"/>
              <w:right w:val="nil"/>
            </w:tcBorders>
            <w:shd w:val="clear" w:color="auto" w:fill="auto"/>
            <w:noWrap/>
            <w:hideMark/>
          </w:tcPr>
          <w:p w14:paraId="5028AB33"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≤5 min.</w:t>
            </w:r>
          </w:p>
        </w:tc>
      </w:tr>
      <w:tr w:rsidR="003960BE" w:rsidRPr="003960BE" w14:paraId="0CCD73C7" w14:textId="77777777" w:rsidTr="003718B4">
        <w:trPr>
          <w:trHeight w:val="300"/>
        </w:trPr>
        <w:tc>
          <w:tcPr>
            <w:tcW w:w="1427" w:type="dxa"/>
            <w:tcBorders>
              <w:top w:val="nil"/>
              <w:left w:val="nil"/>
              <w:bottom w:val="nil"/>
              <w:right w:val="nil"/>
            </w:tcBorders>
            <w:shd w:val="clear" w:color="auto" w:fill="auto"/>
            <w:noWrap/>
            <w:hideMark/>
          </w:tcPr>
          <w:p w14:paraId="08AA2299" w14:textId="77777777" w:rsidR="003960BE" w:rsidRPr="003960BE" w:rsidRDefault="003960BE" w:rsidP="003960BE">
            <w:pPr>
              <w:spacing w:line="480" w:lineRule="auto"/>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50-75%</w:t>
            </w:r>
          </w:p>
        </w:tc>
        <w:tc>
          <w:tcPr>
            <w:tcW w:w="1153" w:type="dxa"/>
            <w:tcBorders>
              <w:top w:val="nil"/>
              <w:left w:val="nil"/>
              <w:bottom w:val="nil"/>
              <w:right w:val="nil"/>
            </w:tcBorders>
            <w:shd w:val="clear" w:color="auto" w:fill="auto"/>
            <w:noWrap/>
            <w:hideMark/>
          </w:tcPr>
          <w:p w14:paraId="01FE01A8"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w:t>
            </w:r>
          </w:p>
        </w:tc>
        <w:tc>
          <w:tcPr>
            <w:tcW w:w="1121" w:type="dxa"/>
            <w:tcBorders>
              <w:top w:val="nil"/>
              <w:left w:val="nil"/>
              <w:bottom w:val="nil"/>
              <w:right w:val="nil"/>
            </w:tcBorders>
            <w:shd w:val="clear" w:color="auto" w:fill="auto"/>
            <w:noWrap/>
            <w:hideMark/>
          </w:tcPr>
          <w:p w14:paraId="089234BE"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≤5 min.</w:t>
            </w:r>
          </w:p>
        </w:tc>
        <w:tc>
          <w:tcPr>
            <w:tcW w:w="1212" w:type="dxa"/>
            <w:tcBorders>
              <w:top w:val="nil"/>
              <w:left w:val="nil"/>
              <w:bottom w:val="nil"/>
              <w:right w:val="nil"/>
            </w:tcBorders>
            <w:shd w:val="clear" w:color="auto" w:fill="auto"/>
            <w:noWrap/>
            <w:hideMark/>
          </w:tcPr>
          <w:p w14:paraId="6BFE2508"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≤20 min.</w:t>
            </w:r>
          </w:p>
        </w:tc>
        <w:tc>
          <w:tcPr>
            <w:tcW w:w="1408" w:type="dxa"/>
            <w:tcBorders>
              <w:top w:val="nil"/>
              <w:left w:val="nil"/>
              <w:bottom w:val="nil"/>
              <w:right w:val="nil"/>
            </w:tcBorders>
            <w:shd w:val="clear" w:color="auto" w:fill="auto"/>
            <w:noWrap/>
            <w:hideMark/>
          </w:tcPr>
          <w:p w14:paraId="0FDF83BC"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≤10 min.</w:t>
            </w:r>
          </w:p>
        </w:tc>
      </w:tr>
      <w:tr w:rsidR="003960BE" w:rsidRPr="003960BE" w14:paraId="1E047B68" w14:textId="77777777" w:rsidTr="003718B4">
        <w:trPr>
          <w:trHeight w:val="300"/>
        </w:trPr>
        <w:tc>
          <w:tcPr>
            <w:tcW w:w="1427" w:type="dxa"/>
            <w:tcBorders>
              <w:top w:val="nil"/>
              <w:left w:val="nil"/>
              <w:bottom w:val="single" w:sz="4" w:space="0" w:color="auto"/>
              <w:right w:val="nil"/>
            </w:tcBorders>
            <w:shd w:val="clear" w:color="auto" w:fill="auto"/>
            <w:noWrap/>
            <w:hideMark/>
          </w:tcPr>
          <w:p w14:paraId="40DF60C6" w14:textId="77777777" w:rsidR="003960BE" w:rsidRPr="003960BE" w:rsidRDefault="003960BE" w:rsidP="003960BE">
            <w:pPr>
              <w:spacing w:line="480" w:lineRule="auto"/>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&gt;75%</w:t>
            </w:r>
          </w:p>
        </w:tc>
        <w:tc>
          <w:tcPr>
            <w:tcW w:w="1153" w:type="dxa"/>
            <w:tcBorders>
              <w:top w:val="nil"/>
              <w:left w:val="nil"/>
              <w:bottom w:val="single" w:sz="4" w:space="0" w:color="auto"/>
              <w:right w:val="nil"/>
            </w:tcBorders>
            <w:shd w:val="clear" w:color="auto" w:fill="auto"/>
            <w:noWrap/>
            <w:hideMark/>
          </w:tcPr>
          <w:p w14:paraId="549070B5"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≤5 min.</w:t>
            </w:r>
          </w:p>
        </w:tc>
        <w:tc>
          <w:tcPr>
            <w:tcW w:w="1121" w:type="dxa"/>
            <w:tcBorders>
              <w:top w:val="nil"/>
              <w:left w:val="nil"/>
              <w:bottom w:val="single" w:sz="4" w:space="0" w:color="auto"/>
              <w:right w:val="nil"/>
            </w:tcBorders>
            <w:shd w:val="clear" w:color="auto" w:fill="auto"/>
            <w:noWrap/>
            <w:hideMark/>
          </w:tcPr>
          <w:p w14:paraId="4440B55B"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≤10 min.</w:t>
            </w:r>
          </w:p>
        </w:tc>
        <w:tc>
          <w:tcPr>
            <w:tcW w:w="1212" w:type="dxa"/>
            <w:tcBorders>
              <w:top w:val="nil"/>
              <w:left w:val="nil"/>
              <w:bottom w:val="single" w:sz="4" w:space="0" w:color="auto"/>
              <w:right w:val="nil"/>
            </w:tcBorders>
            <w:shd w:val="clear" w:color="auto" w:fill="auto"/>
            <w:noWrap/>
            <w:hideMark/>
          </w:tcPr>
          <w:p w14:paraId="017A4997"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≤30 min.</w:t>
            </w:r>
          </w:p>
        </w:tc>
        <w:tc>
          <w:tcPr>
            <w:tcW w:w="1408" w:type="dxa"/>
            <w:tcBorders>
              <w:top w:val="nil"/>
              <w:left w:val="nil"/>
              <w:bottom w:val="single" w:sz="4" w:space="0" w:color="auto"/>
              <w:right w:val="nil"/>
            </w:tcBorders>
            <w:shd w:val="clear" w:color="auto" w:fill="auto"/>
            <w:noWrap/>
            <w:hideMark/>
          </w:tcPr>
          <w:p w14:paraId="4B65DE0D"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≤30 min.</w:t>
            </w:r>
          </w:p>
        </w:tc>
      </w:tr>
      <w:tr w:rsidR="003960BE" w:rsidRPr="003960BE" w14:paraId="0CCCFAD4" w14:textId="77777777" w:rsidTr="003718B4">
        <w:trPr>
          <w:trHeight w:val="315"/>
        </w:trPr>
        <w:tc>
          <w:tcPr>
            <w:tcW w:w="3701" w:type="dxa"/>
            <w:gridSpan w:val="3"/>
            <w:tcBorders>
              <w:top w:val="single" w:sz="4" w:space="0" w:color="auto"/>
              <w:left w:val="nil"/>
              <w:bottom w:val="nil"/>
              <w:right w:val="nil"/>
            </w:tcBorders>
            <w:shd w:val="clear" w:color="auto" w:fill="auto"/>
            <w:noWrap/>
            <w:hideMark/>
          </w:tcPr>
          <w:p w14:paraId="2CFF0C30" w14:textId="77777777" w:rsidR="003960BE" w:rsidRPr="003960BE" w:rsidRDefault="003960BE" w:rsidP="003960BE">
            <w:pPr>
              <w:spacing w:line="480" w:lineRule="auto"/>
              <w:rPr>
                <w:rFonts w:ascii="Times New Roman" w:hAnsi="Times New Roman"/>
                <w:b/>
                <w:bCs/>
                <w:color w:val="000000"/>
                <w:sz w:val="22"/>
                <w:szCs w:val="22"/>
                <w:lang w:val="en-IN" w:eastAsia="en-IN" w:bidi="th-TH"/>
              </w:rPr>
            </w:pPr>
            <w:r w:rsidRPr="003960BE">
              <w:rPr>
                <w:rFonts w:ascii="Times New Roman" w:hAnsi="Times New Roman"/>
                <w:b/>
                <w:bCs/>
                <w:color w:val="000000"/>
                <w:sz w:val="22"/>
                <w:szCs w:val="22"/>
                <w:lang w:val="en-IN" w:eastAsia="en-IN" w:bidi="th-TH"/>
              </w:rPr>
              <w:t xml:space="preserve">Tamsulosin Hydrochloride </w:t>
            </w:r>
          </w:p>
        </w:tc>
        <w:tc>
          <w:tcPr>
            <w:tcW w:w="1212" w:type="dxa"/>
            <w:tcBorders>
              <w:top w:val="single" w:sz="4" w:space="0" w:color="auto"/>
              <w:left w:val="nil"/>
              <w:bottom w:val="nil"/>
              <w:right w:val="nil"/>
            </w:tcBorders>
            <w:shd w:val="clear" w:color="auto" w:fill="auto"/>
            <w:noWrap/>
            <w:hideMark/>
          </w:tcPr>
          <w:p w14:paraId="4F836B3F" w14:textId="77777777" w:rsidR="003960BE" w:rsidRPr="003960BE" w:rsidRDefault="003960BE" w:rsidP="003960BE">
            <w:pPr>
              <w:spacing w:line="480" w:lineRule="auto"/>
              <w:rPr>
                <w:rFonts w:ascii="Times New Roman" w:hAnsi="Times New Roman"/>
                <w:b/>
                <w:bCs/>
                <w:color w:val="000000"/>
                <w:sz w:val="22"/>
                <w:szCs w:val="22"/>
                <w:lang w:val="en-IN" w:eastAsia="en-IN" w:bidi="th-TH"/>
              </w:rPr>
            </w:pPr>
          </w:p>
        </w:tc>
        <w:tc>
          <w:tcPr>
            <w:tcW w:w="1408" w:type="dxa"/>
            <w:tcBorders>
              <w:top w:val="single" w:sz="4" w:space="0" w:color="auto"/>
              <w:left w:val="nil"/>
              <w:bottom w:val="nil"/>
              <w:right w:val="nil"/>
            </w:tcBorders>
            <w:shd w:val="clear" w:color="auto" w:fill="auto"/>
            <w:noWrap/>
            <w:hideMark/>
          </w:tcPr>
          <w:p w14:paraId="7FB6399B" w14:textId="77777777" w:rsidR="003960BE" w:rsidRPr="003960BE" w:rsidRDefault="003960BE" w:rsidP="003960BE">
            <w:pPr>
              <w:spacing w:line="480" w:lineRule="auto"/>
              <w:rPr>
                <w:rFonts w:ascii="Times New Roman" w:hAnsi="Times New Roman"/>
                <w:sz w:val="22"/>
                <w:szCs w:val="22"/>
                <w:lang w:val="en-IN" w:eastAsia="en-IN" w:bidi="th-TH"/>
              </w:rPr>
            </w:pPr>
          </w:p>
        </w:tc>
      </w:tr>
      <w:tr w:rsidR="003960BE" w:rsidRPr="003960BE" w14:paraId="59D02310" w14:textId="77777777" w:rsidTr="003718B4">
        <w:trPr>
          <w:trHeight w:val="300"/>
        </w:trPr>
        <w:tc>
          <w:tcPr>
            <w:tcW w:w="1427" w:type="dxa"/>
            <w:tcBorders>
              <w:top w:val="nil"/>
              <w:left w:val="nil"/>
              <w:bottom w:val="nil"/>
              <w:right w:val="nil"/>
            </w:tcBorders>
            <w:shd w:val="clear" w:color="auto" w:fill="auto"/>
            <w:noWrap/>
            <w:hideMark/>
          </w:tcPr>
          <w:p w14:paraId="2EBF52E2" w14:textId="77777777" w:rsidR="003960BE" w:rsidRPr="003960BE" w:rsidRDefault="003960BE" w:rsidP="003960BE">
            <w:pPr>
              <w:spacing w:line="480" w:lineRule="auto"/>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25%</w:t>
            </w:r>
          </w:p>
        </w:tc>
        <w:tc>
          <w:tcPr>
            <w:tcW w:w="1153" w:type="dxa"/>
            <w:tcBorders>
              <w:top w:val="nil"/>
              <w:left w:val="nil"/>
              <w:bottom w:val="nil"/>
              <w:right w:val="nil"/>
            </w:tcBorders>
            <w:shd w:val="clear" w:color="auto" w:fill="auto"/>
            <w:noWrap/>
            <w:hideMark/>
          </w:tcPr>
          <w:p w14:paraId="7CDB86F5"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w:t>
            </w:r>
          </w:p>
        </w:tc>
        <w:tc>
          <w:tcPr>
            <w:tcW w:w="1121" w:type="dxa"/>
            <w:tcBorders>
              <w:top w:val="nil"/>
              <w:left w:val="nil"/>
              <w:bottom w:val="nil"/>
              <w:right w:val="nil"/>
            </w:tcBorders>
            <w:shd w:val="clear" w:color="auto" w:fill="auto"/>
            <w:noWrap/>
            <w:hideMark/>
          </w:tcPr>
          <w:p w14:paraId="0CD56390"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w:t>
            </w:r>
          </w:p>
        </w:tc>
        <w:tc>
          <w:tcPr>
            <w:tcW w:w="1212" w:type="dxa"/>
            <w:tcBorders>
              <w:top w:val="nil"/>
              <w:left w:val="nil"/>
              <w:bottom w:val="nil"/>
              <w:right w:val="nil"/>
            </w:tcBorders>
            <w:shd w:val="clear" w:color="auto" w:fill="auto"/>
            <w:noWrap/>
            <w:hideMark/>
          </w:tcPr>
          <w:p w14:paraId="715936D8"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3 hrs.</w:t>
            </w:r>
          </w:p>
        </w:tc>
        <w:tc>
          <w:tcPr>
            <w:tcW w:w="1408" w:type="dxa"/>
            <w:tcBorders>
              <w:top w:val="nil"/>
              <w:left w:val="nil"/>
              <w:bottom w:val="nil"/>
              <w:right w:val="nil"/>
            </w:tcBorders>
            <w:shd w:val="clear" w:color="auto" w:fill="auto"/>
            <w:noWrap/>
            <w:hideMark/>
          </w:tcPr>
          <w:p w14:paraId="0699EAC4"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w:t>
            </w:r>
          </w:p>
        </w:tc>
      </w:tr>
      <w:tr w:rsidR="003960BE" w:rsidRPr="003960BE" w14:paraId="3B5B0331" w14:textId="77777777" w:rsidTr="003718B4">
        <w:trPr>
          <w:trHeight w:val="300"/>
        </w:trPr>
        <w:tc>
          <w:tcPr>
            <w:tcW w:w="1427" w:type="dxa"/>
            <w:tcBorders>
              <w:top w:val="nil"/>
              <w:left w:val="nil"/>
              <w:bottom w:val="nil"/>
              <w:right w:val="nil"/>
            </w:tcBorders>
            <w:shd w:val="clear" w:color="auto" w:fill="auto"/>
            <w:noWrap/>
            <w:hideMark/>
          </w:tcPr>
          <w:p w14:paraId="20DE100E" w14:textId="77777777" w:rsidR="003960BE" w:rsidRPr="003960BE" w:rsidRDefault="003960BE" w:rsidP="003960BE">
            <w:pPr>
              <w:spacing w:line="480" w:lineRule="auto"/>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26-50%</w:t>
            </w:r>
          </w:p>
        </w:tc>
        <w:tc>
          <w:tcPr>
            <w:tcW w:w="1153" w:type="dxa"/>
            <w:tcBorders>
              <w:top w:val="nil"/>
              <w:left w:val="nil"/>
              <w:bottom w:val="nil"/>
              <w:right w:val="nil"/>
            </w:tcBorders>
            <w:shd w:val="clear" w:color="auto" w:fill="auto"/>
            <w:noWrap/>
            <w:hideMark/>
          </w:tcPr>
          <w:p w14:paraId="021AAA81"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w:t>
            </w:r>
          </w:p>
        </w:tc>
        <w:tc>
          <w:tcPr>
            <w:tcW w:w="1121" w:type="dxa"/>
            <w:tcBorders>
              <w:top w:val="nil"/>
              <w:left w:val="nil"/>
              <w:bottom w:val="nil"/>
              <w:right w:val="nil"/>
            </w:tcBorders>
            <w:shd w:val="clear" w:color="auto" w:fill="auto"/>
            <w:noWrap/>
            <w:hideMark/>
          </w:tcPr>
          <w:p w14:paraId="540BB9EE"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 3 hrs.</w:t>
            </w:r>
          </w:p>
        </w:tc>
        <w:tc>
          <w:tcPr>
            <w:tcW w:w="1212" w:type="dxa"/>
            <w:tcBorders>
              <w:top w:val="nil"/>
              <w:left w:val="nil"/>
              <w:bottom w:val="nil"/>
              <w:right w:val="nil"/>
            </w:tcBorders>
            <w:shd w:val="clear" w:color="auto" w:fill="auto"/>
            <w:noWrap/>
            <w:hideMark/>
          </w:tcPr>
          <w:p w14:paraId="60E8B99A"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w:t>
            </w:r>
          </w:p>
        </w:tc>
        <w:tc>
          <w:tcPr>
            <w:tcW w:w="1408" w:type="dxa"/>
            <w:tcBorders>
              <w:top w:val="nil"/>
              <w:left w:val="nil"/>
              <w:bottom w:val="nil"/>
              <w:right w:val="nil"/>
            </w:tcBorders>
            <w:shd w:val="clear" w:color="auto" w:fill="auto"/>
            <w:noWrap/>
            <w:hideMark/>
          </w:tcPr>
          <w:p w14:paraId="5B252721"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w:t>
            </w:r>
          </w:p>
        </w:tc>
      </w:tr>
      <w:tr w:rsidR="003960BE" w:rsidRPr="003960BE" w14:paraId="4F0BA653" w14:textId="77777777" w:rsidTr="003718B4">
        <w:trPr>
          <w:trHeight w:val="300"/>
        </w:trPr>
        <w:tc>
          <w:tcPr>
            <w:tcW w:w="1427" w:type="dxa"/>
            <w:tcBorders>
              <w:top w:val="nil"/>
              <w:left w:val="nil"/>
              <w:bottom w:val="nil"/>
              <w:right w:val="nil"/>
            </w:tcBorders>
            <w:shd w:val="clear" w:color="auto" w:fill="auto"/>
            <w:noWrap/>
            <w:hideMark/>
          </w:tcPr>
          <w:p w14:paraId="2D963F5A" w14:textId="77777777" w:rsidR="003960BE" w:rsidRPr="003960BE" w:rsidRDefault="003960BE" w:rsidP="003960BE">
            <w:pPr>
              <w:spacing w:line="480" w:lineRule="auto"/>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50-75%</w:t>
            </w:r>
          </w:p>
        </w:tc>
        <w:tc>
          <w:tcPr>
            <w:tcW w:w="1153" w:type="dxa"/>
            <w:tcBorders>
              <w:top w:val="nil"/>
              <w:left w:val="nil"/>
              <w:bottom w:val="nil"/>
              <w:right w:val="nil"/>
            </w:tcBorders>
            <w:shd w:val="clear" w:color="auto" w:fill="auto"/>
            <w:noWrap/>
            <w:hideMark/>
          </w:tcPr>
          <w:p w14:paraId="78091D49"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≤3 hrs.</w:t>
            </w:r>
          </w:p>
        </w:tc>
        <w:tc>
          <w:tcPr>
            <w:tcW w:w="1121" w:type="dxa"/>
            <w:tcBorders>
              <w:top w:val="nil"/>
              <w:left w:val="nil"/>
              <w:bottom w:val="nil"/>
              <w:right w:val="nil"/>
            </w:tcBorders>
            <w:shd w:val="clear" w:color="auto" w:fill="auto"/>
            <w:noWrap/>
            <w:hideMark/>
          </w:tcPr>
          <w:p w14:paraId="10B55F33"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 4 hrs.</w:t>
            </w:r>
          </w:p>
        </w:tc>
        <w:tc>
          <w:tcPr>
            <w:tcW w:w="1212" w:type="dxa"/>
            <w:tcBorders>
              <w:top w:val="nil"/>
              <w:left w:val="nil"/>
              <w:bottom w:val="nil"/>
              <w:right w:val="nil"/>
            </w:tcBorders>
            <w:shd w:val="clear" w:color="auto" w:fill="auto"/>
            <w:noWrap/>
            <w:hideMark/>
          </w:tcPr>
          <w:p w14:paraId="1911EDBD"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 4 hrs.</w:t>
            </w:r>
          </w:p>
        </w:tc>
        <w:tc>
          <w:tcPr>
            <w:tcW w:w="1408" w:type="dxa"/>
            <w:tcBorders>
              <w:top w:val="nil"/>
              <w:left w:val="nil"/>
              <w:bottom w:val="nil"/>
              <w:right w:val="nil"/>
            </w:tcBorders>
            <w:shd w:val="clear" w:color="auto" w:fill="auto"/>
            <w:noWrap/>
            <w:hideMark/>
          </w:tcPr>
          <w:p w14:paraId="5FDA26B4"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w:t>
            </w:r>
          </w:p>
        </w:tc>
      </w:tr>
      <w:tr w:rsidR="003960BE" w:rsidRPr="003960BE" w14:paraId="5022A161" w14:textId="77777777" w:rsidTr="003718B4">
        <w:trPr>
          <w:trHeight w:val="300"/>
        </w:trPr>
        <w:tc>
          <w:tcPr>
            <w:tcW w:w="1427" w:type="dxa"/>
            <w:tcBorders>
              <w:top w:val="nil"/>
              <w:left w:val="nil"/>
              <w:bottom w:val="single" w:sz="4" w:space="0" w:color="auto"/>
              <w:right w:val="nil"/>
            </w:tcBorders>
            <w:shd w:val="clear" w:color="auto" w:fill="auto"/>
            <w:noWrap/>
            <w:hideMark/>
          </w:tcPr>
          <w:p w14:paraId="0CF89D51" w14:textId="77777777" w:rsidR="003960BE" w:rsidRPr="003960BE" w:rsidRDefault="003960BE" w:rsidP="003960BE">
            <w:pPr>
              <w:spacing w:line="480" w:lineRule="auto"/>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&gt;75%</w:t>
            </w:r>
          </w:p>
        </w:tc>
        <w:tc>
          <w:tcPr>
            <w:tcW w:w="1153" w:type="dxa"/>
            <w:tcBorders>
              <w:top w:val="nil"/>
              <w:left w:val="nil"/>
              <w:bottom w:val="single" w:sz="4" w:space="0" w:color="auto"/>
              <w:right w:val="nil"/>
            </w:tcBorders>
            <w:shd w:val="clear" w:color="auto" w:fill="auto"/>
            <w:noWrap/>
            <w:hideMark/>
          </w:tcPr>
          <w:p w14:paraId="38B7D3C4"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≤4 hrs.</w:t>
            </w:r>
          </w:p>
        </w:tc>
        <w:tc>
          <w:tcPr>
            <w:tcW w:w="1121" w:type="dxa"/>
            <w:tcBorders>
              <w:top w:val="nil"/>
              <w:left w:val="nil"/>
              <w:bottom w:val="single" w:sz="4" w:space="0" w:color="auto"/>
              <w:right w:val="nil"/>
            </w:tcBorders>
            <w:shd w:val="clear" w:color="auto" w:fill="auto"/>
            <w:noWrap/>
            <w:hideMark/>
          </w:tcPr>
          <w:p w14:paraId="7F43C789"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 6 hrs.</w:t>
            </w:r>
          </w:p>
        </w:tc>
        <w:tc>
          <w:tcPr>
            <w:tcW w:w="1212" w:type="dxa"/>
            <w:tcBorders>
              <w:top w:val="nil"/>
              <w:left w:val="nil"/>
              <w:bottom w:val="single" w:sz="4" w:space="0" w:color="auto"/>
              <w:right w:val="nil"/>
            </w:tcBorders>
            <w:shd w:val="clear" w:color="auto" w:fill="auto"/>
            <w:noWrap/>
            <w:hideMark/>
          </w:tcPr>
          <w:p w14:paraId="664AE1F5"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 5 hrs.</w:t>
            </w:r>
          </w:p>
        </w:tc>
        <w:tc>
          <w:tcPr>
            <w:tcW w:w="1408" w:type="dxa"/>
            <w:tcBorders>
              <w:top w:val="nil"/>
              <w:left w:val="nil"/>
              <w:bottom w:val="single" w:sz="4" w:space="0" w:color="auto"/>
              <w:right w:val="nil"/>
            </w:tcBorders>
            <w:shd w:val="clear" w:color="auto" w:fill="auto"/>
            <w:noWrap/>
            <w:hideMark/>
          </w:tcPr>
          <w:p w14:paraId="61CB5256"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r w:rsidRPr="003960BE">
              <w:rPr>
                <w:rFonts w:ascii="Times New Roman" w:hAnsi="Times New Roman"/>
                <w:color w:val="000000"/>
                <w:sz w:val="22"/>
                <w:szCs w:val="22"/>
                <w:lang w:val="en-IN" w:eastAsia="en-IN" w:bidi="th-TH"/>
              </w:rPr>
              <w:t>≤ 3 hrs.</w:t>
            </w:r>
          </w:p>
        </w:tc>
      </w:tr>
      <w:tr w:rsidR="003960BE" w:rsidRPr="003960BE" w14:paraId="384FBF96" w14:textId="77777777" w:rsidTr="003718B4">
        <w:trPr>
          <w:trHeight w:val="300"/>
        </w:trPr>
        <w:tc>
          <w:tcPr>
            <w:tcW w:w="1427" w:type="dxa"/>
            <w:tcBorders>
              <w:top w:val="single" w:sz="4" w:space="0" w:color="auto"/>
              <w:left w:val="nil"/>
              <w:bottom w:val="single" w:sz="4" w:space="0" w:color="auto"/>
              <w:right w:val="nil"/>
            </w:tcBorders>
            <w:shd w:val="clear" w:color="auto" w:fill="auto"/>
            <w:noWrap/>
          </w:tcPr>
          <w:p w14:paraId="5B95F4E8" w14:textId="77777777" w:rsidR="003960BE" w:rsidRPr="003960BE" w:rsidRDefault="003960BE" w:rsidP="003960BE">
            <w:pPr>
              <w:spacing w:line="480" w:lineRule="auto"/>
              <w:rPr>
                <w:rFonts w:ascii="Times New Roman" w:hAnsi="Times New Roman"/>
                <w:color w:val="000000"/>
                <w:sz w:val="22"/>
                <w:szCs w:val="22"/>
                <w:lang w:val="en-IN" w:eastAsia="en-IN" w:bidi="th-TH"/>
              </w:rPr>
            </w:pPr>
          </w:p>
        </w:tc>
        <w:tc>
          <w:tcPr>
            <w:tcW w:w="1153" w:type="dxa"/>
            <w:tcBorders>
              <w:top w:val="single" w:sz="4" w:space="0" w:color="auto"/>
              <w:left w:val="nil"/>
              <w:bottom w:val="single" w:sz="4" w:space="0" w:color="auto"/>
              <w:right w:val="nil"/>
            </w:tcBorders>
            <w:shd w:val="clear" w:color="auto" w:fill="auto"/>
            <w:noWrap/>
          </w:tcPr>
          <w:p w14:paraId="22E14CFD"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p>
        </w:tc>
        <w:tc>
          <w:tcPr>
            <w:tcW w:w="1121" w:type="dxa"/>
            <w:tcBorders>
              <w:top w:val="single" w:sz="4" w:space="0" w:color="auto"/>
              <w:left w:val="nil"/>
              <w:bottom w:val="single" w:sz="4" w:space="0" w:color="auto"/>
              <w:right w:val="nil"/>
            </w:tcBorders>
            <w:shd w:val="clear" w:color="auto" w:fill="auto"/>
            <w:noWrap/>
          </w:tcPr>
          <w:p w14:paraId="38533E2F"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p>
        </w:tc>
        <w:tc>
          <w:tcPr>
            <w:tcW w:w="1212" w:type="dxa"/>
            <w:tcBorders>
              <w:top w:val="single" w:sz="4" w:space="0" w:color="auto"/>
              <w:left w:val="nil"/>
              <w:bottom w:val="single" w:sz="4" w:space="0" w:color="auto"/>
              <w:right w:val="nil"/>
            </w:tcBorders>
            <w:shd w:val="clear" w:color="auto" w:fill="auto"/>
            <w:noWrap/>
          </w:tcPr>
          <w:p w14:paraId="6C85545C"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p>
        </w:tc>
        <w:tc>
          <w:tcPr>
            <w:tcW w:w="1408" w:type="dxa"/>
            <w:tcBorders>
              <w:top w:val="single" w:sz="4" w:space="0" w:color="auto"/>
              <w:left w:val="nil"/>
              <w:bottom w:val="single" w:sz="4" w:space="0" w:color="auto"/>
              <w:right w:val="nil"/>
            </w:tcBorders>
            <w:shd w:val="clear" w:color="auto" w:fill="auto"/>
            <w:noWrap/>
          </w:tcPr>
          <w:p w14:paraId="52022B9B" w14:textId="77777777" w:rsidR="003960BE" w:rsidRPr="003960BE" w:rsidRDefault="003960BE" w:rsidP="003960BE">
            <w:pPr>
              <w:spacing w:line="480" w:lineRule="auto"/>
              <w:jc w:val="right"/>
              <w:rPr>
                <w:rFonts w:ascii="Times New Roman" w:hAnsi="Times New Roman"/>
                <w:color w:val="000000"/>
                <w:sz w:val="22"/>
                <w:szCs w:val="22"/>
                <w:lang w:val="en-IN" w:eastAsia="en-IN" w:bidi="th-TH"/>
              </w:rPr>
            </w:pPr>
          </w:p>
        </w:tc>
      </w:tr>
    </w:tbl>
    <w:p w14:paraId="6675B502" w14:textId="77777777" w:rsidR="003960BE" w:rsidRPr="00554F09" w:rsidRDefault="003960BE" w:rsidP="00554F09">
      <w:pPr>
        <w:rPr>
          <w:rFonts w:eastAsia="DengXian"/>
          <w:lang w:val="en-IN" w:eastAsia="zh-CN" w:bidi="th-TH"/>
        </w:rPr>
      </w:pPr>
      <w:r w:rsidRPr="00554F09">
        <w:rPr>
          <w:rFonts w:eastAsia="DengXian"/>
          <w:lang w:val="en-IN" w:eastAsia="zh-CN" w:bidi="th-TH"/>
        </w:rPr>
        <w:t xml:space="preserve">Min.: Minutes. </w:t>
      </w:r>
    </w:p>
    <w:p w14:paraId="5A5FD3FD" w14:textId="77777777" w:rsidR="00243741" w:rsidRDefault="00243741">
      <w:pPr>
        <w:rPr>
          <w:rFonts w:eastAsia="DengXian"/>
          <w:lang w:val="en-IN" w:eastAsia="zh-CN" w:bidi="th-TH"/>
        </w:rPr>
      </w:pPr>
      <w:r>
        <w:rPr>
          <w:rFonts w:eastAsia="DengXian"/>
          <w:lang w:val="en-IN" w:eastAsia="zh-CN" w:bidi="th-TH"/>
        </w:rPr>
        <w:br w:type="page"/>
      </w:r>
    </w:p>
    <w:p w14:paraId="3741C4C1" w14:textId="5E5E1531" w:rsidR="00243741" w:rsidRDefault="00866113" w:rsidP="00866113">
      <w:pPr>
        <w:rPr>
          <w:rFonts w:eastAsia="DengXian"/>
          <w:lang w:val="en-IN" w:eastAsia="zh-CN" w:bidi="th-TH"/>
        </w:rPr>
      </w:pPr>
      <w:r w:rsidRPr="00866113">
        <w:rPr>
          <w:rFonts w:eastAsia="DengXian"/>
          <w:lang w:val="en-IN" w:eastAsia="zh-CN" w:bidi="th-TH"/>
        </w:rPr>
        <w:lastRenderedPageBreak/>
        <w:t xml:space="preserve">Figure 1 shows the in-vitro dissolution profiles of dutasteride and tamsulosin from the four formulations. </w:t>
      </w:r>
      <w:proofErr w:type="spellStart"/>
      <w:r w:rsidRPr="00866113">
        <w:rPr>
          <w:rFonts w:eastAsia="DengXian"/>
          <w:lang w:val="en-IN" w:eastAsia="zh-CN" w:bidi="th-TH"/>
        </w:rPr>
        <w:t>Dutas</w:t>
      </w:r>
      <w:proofErr w:type="spellEnd"/>
      <w:r w:rsidRPr="00866113">
        <w:rPr>
          <w:rFonts w:eastAsia="DengXian"/>
          <w:lang w:val="en-IN" w:eastAsia="zh-CN" w:bidi="th-TH"/>
        </w:rPr>
        <w:t xml:space="preserve"> T+ had the highest release of dutasteride compared to other marketed brands. whereas tamsulosin was not released from any of the formulations up to 2 hrs at 0.1 N HCl (acid stage). In the buffer stage (pH 6.8), </w:t>
      </w:r>
      <w:proofErr w:type="spellStart"/>
      <w:r w:rsidRPr="00866113">
        <w:rPr>
          <w:rFonts w:eastAsia="DengXian"/>
          <w:lang w:val="en-IN" w:eastAsia="zh-CN" w:bidi="th-TH"/>
        </w:rPr>
        <w:t>Dutas</w:t>
      </w:r>
      <w:proofErr w:type="spellEnd"/>
      <w:r w:rsidRPr="00866113">
        <w:rPr>
          <w:rFonts w:eastAsia="DengXian"/>
          <w:lang w:val="en-IN" w:eastAsia="zh-CN" w:bidi="th-TH"/>
        </w:rPr>
        <w:t xml:space="preserve"> T+, Brand A and Brand B has shown almost complete dissolution at the end of 7 hours. Brand C FDC failed to show complete dissolution up to 7 hours.</w:t>
      </w:r>
    </w:p>
    <w:p w14:paraId="2766EB08" w14:textId="77777777" w:rsidR="00BF5210" w:rsidRDefault="00BF5210" w:rsidP="00866113">
      <w:pPr>
        <w:rPr>
          <w:rFonts w:eastAsia="DengXian"/>
          <w:lang w:val="en-IN" w:eastAsia="zh-CN" w:bidi="th-TH"/>
        </w:rPr>
      </w:pPr>
    </w:p>
    <w:p w14:paraId="150A1E49" w14:textId="77777777" w:rsidR="00BF5210" w:rsidRDefault="00BF5210" w:rsidP="00866113">
      <w:pPr>
        <w:rPr>
          <w:rFonts w:eastAsia="DengXian"/>
          <w:lang w:val="en-IN" w:eastAsia="zh-CN" w:bidi="th-TH"/>
        </w:rPr>
      </w:pPr>
    </w:p>
    <w:p w14:paraId="736C8D52" w14:textId="5844806C" w:rsidR="00393874" w:rsidRDefault="00865458" w:rsidP="00866113">
      <w:pPr>
        <w:rPr>
          <w:rFonts w:eastAsia="DengXian"/>
          <w:lang w:val="en-IN" w:eastAsia="zh-CN" w:bidi="th-TH"/>
        </w:rPr>
      </w:pPr>
      <w:r>
        <w:rPr>
          <w:rFonts w:eastAsia="DengXian"/>
          <w:noProof/>
          <w:lang w:val="en-IN" w:eastAsia="zh-CN" w:bidi="th-TH"/>
        </w:rPr>
        <w:drawing>
          <wp:inline distT="0" distB="0" distL="0" distR="0" wp14:anchorId="01751AB5" wp14:editId="2B8CEBF3">
            <wp:extent cx="5053965" cy="2895600"/>
            <wp:effectExtent l="0" t="0" r="0" b="0"/>
            <wp:docPr id="19537480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3965" cy="2895600"/>
                    </a:xfrm>
                    <a:prstGeom prst="rect">
                      <a:avLst/>
                    </a:prstGeom>
                    <a:noFill/>
                  </pic:spPr>
                </pic:pic>
              </a:graphicData>
            </a:graphic>
          </wp:inline>
        </w:drawing>
      </w:r>
    </w:p>
    <w:p w14:paraId="477F6D00" w14:textId="40475B61" w:rsidR="003960BE" w:rsidRPr="003960BE" w:rsidRDefault="00BF234C" w:rsidP="007F763C">
      <w:pPr>
        <w:spacing w:before="120" w:after="120"/>
        <w:rPr>
          <w:rFonts w:eastAsia="DengXian Light"/>
          <w:b/>
          <w:bCs/>
          <w:lang w:val="en-IN" w:eastAsia="zh-CN" w:bidi="th-TH"/>
        </w:rPr>
      </w:pPr>
      <w:r>
        <w:rPr>
          <w:noProof/>
        </w:rPr>
        <w:drawing>
          <wp:inline distT="0" distB="0" distL="0" distR="0" wp14:anchorId="587F8CC6" wp14:editId="11E48314">
            <wp:extent cx="5038725" cy="2762250"/>
            <wp:effectExtent l="19050" t="19050" r="28575" b="19050"/>
            <wp:docPr id="11581833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183308"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l="1294" t="2302" r="925" b="2302"/>
                    <a:stretch/>
                  </pic:blipFill>
                  <pic:spPr bwMode="auto">
                    <a:xfrm>
                      <a:off x="0" y="0"/>
                      <a:ext cx="5038725" cy="2762250"/>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p w14:paraId="075F7D18" w14:textId="14A46A90" w:rsidR="007A03E5" w:rsidRDefault="007A03E5" w:rsidP="007F763C">
      <w:pPr>
        <w:spacing w:before="120" w:after="120"/>
        <w:rPr>
          <w:rFonts w:ascii="Times New Roman" w:eastAsia="DengXian" w:hAnsi="Times New Roman"/>
          <w:kern w:val="2"/>
          <w:sz w:val="22"/>
          <w:szCs w:val="22"/>
          <w:lang w:val="en-IN" w:eastAsia="zh-CN" w:bidi="th-TH"/>
          <w14:ligatures w14:val="standardContextual"/>
        </w:rPr>
      </w:pPr>
      <w:bookmarkStart w:id="3" w:name="_Ref180420806"/>
      <w:r w:rsidRPr="003960BE">
        <w:rPr>
          <w:rFonts w:ascii="Arial" w:hAnsi="Arial" w:cs="Arial"/>
          <w:b/>
          <w:bCs/>
          <w:szCs w:val="22"/>
        </w:rPr>
        <w:t xml:space="preserve">Figure </w:t>
      </w:r>
      <w:r w:rsidRPr="003960BE">
        <w:rPr>
          <w:rFonts w:ascii="Arial" w:hAnsi="Arial" w:cs="Arial"/>
          <w:b/>
          <w:bCs/>
          <w:szCs w:val="22"/>
        </w:rPr>
        <w:fldChar w:fldCharType="begin"/>
      </w:r>
      <w:r w:rsidRPr="003960BE">
        <w:rPr>
          <w:rFonts w:ascii="Arial" w:hAnsi="Arial" w:cs="Arial"/>
          <w:b/>
          <w:bCs/>
          <w:szCs w:val="22"/>
        </w:rPr>
        <w:instrText xml:space="preserve"> SEQ Figure \* ARABIC </w:instrText>
      </w:r>
      <w:r w:rsidRPr="003960BE">
        <w:rPr>
          <w:rFonts w:ascii="Arial" w:hAnsi="Arial" w:cs="Arial"/>
          <w:b/>
          <w:bCs/>
          <w:szCs w:val="22"/>
        </w:rPr>
        <w:fldChar w:fldCharType="separate"/>
      </w:r>
      <w:r w:rsidR="00FE1E18">
        <w:rPr>
          <w:rFonts w:ascii="Arial" w:hAnsi="Arial" w:cs="Arial"/>
          <w:b/>
          <w:bCs/>
          <w:noProof/>
          <w:szCs w:val="22"/>
        </w:rPr>
        <w:t>1</w:t>
      </w:r>
      <w:r w:rsidRPr="003960BE">
        <w:rPr>
          <w:rFonts w:ascii="Arial" w:hAnsi="Arial" w:cs="Arial"/>
          <w:b/>
          <w:bCs/>
          <w:szCs w:val="22"/>
        </w:rPr>
        <w:fldChar w:fldCharType="end"/>
      </w:r>
      <w:bookmarkEnd w:id="3"/>
      <w:r w:rsidRPr="003960BE">
        <w:rPr>
          <w:rFonts w:ascii="Arial" w:hAnsi="Arial" w:cs="Arial"/>
          <w:b/>
          <w:bCs/>
          <w:szCs w:val="22"/>
        </w:rPr>
        <w:t>: Cumulative percentage dissolution of Dutasteride and Tamsulosin Hydrochloride formulations</w:t>
      </w:r>
    </w:p>
    <w:p w14:paraId="5E18031F" w14:textId="7AFFD5A9" w:rsidR="00243741" w:rsidRPr="00554F09" w:rsidRDefault="003960BE" w:rsidP="007F763C">
      <w:pPr>
        <w:spacing w:before="120" w:after="120"/>
        <w:rPr>
          <w:rFonts w:cs="Helvetica"/>
        </w:rPr>
      </w:pPr>
      <w:r w:rsidRPr="00554F09">
        <w:rPr>
          <w:rFonts w:eastAsia="DengXian" w:cs="Helvetica"/>
          <w:kern w:val="2"/>
          <w:lang w:val="en-IN" w:eastAsia="zh-CN" w:bidi="th-TH"/>
          <w14:ligatures w14:val="standardContextual"/>
        </w:rPr>
        <w:t>Min.: Minutes</w:t>
      </w:r>
      <w:r w:rsidR="00D546FD" w:rsidRPr="00554F09">
        <w:rPr>
          <w:rFonts w:eastAsia="DengXian" w:cs="Helvetica"/>
          <w:kern w:val="2"/>
          <w:lang w:val="en-IN" w:eastAsia="zh-CN" w:bidi="th-TH"/>
          <w14:ligatures w14:val="standardContextual"/>
        </w:rPr>
        <w:t>, hrs: Hours</w:t>
      </w:r>
      <w:r w:rsidRPr="00554F09">
        <w:rPr>
          <w:rFonts w:eastAsia="DengXian" w:cs="Helvetica"/>
          <w:kern w:val="2"/>
          <w:lang w:val="en-IN" w:eastAsia="zh-CN" w:bidi="th-TH"/>
          <w14:ligatures w14:val="standardContextual"/>
        </w:rPr>
        <w:t>.</w:t>
      </w:r>
      <w:r w:rsidR="00243741" w:rsidRPr="00554F09">
        <w:rPr>
          <w:rFonts w:cs="Helvetica"/>
        </w:rPr>
        <w:br w:type="page"/>
      </w:r>
    </w:p>
    <w:p w14:paraId="7C6B878B" w14:textId="24B1A287" w:rsidR="00BA4950" w:rsidRDefault="00BA4950" w:rsidP="00B95F49">
      <w:pPr>
        <w:pStyle w:val="Body"/>
        <w:spacing w:after="0"/>
        <w:rPr>
          <w:rFonts w:ascii="Arial" w:hAnsi="Arial" w:cs="Arial"/>
          <w:b/>
          <w:sz w:val="22"/>
        </w:rPr>
      </w:pPr>
      <w:r w:rsidRPr="00B95F49">
        <w:rPr>
          <w:rFonts w:ascii="Arial" w:hAnsi="Arial" w:cs="Arial"/>
          <w:b/>
          <w:sz w:val="22"/>
        </w:rPr>
        <w:lastRenderedPageBreak/>
        <w:t>3.</w:t>
      </w:r>
      <w:r w:rsidR="00E92AB6">
        <w:rPr>
          <w:rFonts w:ascii="Arial" w:hAnsi="Arial" w:cs="Arial"/>
          <w:b/>
          <w:sz w:val="22"/>
        </w:rPr>
        <w:t>1.</w:t>
      </w:r>
      <w:r w:rsidR="00EE10BE">
        <w:rPr>
          <w:rFonts w:ascii="Arial" w:hAnsi="Arial" w:cs="Arial"/>
          <w:b/>
          <w:sz w:val="22"/>
        </w:rPr>
        <w:t>2</w:t>
      </w:r>
      <w:r w:rsidRPr="00B95F49">
        <w:rPr>
          <w:rFonts w:ascii="Arial" w:hAnsi="Arial" w:cs="Arial"/>
          <w:b/>
          <w:sz w:val="22"/>
        </w:rPr>
        <w:t xml:space="preserve"> </w:t>
      </w:r>
      <w:r w:rsidR="00EE10BE">
        <w:rPr>
          <w:rFonts w:ascii="Arial" w:hAnsi="Arial" w:cs="Arial"/>
          <w:b/>
          <w:sz w:val="22"/>
        </w:rPr>
        <w:t>Impurities</w:t>
      </w:r>
    </w:p>
    <w:p w14:paraId="2200A7D2" w14:textId="77777777" w:rsidR="00C80614" w:rsidRDefault="00C80614" w:rsidP="00B95F49">
      <w:pPr>
        <w:pStyle w:val="Body"/>
        <w:spacing w:after="0"/>
        <w:rPr>
          <w:rFonts w:ascii="Arial" w:hAnsi="Arial" w:cs="Arial"/>
          <w:b/>
          <w:sz w:val="22"/>
        </w:rPr>
      </w:pPr>
    </w:p>
    <w:p w14:paraId="7A5658D5" w14:textId="4E543CF8" w:rsidR="00C80614" w:rsidRDefault="00C80614" w:rsidP="00B95F49">
      <w:pPr>
        <w:pStyle w:val="Body"/>
        <w:spacing w:after="0"/>
        <w:rPr>
          <w:rFonts w:ascii="Arial" w:hAnsi="Arial" w:cs="Arial"/>
        </w:rPr>
      </w:pPr>
      <w:r w:rsidRPr="00C80614">
        <w:rPr>
          <w:rFonts w:ascii="Arial" w:hAnsi="Arial" w:cs="Arial"/>
        </w:rPr>
        <w:t>None of the four formulations had presence of impurities for tamsulosin (2-Methoxy, 5-benzenesulphonamide, and 2-Propan-2-amine), nor for dutasteride (</w:t>
      </w:r>
      <w:proofErr w:type="spellStart"/>
      <w:r w:rsidRPr="00C80614">
        <w:rPr>
          <w:rFonts w:ascii="Arial" w:hAnsi="Arial" w:cs="Arial"/>
        </w:rPr>
        <w:t>Desmethyldutasteride</w:t>
      </w:r>
      <w:proofErr w:type="spellEnd"/>
      <w:r w:rsidRPr="00C80614">
        <w:rPr>
          <w:rFonts w:ascii="Arial" w:hAnsi="Arial" w:cs="Arial"/>
        </w:rPr>
        <w:t xml:space="preserve">, and </w:t>
      </w:r>
      <w:proofErr w:type="spellStart"/>
      <w:r w:rsidRPr="00C80614">
        <w:rPr>
          <w:rFonts w:ascii="Arial" w:hAnsi="Arial" w:cs="Arial"/>
        </w:rPr>
        <w:t>Dihydrodutasteride</w:t>
      </w:r>
      <w:proofErr w:type="spellEnd"/>
      <w:r w:rsidRPr="00C80614">
        <w:rPr>
          <w:rFonts w:ascii="Arial" w:hAnsi="Arial" w:cs="Arial"/>
        </w:rPr>
        <w:t>).</w:t>
      </w:r>
    </w:p>
    <w:p w14:paraId="3FBC1D56" w14:textId="77777777" w:rsidR="000B6D1F" w:rsidRDefault="000B6D1F" w:rsidP="00B95F49">
      <w:pPr>
        <w:pStyle w:val="Body"/>
        <w:spacing w:after="0"/>
        <w:rPr>
          <w:rFonts w:ascii="Arial" w:hAnsi="Arial" w:cs="Arial"/>
        </w:rPr>
      </w:pPr>
    </w:p>
    <w:p w14:paraId="6ED645A6" w14:textId="62B652E4" w:rsidR="00670CFB" w:rsidRPr="000B6D1F" w:rsidRDefault="000B6D1F" w:rsidP="000B6D1F">
      <w:pPr>
        <w:pStyle w:val="Head1"/>
        <w:spacing w:after="0"/>
        <w:jc w:val="both"/>
        <w:rPr>
          <w:rFonts w:ascii="Arial" w:hAnsi="Arial" w:cs="Arial"/>
          <w:caps w:val="0"/>
        </w:rPr>
      </w:pPr>
      <w:r w:rsidRPr="000B6D1F">
        <w:rPr>
          <w:rFonts w:ascii="Arial" w:hAnsi="Arial" w:cs="Arial"/>
          <w:caps w:val="0"/>
        </w:rPr>
        <w:t>3.2 Discussion</w:t>
      </w:r>
    </w:p>
    <w:p w14:paraId="3B9B7C10" w14:textId="77777777" w:rsidR="000B6D1F" w:rsidRDefault="000B6D1F" w:rsidP="00B95F49">
      <w:pPr>
        <w:pStyle w:val="Body"/>
        <w:spacing w:after="0"/>
        <w:rPr>
          <w:rFonts w:ascii="Arial" w:hAnsi="Arial" w:cs="Arial"/>
        </w:rPr>
      </w:pPr>
    </w:p>
    <w:p w14:paraId="36CF6C72" w14:textId="2782CE52" w:rsidR="005C05CE" w:rsidRPr="005C05CE" w:rsidRDefault="005C05CE" w:rsidP="005C05CE">
      <w:pPr>
        <w:pStyle w:val="Body"/>
        <w:rPr>
          <w:rFonts w:ascii="Arial" w:hAnsi="Arial" w:cs="Arial"/>
        </w:rPr>
      </w:pPr>
      <w:r w:rsidRPr="005C05CE">
        <w:rPr>
          <w:rFonts w:ascii="Arial" w:hAnsi="Arial" w:cs="Arial"/>
        </w:rPr>
        <w:t xml:space="preserve">The review by Franco-Salinas et al (2010) shows the pharmacokinetics for Tamsulosin MR (0.4 mg), where the time required for the maximum concentration to be achieved was 5 hours in fasted state and 6 hours in the fed state.(17) An another review study on dutasteride (0.5 mg /day) kinetics showed the 60% bioavailability in 2-3 hours and three months to achieve steady state concentration.(18) A fixed-dose combination (FDC) of dutasteride 0.5 mg plus tamsulosin hydrochloride 0.4 mg is currently approved in the United States, Europe, India and other countries for the management of BPH and has proven to be more beneficial through the present study, where the time required for &gt;75 % of dutasteride and tamsulosin  dissolution is ≤5 minutes and ≤4 hours respectively. Several such formulations are available for prescription. In-vitro dissolution profiles for individual drugs in an FDC formulation could be different with differences in the drug release patterns, which can have significant implications in the success of </w:t>
      </w:r>
      <w:r w:rsidR="00B51C45" w:rsidRPr="005C05CE">
        <w:rPr>
          <w:rFonts w:ascii="Arial" w:hAnsi="Arial" w:cs="Arial"/>
        </w:rPr>
        <w:t>therapy. (</w:t>
      </w:r>
      <w:r w:rsidRPr="005C05CE">
        <w:rPr>
          <w:rFonts w:ascii="Arial" w:hAnsi="Arial" w:cs="Arial"/>
        </w:rPr>
        <w:t xml:space="preserve">19,20) </w:t>
      </w:r>
    </w:p>
    <w:p w14:paraId="4E8024CF" w14:textId="77777777" w:rsidR="005C05CE" w:rsidRPr="005C05CE" w:rsidRDefault="005C05CE" w:rsidP="005C05CE">
      <w:pPr>
        <w:pStyle w:val="Body"/>
        <w:rPr>
          <w:rFonts w:ascii="Arial" w:hAnsi="Arial" w:cs="Arial"/>
        </w:rPr>
      </w:pPr>
      <w:r w:rsidRPr="005C05CE">
        <w:rPr>
          <w:rFonts w:ascii="Arial" w:hAnsi="Arial" w:cs="Arial"/>
        </w:rPr>
        <w:t xml:space="preserve">Dutasteride is usually released immediately in acidic pH within 5 minutes from the FDC and available for absorption in stomach and intestines, whereas tamsulosin HCl is released late in alkaline pH and available for absorption from intestines. We observed distinct variations in dissolution rates for dutasteride across different formulations, with 99% of the drug released within 45 minutes with </w:t>
      </w:r>
      <w:proofErr w:type="spellStart"/>
      <w:r w:rsidRPr="005C05CE">
        <w:rPr>
          <w:rFonts w:ascii="Arial" w:hAnsi="Arial" w:cs="Arial"/>
        </w:rPr>
        <w:t>Dutas</w:t>
      </w:r>
      <w:proofErr w:type="spellEnd"/>
      <w:r w:rsidRPr="005C05CE">
        <w:rPr>
          <w:rFonts w:ascii="Arial" w:hAnsi="Arial" w:cs="Arial"/>
        </w:rPr>
        <w:t xml:space="preserve"> T+ (Dr. Reddy’s). This suggests that </w:t>
      </w:r>
      <w:proofErr w:type="spellStart"/>
      <w:r w:rsidRPr="005C05CE">
        <w:rPr>
          <w:rFonts w:ascii="Arial" w:hAnsi="Arial" w:cs="Arial"/>
        </w:rPr>
        <w:t>Dutas</w:t>
      </w:r>
      <w:proofErr w:type="spellEnd"/>
      <w:r w:rsidRPr="005C05CE">
        <w:rPr>
          <w:rFonts w:ascii="Arial" w:hAnsi="Arial" w:cs="Arial"/>
        </w:rPr>
        <w:t xml:space="preserve"> T+ may provide a quicker therapeutic effect compared to other formulations (p&lt;0.001). Brand C Capsules (followed closely, releasing 95% of the drug within the same period. On the other hand, brand A and brand B exhibited slower dissolution rates, with 85% and 83% of the drug dissolved within 45 minutes, respectively. These variations in dissolution rates could influence the rate of drug absorption and, ultimately, the clinical outcomes for patients using these formulations. For tamsulosin hydrochloride, </w:t>
      </w:r>
      <w:proofErr w:type="spellStart"/>
      <w:r w:rsidRPr="005C05CE">
        <w:rPr>
          <w:rFonts w:ascii="Arial" w:hAnsi="Arial" w:cs="Arial"/>
        </w:rPr>
        <w:t>Dutas</w:t>
      </w:r>
      <w:proofErr w:type="spellEnd"/>
      <w:r w:rsidRPr="005C05CE">
        <w:rPr>
          <w:rFonts w:ascii="Arial" w:hAnsi="Arial" w:cs="Arial"/>
        </w:rPr>
        <w:t xml:space="preserve"> T+ demonstrated a superior release rate compared to brand C (p&lt;0.001), with 94% of the drug dissolved within 7 hours. Brand A and brand B also performed well, releasing 92% (p=0.061 vs </w:t>
      </w:r>
      <w:proofErr w:type="spellStart"/>
      <w:r w:rsidRPr="005C05CE">
        <w:rPr>
          <w:rFonts w:ascii="Arial" w:hAnsi="Arial" w:cs="Arial"/>
        </w:rPr>
        <w:t>Dutas</w:t>
      </w:r>
      <w:proofErr w:type="spellEnd"/>
      <w:r w:rsidRPr="005C05CE">
        <w:rPr>
          <w:rFonts w:ascii="Arial" w:hAnsi="Arial" w:cs="Arial"/>
        </w:rPr>
        <w:t xml:space="preserve"> T+) and 91% (p=0.150 vs </w:t>
      </w:r>
      <w:proofErr w:type="spellStart"/>
      <w:r w:rsidRPr="005C05CE">
        <w:rPr>
          <w:rFonts w:ascii="Arial" w:hAnsi="Arial" w:cs="Arial"/>
        </w:rPr>
        <w:t>Dutas</w:t>
      </w:r>
      <w:proofErr w:type="spellEnd"/>
      <w:r w:rsidRPr="005C05CE">
        <w:rPr>
          <w:rFonts w:ascii="Arial" w:hAnsi="Arial" w:cs="Arial"/>
        </w:rPr>
        <w:t xml:space="preserve"> T+) of the drug, respectively. However, brand C exhibited a slower release profile, with only 82% of the drug dissolved within the same period. These variations suggest that brand C may result in a delayed onset of therapeutic action compared to the other formulations, which could impact patient satisfaction and treatment outcomes, particularly in individuals experiencing severe symptoms of BPH.</w:t>
      </w:r>
    </w:p>
    <w:p w14:paraId="2510F969" w14:textId="270303B9" w:rsidR="005C05CE" w:rsidRPr="005C05CE" w:rsidRDefault="005C05CE" w:rsidP="005C05CE">
      <w:pPr>
        <w:pStyle w:val="Body"/>
        <w:rPr>
          <w:rFonts w:ascii="Arial" w:hAnsi="Arial" w:cs="Arial"/>
        </w:rPr>
      </w:pPr>
      <w:r w:rsidRPr="005C05CE">
        <w:rPr>
          <w:rFonts w:ascii="Arial" w:hAnsi="Arial" w:cs="Arial"/>
        </w:rPr>
        <w:t xml:space="preserve">The time required to achieve complete dissolution of dutasteride further underscores the differences among the formulations. </w:t>
      </w:r>
      <w:proofErr w:type="spellStart"/>
      <w:r w:rsidRPr="005C05CE">
        <w:rPr>
          <w:rFonts w:ascii="Arial" w:hAnsi="Arial" w:cs="Arial"/>
        </w:rPr>
        <w:t>Dutas</w:t>
      </w:r>
      <w:proofErr w:type="spellEnd"/>
      <w:r w:rsidRPr="005C05CE">
        <w:rPr>
          <w:rFonts w:ascii="Arial" w:hAnsi="Arial" w:cs="Arial"/>
        </w:rPr>
        <w:t xml:space="preserve"> T+ showed the fastest dissolution, with over 75% of the drug dissolved within just 5 minutes. In contrast, brand A exhibited a slower dissolution profile, with complete dissolution occurring after 30 minutes. The time required for complete dissolution of tamsulosin hydrochloride in which, </w:t>
      </w:r>
      <w:proofErr w:type="spellStart"/>
      <w:r w:rsidRPr="005C05CE">
        <w:rPr>
          <w:rFonts w:ascii="Arial" w:hAnsi="Arial" w:cs="Arial"/>
        </w:rPr>
        <w:t>Dutas</w:t>
      </w:r>
      <w:proofErr w:type="spellEnd"/>
      <w:r w:rsidRPr="005C05CE">
        <w:rPr>
          <w:rFonts w:ascii="Arial" w:hAnsi="Arial" w:cs="Arial"/>
        </w:rPr>
        <w:t xml:space="preserve"> T+ achieved 50–75% dissolution within 3 hours and complete dissolution within 4 hours, indicating a fast and efficient release. In contrast, brand C required up to 6 hours for full dissolution, and brand B demonstrated the fastest dissolution of the four formulations, with complete dissolution occurring within 3 hours, which may translate into faster clinical relief for patients. Both clinical and pre-clinical studies have reported early benefits with the use of combination therapy with dutasteride and tamsulosin </w:t>
      </w:r>
      <w:r w:rsidR="00B51C45" w:rsidRPr="005C05CE">
        <w:rPr>
          <w:rFonts w:ascii="Arial" w:hAnsi="Arial" w:cs="Arial"/>
        </w:rPr>
        <w:t>HCl. (</w:t>
      </w:r>
      <w:r w:rsidRPr="005C05CE">
        <w:rPr>
          <w:rFonts w:ascii="Arial" w:hAnsi="Arial" w:cs="Arial"/>
        </w:rPr>
        <w:t xml:space="preserve">21,22) Immediate treatment with this FDC (dutasteride 0.5 mg/ tamsulosin HCl 0.4 mg) provides more profound symptomatic improvement in treatment-naive men with </w:t>
      </w:r>
      <w:r w:rsidRPr="005C05CE">
        <w:rPr>
          <w:rFonts w:ascii="Arial" w:hAnsi="Arial" w:cs="Arial"/>
        </w:rPr>
        <w:lastRenderedPageBreak/>
        <w:t xml:space="preserve">moderately symptomatic BPH than that offered by watchful waiting with initiation of tamsulosin if there was no improvement in </w:t>
      </w:r>
      <w:r w:rsidR="00572A05" w:rsidRPr="005C05CE">
        <w:rPr>
          <w:rFonts w:ascii="Arial" w:hAnsi="Arial" w:cs="Arial"/>
        </w:rPr>
        <w:t>symptoms. (</w:t>
      </w:r>
      <w:r w:rsidRPr="005C05CE">
        <w:rPr>
          <w:rFonts w:ascii="Arial" w:hAnsi="Arial" w:cs="Arial"/>
        </w:rPr>
        <w:t>23)</w:t>
      </w:r>
    </w:p>
    <w:p w14:paraId="173CED51" w14:textId="77777777" w:rsidR="005C05CE" w:rsidRPr="005C05CE" w:rsidRDefault="005C05CE" w:rsidP="005C05CE">
      <w:pPr>
        <w:pStyle w:val="Body"/>
        <w:rPr>
          <w:rFonts w:ascii="Arial" w:hAnsi="Arial" w:cs="Arial"/>
        </w:rPr>
      </w:pPr>
      <w:r w:rsidRPr="005C05CE">
        <w:rPr>
          <w:rFonts w:ascii="Arial" w:hAnsi="Arial" w:cs="Arial"/>
        </w:rPr>
        <w:t xml:space="preserve">Impurity analysis found no detectable levels of 2-Methoxy-5-benzenesulphonamide and 2-Propan-2-amine in Tamsulosin Hydrochloride formulations, nor </w:t>
      </w:r>
      <w:proofErr w:type="spellStart"/>
      <w:r w:rsidRPr="005C05CE">
        <w:rPr>
          <w:rFonts w:ascii="Arial" w:hAnsi="Arial" w:cs="Arial"/>
        </w:rPr>
        <w:t>Desmethyldutasteride</w:t>
      </w:r>
      <w:proofErr w:type="spellEnd"/>
      <w:r w:rsidRPr="005C05CE">
        <w:rPr>
          <w:rFonts w:ascii="Arial" w:hAnsi="Arial" w:cs="Arial"/>
        </w:rPr>
        <w:t xml:space="preserve"> and </w:t>
      </w:r>
      <w:proofErr w:type="spellStart"/>
      <w:r w:rsidRPr="005C05CE">
        <w:rPr>
          <w:rFonts w:ascii="Arial" w:hAnsi="Arial" w:cs="Arial"/>
        </w:rPr>
        <w:t>Dihydrodutasteride</w:t>
      </w:r>
      <w:proofErr w:type="spellEnd"/>
      <w:r w:rsidRPr="005C05CE">
        <w:rPr>
          <w:rFonts w:ascii="Arial" w:hAnsi="Arial" w:cs="Arial"/>
        </w:rPr>
        <w:t xml:space="preserve"> in Dutasteride formulations. The absence of these impurities across all four formulations indicates that the products are manufactured under stringent quality control, ensuring high purity. This is important for both safety and efficacy, as impurities can affect drug stability, bioavailability, and patient safety. Regulatory agencies such as the U.S. FDA and EMA set strict limits on impurity levels to ensure the safety and effectiveness of pharmaceutical products.</w:t>
      </w:r>
    </w:p>
    <w:p w14:paraId="6F462587" w14:textId="1768EA6F" w:rsidR="00790ADA" w:rsidRDefault="005C05CE" w:rsidP="005C05CE">
      <w:pPr>
        <w:pStyle w:val="Body"/>
        <w:spacing w:after="0"/>
        <w:rPr>
          <w:rFonts w:ascii="Arial" w:hAnsi="Arial" w:cs="Arial"/>
        </w:rPr>
      </w:pPr>
      <w:r w:rsidRPr="005C05CE">
        <w:rPr>
          <w:rFonts w:ascii="Arial" w:hAnsi="Arial" w:cs="Arial"/>
        </w:rPr>
        <w:t>The in-vitro study design is a major limitation of the study, and clinical investigations are needed to validate these findings and explore their implications for patient treatment regimens, ensuring optimal therapeutic efficacy.</w:t>
      </w:r>
    </w:p>
    <w:p w14:paraId="37956921" w14:textId="77777777" w:rsidR="005C05CE" w:rsidRPr="00FB3A86" w:rsidRDefault="005C05CE" w:rsidP="005C05CE">
      <w:pPr>
        <w:pStyle w:val="Body"/>
        <w:spacing w:after="0"/>
        <w:rPr>
          <w:rFonts w:ascii="Arial" w:hAnsi="Arial" w:cs="Arial"/>
        </w:rPr>
      </w:pPr>
    </w:p>
    <w:p w14:paraId="711A9C3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4E79A50" w14:textId="77777777" w:rsidR="00790ADA" w:rsidRPr="00FB3A86" w:rsidRDefault="00790ADA" w:rsidP="00441B6F">
      <w:pPr>
        <w:pStyle w:val="ConcHead"/>
        <w:spacing w:after="0"/>
        <w:jc w:val="both"/>
        <w:rPr>
          <w:rFonts w:ascii="Arial" w:hAnsi="Arial" w:cs="Arial"/>
        </w:rPr>
      </w:pPr>
    </w:p>
    <w:p w14:paraId="7AAF0F32" w14:textId="6DA6ADD5" w:rsidR="00790ADA" w:rsidRDefault="00F1001F" w:rsidP="00441B6F">
      <w:pPr>
        <w:pStyle w:val="Body"/>
        <w:spacing w:after="0"/>
        <w:rPr>
          <w:rFonts w:ascii="Arial" w:hAnsi="Arial" w:cs="Arial"/>
        </w:rPr>
      </w:pPr>
      <w:r w:rsidRPr="00F1001F">
        <w:rPr>
          <w:rFonts w:ascii="Arial" w:hAnsi="Arial" w:cs="Arial"/>
        </w:rPr>
        <w:t xml:space="preserve">Fixed dose combination (FDC) tablet </w:t>
      </w:r>
      <w:proofErr w:type="spellStart"/>
      <w:r w:rsidRPr="00F1001F">
        <w:rPr>
          <w:rFonts w:ascii="Arial" w:hAnsi="Arial" w:cs="Arial"/>
        </w:rPr>
        <w:t>Dutas</w:t>
      </w:r>
      <w:proofErr w:type="spellEnd"/>
      <w:r w:rsidRPr="00F1001F">
        <w:rPr>
          <w:rFonts w:ascii="Arial" w:hAnsi="Arial" w:cs="Arial"/>
        </w:rPr>
        <w:t xml:space="preserve"> T+ (dutasteride 0.5 mg plus tamsulosin hydrochloride 0.4 mg) provides faster release of both dutasteride and tamsulosin compared to other commercial formulations, with 93% of dutasteride released within five minutes. None of the formulations had detectable impurities for either compound, indicating high purity levels.</w:t>
      </w:r>
      <w:r w:rsidRPr="00502516">
        <w:rPr>
          <w:rFonts w:ascii="Arial" w:hAnsi="Arial" w:cs="Arial"/>
        </w:rPr>
        <w:t xml:space="preserve"> </w:t>
      </w:r>
    </w:p>
    <w:p w14:paraId="3B0228EC" w14:textId="77777777" w:rsidR="00C5649B" w:rsidRPr="00FB3A86" w:rsidRDefault="00C5649B" w:rsidP="00441B6F">
      <w:pPr>
        <w:pStyle w:val="Body"/>
        <w:spacing w:after="0"/>
        <w:rPr>
          <w:rFonts w:ascii="Arial" w:hAnsi="Arial" w:cs="Arial"/>
        </w:rPr>
      </w:pPr>
    </w:p>
    <w:p w14:paraId="7AED7E71" w14:textId="77777777" w:rsidR="0003662D" w:rsidRDefault="0003662D" w:rsidP="00441B6F">
      <w:pPr>
        <w:pStyle w:val="ReferHead"/>
        <w:spacing w:after="0"/>
        <w:jc w:val="both"/>
        <w:rPr>
          <w:rFonts w:ascii="Arial" w:hAnsi="Arial" w:cs="Arial"/>
          <w:b w:val="0"/>
          <w:caps w:val="0"/>
          <w:sz w:val="20"/>
          <w:u w:val="single"/>
        </w:rPr>
      </w:pPr>
    </w:p>
    <w:p w14:paraId="7664F0AC" w14:textId="77777777" w:rsidR="0003662D" w:rsidRPr="003A29C6" w:rsidRDefault="0003662D" w:rsidP="0003662D">
      <w:pPr>
        <w:jc w:val="both"/>
        <w:outlineLvl w:val="0"/>
        <w:rPr>
          <w:rFonts w:ascii="Arial" w:hAnsi="Arial" w:cs="Arial"/>
        </w:rPr>
      </w:pPr>
      <w:r w:rsidRPr="003A29C6">
        <w:rPr>
          <w:rFonts w:ascii="Arial" w:hAnsi="Arial" w:cs="Arial"/>
          <w:b/>
          <w:bCs/>
        </w:rPr>
        <w:t>COMPETING INTERESTS DISCLAIMER:</w:t>
      </w:r>
    </w:p>
    <w:p w14:paraId="1971F1E5" w14:textId="77777777" w:rsidR="0003662D" w:rsidRDefault="0003662D" w:rsidP="0003662D">
      <w:r w:rsidRPr="00A10EDE">
        <w:t>Authors have declared that they have no known competing financial interests OR non-financial interests OR personal relationships that could have appeared to influence the work reported in this paper.</w:t>
      </w:r>
    </w:p>
    <w:p w14:paraId="6A990565" w14:textId="77777777" w:rsidR="0003662D" w:rsidRPr="00F469F0" w:rsidRDefault="0003662D" w:rsidP="00441B6F">
      <w:pPr>
        <w:pStyle w:val="ReferHead"/>
        <w:spacing w:after="0"/>
        <w:jc w:val="both"/>
        <w:rPr>
          <w:rFonts w:ascii="Arial" w:hAnsi="Arial" w:cs="Arial"/>
          <w:b w:val="0"/>
          <w:caps w:val="0"/>
          <w:sz w:val="20"/>
          <w:u w:val="single"/>
        </w:rPr>
      </w:pPr>
    </w:p>
    <w:p w14:paraId="702D1AEC" w14:textId="77777777" w:rsidR="002B685A" w:rsidRDefault="002B685A" w:rsidP="00441B6F">
      <w:pPr>
        <w:pStyle w:val="ReferHead"/>
        <w:spacing w:after="0"/>
        <w:jc w:val="both"/>
        <w:rPr>
          <w:rFonts w:ascii="Arial" w:hAnsi="Arial" w:cs="Arial"/>
          <w:b w:val="0"/>
          <w:caps w:val="0"/>
          <w:sz w:val="20"/>
        </w:rPr>
      </w:pPr>
    </w:p>
    <w:p w14:paraId="5DE5674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2627B11" w14:textId="77777777" w:rsidR="00810149" w:rsidRDefault="00810149" w:rsidP="00810149">
      <w:pPr>
        <w:rPr>
          <w:rFonts w:ascii="Arial" w:hAnsi="Arial" w:cs="Arial"/>
        </w:rPr>
      </w:pPr>
      <w:r w:rsidRPr="00DA32CA">
        <w:rPr>
          <w:color w:val="000000" w:themeColor="text1"/>
          <w:szCs w:val="22"/>
        </w:rPr>
        <w:fldChar w:fldCharType="begin"/>
      </w:r>
      <w:r>
        <w:rPr>
          <w:color w:val="000000" w:themeColor="text1"/>
          <w:szCs w:val="22"/>
        </w:rPr>
        <w:instrText xml:space="preserve"> ADDIN ZOTERO_BIBL {"uncited":[],"omitted":[],"custom":[]} CSL_BIBLIOGRAPHY </w:instrText>
      </w:r>
      <w:r w:rsidRPr="00DA32CA">
        <w:rPr>
          <w:color w:val="000000" w:themeColor="text1"/>
          <w:szCs w:val="22"/>
        </w:rPr>
        <w:fldChar w:fldCharType="separate"/>
      </w:r>
      <w:r w:rsidRPr="00810149">
        <w:rPr>
          <w:rFonts w:ascii="Arial" w:hAnsi="Arial" w:cs="Arial"/>
        </w:rPr>
        <w:t>1.</w:t>
      </w:r>
      <w:r w:rsidRPr="00810149">
        <w:rPr>
          <w:rFonts w:ascii="Arial" w:hAnsi="Arial" w:cs="Arial"/>
        </w:rPr>
        <w:tab/>
        <w:t xml:space="preserve">Bushman W. Etiology, Epidemiology, and Natural History. Urologic Clinics of North America. 2009 Nov;36(4):403–15. </w:t>
      </w:r>
    </w:p>
    <w:p w14:paraId="2C3F8674" w14:textId="77777777" w:rsidR="00810149" w:rsidRPr="00810149" w:rsidRDefault="00810149" w:rsidP="00810149">
      <w:pPr>
        <w:rPr>
          <w:rFonts w:ascii="Arial" w:hAnsi="Arial" w:cs="Arial"/>
        </w:rPr>
      </w:pPr>
    </w:p>
    <w:p w14:paraId="27182D71" w14:textId="77777777" w:rsidR="00810149" w:rsidRDefault="00810149" w:rsidP="00810149">
      <w:pPr>
        <w:rPr>
          <w:rFonts w:ascii="Arial" w:hAnsi="Arial" w:cs="Arial"/>
        </w:rPr>
      </w:pPr>
      <w:r w:rsidRPr="00810149">
        <w:rPr>
          <w:rFonts w:ascii="Arial" w:hAnsi="Arial" w:cs="Arial"/>
        </w:rPr>
        <w:t>2.</w:t>
      </w:r>
      <w:r w:rsidRPr="00810149">
        <w:rPr>
          <w:rFonts w:ascii="Arial" w:hAnsi="Arial" w:cs="Arial"/>
        </w:rPr>
        <w:tab/>
        <w:t xml:space="preserve">McVary KT, Roehrborn CG, Avins AL, Barry MJ, Bruskewitz RC, Donnell RF, et al. Update on AUA Guideline on the Management of Benign Prostatic Hyperplasia. Journal of Urology. 2011 May;185(5):1793–803. </w:t>
      </w:r>
    </w:p>
    <w:p w14:paraId="44EA7ECE" w14:textId="77777777" w:rsidR="00810149" w:rsidRPr="00810149" w:rsidRDefault="00810149" w:rsidP="00810149">
      <w:pPr>
        <w:rPr>
          <w:rFonts w:ascii="Arial" w:hAnsi="Arial" w:cs="Arial"/>
        </w:rPr>
      </w:pPr>
    </w:p>
    <w:p w14:paraId="659421F6" w14:textId="77777777" w:rsidR="00810149" w:rsidRDefault="00810149" w:rsidP="00810149">
      <w:pPr>
        <w:rPr>
          <w:rFonts w:ascii="Arial" w:hAnsi="Arial" w:cs="Arial"/>
        </w:rPr>
      </w:pPr>
      <w:r w:rsidRPr="00810149">
        <w:rPr>
          <w:rFonts w:ascii="Arial" w:hAnsi="Arial" w:cs="Arial"/>
        </w:rPr>
        <w:t>3.</w:t>
      </w:r>
      <w:r w:rsidRPr="00810149">
        <w:rPr>
          <w:rFonts w:ascii="Arial" w:hAnsi="Arial" w:cs="Arial"/>
        </w:rPr>
        <w:tab/>
        <w:t xml:space="preserve">Foo KT. What is a disease? What is the disease clinical benign prostatic hyperplasia (BPH)? World J Urol. 2019 Jul;37(7):1293–6. </w:t>
      </w:r>
    </w:p>
    <w:p w14:paraId="79D11F6D" w14:textId="77777777" w:rsidR="00810149" w:rsidRPr="00810149" w:rsidRDefault="00810149" w:rsidP="00810149">
      <w:pPr>
        <w:rPr>
          <w:rFonts w:ascii="Arial" w:hAnsi="Arial" w:cs="Arial"/>
        </w:rPr>
      </w:pPr>
    </w:p>
    <w:p w14:paraId="7EE7D95E" w14:textId="77777777" w:rsidR="00810149" w:rsidRDefault="00810149" w:rsidP="00810149">
      <w:pPr>
        <w:rPr>
          <w:rFonts w:ascii="Arial" w:hAnsi="Arial" w:cs="Arial"/>
        </w:rPr>
      </w:pPr>
      <w:r w:rsidRPr="00810149">
        <w:rPr>
          <w:rFonts w:ascii="Arial" w:hAnsi="Arial" w:cs="Arial"/>
        </w:rPr>
        <w:t>4.</w:t>
      </w:r>
      <w:r w:rsidRPr="00810149">
        <w:rPr>
          <w:rFonts w:ascii="Arial" w:hAnsi="Arial" w:cs="Arial"/>
        </w:rPr>
        <w:tab/>
        <w:t xml:space="preserve">Fusco F, Creta M, De Nunzio C, Iacovelli V, Mangiapia F, Li Marzi V, et al. Progressive bladder remodeling due to bladder outlet obstruction: a systematic review of morphological and molecular evidences in humans. BMC Urol. 2018 Dec;18(1):15. </w:t>
      </w:r>
    </w:p>
    <w:p w14:paraId="47AB012C" w14:textId="77777777" w:rsidR="00810149" w:rsidRPr="00810149" w:rsidRDefault="00810149" w:rsidP="00810149">
      <w:pPr>
        <w:rPr>
          <w:rFonts w:ascii="Arial" w:hAnsi="Arial" w:cs="Arial"/>
        </w:rPr>
      </w:pPr>
    </w:p>
    <w:p w14:paraId="1F8AE6C8" w14:textId="77777777" w:rsidR="00810149" w:rsidRPr="004A5F97" w:rsidRDefault="00810149" w:rsidP="00810149">
      <w:pPr>
        <w:rPr>
          <w:rFonts w:ascii="Arial" w:hAnsi="Arial" w:cs="Arial"/>
          <w:lang w:val="de-DE"/>
        </w:rPr>
      </w:pPr>
      <w:r w:rsidRPr="00810149">
        <w:rPr>
          <w:rFonts w:ascii="Arial" w:hAnsi="Arial" w:cs="Arial"/>
        </w:rPr>
        <w:t>5.</w:t>
      </w:r>
      <w:r w:rsidRPr="00810149">
        <w:rPr>
          <w:rFonts w:ascii="Arial" w:hAnsi="Arial" w:cs="Arial"/>
        </w:rPr>
        <w:tab/>
        <w:t xml:space="preserve">Lokeshwar SD, Harper BT, Webb E, Jordan A, Dykes TA, Neal Jr DE, et al. Epidemiology and treatment modalities for the management of benign prostatic hyperplasia. </w:t>
      </w:r>
      <w:r w:rsidRPr="004A5F97">
        <w:rPr>
          <w:rFonts w:ascii="Arial" w:hAnsi="Arial" w:cs="Arial"/>
          <w:lang w:val="de-DE"/>
        </w:rPr>
        <w:t xml:space="preserve">Transl Androl Urol. 2019 Oct;8(5):529–39. </w:t>
      </w:r>
    </w:p>
    <w:p w14:paraId="29D35CB4" w14:textId="77777777" w:rsidR="00810149" w:rsidRPr="004A5F97" w:rsidRDefault="00810149" w:rsidP="00810149">
      <w:pPr>
        <w:rPr>
          <w:rFonts w:ascii="Arial" w:hAnsi="Arial" w:cs="Arial"/>
          <w:lang w:val="de-DE"/>
        </w:rPr>
      </w:pPr>
    </w:p>
    <w:p w14:paraId="2EC45568" w14:textId="77777777" w:rsidR="00810149" w:rsidRPr="004A5F97" w:rsidRDefault="00810149" w:rsidP="00810149">
      <w:pPr>
        <w:rPr>
          <w:rFonts w:ascii="Arial" w:hAnsi="Arial" w:cs="Arial"/>
          <w:lang w:val="de-DE"/>
        </w:rPr>
      </w:pPr>
      <w:r w:rsidRPr="004A5F97">
        <w:rPr>
          <w:rFonts w:ascii="Arial" w:hAnsi="Arial" w:cs="Arial"/>
          <w:lang w:val="de-DE"/>
        </w:rPr>
        <w:t>6.</w:t>
      </w:r>
      <w:r w:rsidRPr="004A5F97">
        <w:rPr>
          <w:rFonts w:ascii="Arial" w:hAnsi="Arial" w:cs="Arial"/>
          <w:lang w:val="de-DE"/>
        </w:rPr>
        <w:tab/>
        <w:t xml:space="preserve">Rieken M, Herrmann TRW, Füllhase C. Operative Therapie des benignen Prostatasyndroms – resezieren, vaporisieren oder enukleieren? Urologe. 2019 Mar;58(3):263–70. </w:t>
      </w:r>
    </w:p>
    <w:p w14:paraId="5F102065" w14:textId="77777777" w:rsidR="00810149" w:rsidRPr="004A5F97" w:rsidRDefault="00810149" w:rsidP="00810149">
      <w:pPr>
        <w:rPr>
          <w:rFonts w:ascii="Arial" w:hAnsi="Arial" w:cs="Arial"/>
          <w:lang w:val="de-DE"/>
        </w:rPr>
      </w:pPr>
    </w:p>
    <w:p w14:paraId="3D0D4CF3" w14:textId="77777777" w:rsidR="00810149" w:rsidRDefault="00810149" w:rsidP="00810149">
      <w:pPr>
        <w:rPr>
          <w:rFonts w:ascii="Arial" w:hAnsi="Arial" w:cs="Arial"/>
        </w:rPr>
      </w:pPr>
      <w:r w:rsidRPr="004A5F97">
        <w:rPr>
          <w:rFonts w:ascii="Arial" w:hAnsi="Arial" w:cs="Arial"/>
          <w:lang w:val="de-DE"/>
        </w:rPr>
        <w:lastRenderedPageBreak/>
        <w:t>7.</w:t>
      </w:r>
      <w:r w:rsidRPr="004A5F97">
        <w:rPr>
          <w:rFonts w:ascii="Arial" w:hAnsi="Arial" w:cs="Arial"/>
          <w:lang w:val="de-DE"/>
        </w:rPr>
        <w:tab/>
        <w:t xml:space="preserve">Li T, Zhang Y, Zhou Z, Guan L, Zhang Y, Zhou Z, et al. </w:t>
      </w:r>
      <w:r w:rsidRPr="00810149">
        <w:rPr>
          <w:rFonts w:ascii="Arial" w:hAnsi="Arial" w:cs="Arial"/>
        </w:rPr>
        <w:t xml:space="preserve">Phosphodiesterase type 5 inhibitor tadalafil reduces prostatic fibrosis via MiR-3126-3p/FGF9 axis in benign prostatic hyperplasia. Biol Direct. 2024 Aug 2;19(1):61. </w:t>
      </w:r>
    </w:p>
    <w:p w14:paraId="3DD9F552" w14:textId="77777777" w:rsidR="00810149" w:rsidRPr="00810149" w:rsidRDefault="00810149" w:rsidP="00810149">
      <w:pPr>
        <w:rPr>
          <w:rFonts w:ascii="Arial" w:hAnsi="Arial" w:cs="Arial"/>
        </w:rPr>
      </w:pPr>
    </w:p>
    <w:p w14:paraId="424DDBC5" w14:textId="77777777" w:rsidR="00810149" w:rsidRDefault="00810149" w:rsidP="00810149">
      <w:pPr>
        <w:rPr>
          <w:rFonts w:ascii="Arial" w:hAnsi="Arial" w:cs="Arial"/>
        </w:rPr>
      </w:pPr>
      <w:r w:rsidRPr="00810149">
        <w:rPr>
          <w:rFonts w:ascii="Arial" w:hAnsi="Arial" w:cs="Arial"/>
        </w:rPr>
        <w:t>8.</w:t>
      </w:r>
      <w:r w:rsidRPr="00810149">
        <w:rPr>
          <w:rFonts w:ascii="Arial" w:hAnsi="Arial" w:cs="Arial"/>
        </w:rPr>
        <w:tab/>
        <w:t xml:space="preserve">Plochocki A, King B. Medical Treatment of Benign Prostatic Hyperplasia. Urologic Clinics of North America. 2022 May;49(2):231–8. </w:t>
      </w:r>
    </w:p>
    <w:p w14:paraId="21FAEA38" w14:textId="77777777" w:rsidR="00810149" w:rsidRPr="00810149" w:rsidRDefault="00810149" w:rsidP="00810149">
      <w:pPr>
        <w:rPr>
          <w:rFonts w:ascii="Arial" w:hAnsi="Arial" w:cs="Arial"/>
        </w:rPr>
      </w:pPr>
    </w:p>
    <w:p w14:paraId="3FF4F812" w14:textId="77777777" w:rsidR="00810149" w:rsidRDefault="00810149" w:rsidP="00810149">
      <w:pPr>
        <w:rPr>
          <w:rFonts w:ascii="Arial" w:hAnsi="Arial" w:cs="Arial"/>
        </w:rPr>
      </w:pPr>
      <w:r w:rsidRPr="00810149">
        <w:rPr>
          <w:rFonts w:ascii="Arial" w:hAnsi="Arial" w:cs="Arial"/>
        </w:rPr>
        <w:t>9.</w:t>
      </w:r>
      <w:r w:rsidRPr="00810149">
        <w:rPr>
          <w:rFonts w:ascii="Arial" w:hAnsi="Arial" w:cs="Arial"/>
        </w:rPr>
        <w:tab/>
        <w:t xml:space="preserve">Dunn C, Matheson A, Faulds D. Tamsulosin: a review of its pharmacology and therapeutic efficacy in the management of lower urinary tract symptoms. </w:t>
      </w:r>
    </w:p>
    <w:p w14:paraId="1A3DA65D" w14:textId="77777777" w:rsidR="00810149" w:rsidRPr="00810149" w:rsidRDefault="00810149" w:rsidP="00810149">
      <w:pPr>
        <w:rPr>
          <w:rFonts w:ascii="Arial" w:hAnsi="Arial" w:cs="Arial"/>
        </w:rPr>
      </w:pPr>
    </w:p>
    <w:p w14:paraId="33DDACC5" w14:textId="77777777" w:rsidR="00810149" w:rsidRDefault="00810149" w:rsidP="00810149">
      <w:pPr>
        <w:rPr>
          <w:rFonts w:ascii="Arial" w:hAnsi="Arial" w:cs="Arial"/>
        </w:rPr>
      </w:pPr>
      <w:r w:rsidRPr="00810149">
        <w:rPr>
          <w:rFonts w:ascii="Arial" w:hAnsi="Arial" w:cs="Arial"/>
        </w:rPr>
        <w:t>10.</w:t>
      </w:r>
      <w:r w:rsidRPr="00810149">
        <w:rPr>
          <w:rFonts w:ascii="Arial" w:hAnsi="Arial" w:cs="Arial"/>
        </w:rPr>
        <w:tab/>
        <w:t xml:space="preserve">Bhanu C, Nimmons D, Petersen I, Orlu M, Davis D, Hussain H, et al. Drug-induced orthostatic hypotension: A systematic review and meta-analysis of randomised controlled trials. Willey JZ, editor. PLoS Med. 2021 Nov 9;18(11):e1003821. </w:t>
      </w:r>
    </w:p>
    <w:p w14:paraId="19FB485B" w14:textId="77777777" w:rsidR="00810149" w:rsidRPr="00810149" w:rsidRDefault="00810149" w:rsidP="00810149">
      <w:pPr>
        <w:rPr>
          <w:rFonts w:ascii="Arial" w:hAnsi="Arial" w:cs="Arial"/>
        </w:rPr>
      </w:pPr>
    </w:p>
    <w:p w14:paraId="5A39E06D" w14:textId="77777777" w:rsidR="00810149" w:rsidRDefault="00810149" w:rsidP="00810149">
      <w:pPr>
        <w:rPr>
          <w:rFonts w:ascii="Arial" w:hAnsi="Arial" w:cs="Arial"/>
          <w:lang w:val="de-DE"/>
        </w:rPr>
      </w:pPr>
      <w:r w:rsidRPr="00810149">
        <w:rPr>
          <w:rFonts w:ascii="Arial" w:hAnsi="Arial" w:cs="Arial"/>
        </w:rPr>
        <w:t>11.</w:t>
      </w:r>
      <w:r w:rsidRPr="00810149">
        <w:rPr>
          <w:rFonts w:ascii="Arial" w:hAnsi="Arial" w:cs="Arial"/>
        </w:rPr>
        <w:tab/>
        <w:t xml:space="preserve">Cho CH, Min JH, Hwang KM, Park ES. Development of sustained-release microparticles containing tamsulosin HCl for orally disintegrating tablet using melt-adsorption method. </w:t>
      </w:r>
      <w:r w:rsidRPr="00810149">
        <w:rPr>
          <w:rFonts w:ascii="Arial" w:hAnsi="Arial" w:cs="Arial"/>
          <w:lang w:val="de-DE"/>
        </w:rPr>
        <w:t xml:space="preserve">Drug Deliv and Transl Res. 2018 Jun;8(3):552–64. </w:t>
      </w:r>
    </w:p>
    <w:p w14:paraId="1A845002" w14:textId="77777777" w:rsidR="00810149" w:rsidRPr="00810149" w:rsidRDefault="00810149" w:rsidP="00810149">
      <w:pPr>
        <w:rPr>
          <w:rFonts w:ascii="Arial" w:hAnsi="Arial" w:cs="Arial"/>
          <w:lang w:val="de-DE"/>
        </w:rPr>
      </w:pPr>
    </w:p>
    <w:p w14:paraId="79638DC9" w14:textId="77777777" w:rsidR="00810149" w:rsidRPr="00810149" w:rsidRDefault="00810149" w:rsidP="00810149">
      <w:pPr>
        <w:rPr>
          <w:rFonts w:ascii="Arial" w:hAnsi="Arial" w:cs="Arial"/>
        </w:rPr>
      </w:pPr>
      <w:r w:rsidRPr="00810149">
        <w:rPr>
          <w:rFonts w:ascii="Arial" w:hAnsi="Arial" w:cs="Arial"/>
          <w:lang w:val="de-DE"/>
        </w:rPr>
        <w:t>12.</w:t>
      </w:r>
      <w:r w:rsidRPr="00810149">
        <w:rPr>
          <w:rFonts w:ascii="Arial" w:hAnsi="Arial" w:cs="Arial"/>
          <w:lang w:val="de-DE"/>
        </w:rPr>
        <w:tab/>
        <w:t xml:space="preserve">Kim EH, Brockman JA, Andriole GL. </w:t>
      </w:r>
      <w:r w:rsidRPr="00810149">
        <w:rPr>
          <w:rFonts w:ascii="Arial" w:hAnsi="Arial" w:cs="Arial"/>
        </w:rPr>
        <w:t xml:space="preserve">The use of 5-alpha reductase inhibitors in the treatment of benign prostatic hyperplasia. Asian Journal of Urology. 2018 Jan;5(1):28–32. </w:t>
      </w:r>
    </w:p>
    <w:p w14:paraId="7B435034" w14:textId="77777777" w:rsidR="00810149" w:rsidRDefault="00810149" w:rsidP="00810149">
      <w:pPr>
        <w:rPr>
          <w:rFonts w:ascii="Arial" w:hAnsi="Arial" w:cs="Arial"/>
        </w:rPr>
      </w:pPr>
      <w:r w:rsidRPr="00810149">
        <w:rPr>
          <w:rFonts w:ascii="Arial" w:hAnsi="Arial" w:cs="Arial"/>
        </w:rPr>
        <w:t>13.</w:t>
      </w:r>
      <w:r w:rsidRPr="00810149">
        <w:rPr>
          <w:rFonts w:ascii="Arial" w:hAnsi="Arial" w:cs="Arial"/>
        </w:rPr>
        <w:tab/>
        <w:t xml:space="preserve">Wu C, Kapoor A. Dutasteride for the treatment of benign prostatic hyperplasia. Expert Opinion on Pharmacotherapy. 2013 Jul;14(10):1399–408. </w:t>
      </w:r>
    </w:p>
    <w:p w14:paraId="71FE0884" w14:textId="77777777" w:rsidR="00810149" w:rsidRPr="00810149" w:rsidRDefault="00810149" w:rsidP="00810149">
      <w:pPr>
        <w:rPr>
          <w:rFonts w:ascii="Arial" w:hAnsi="Arial" w:cs="Arial"/>
        </w:rPr>
      </w:pPr>
    </w:p>
    <w:p w14:paraId="6068C237" w14:textId="77777777" w:rsidR="00810149" w:rsidRDefault="00810149" w:rsidP="00810149">
      <w:pPr>
        <w:rPr>
          <w:rFonts w:ascii="Arial" w:hAnsi="Arial" w:cs="Arial"/>
        </w:rPr>
      </w:pPr>
      <w:r w:rsidRPr="00810149">
        <w:rPr>
          <w:rFonts w:ascii="Arial" w:hAnsi="Arial" w:cs="Arial"/>
        </w:rPr>
        <w:t>14.</w:t>
      </w:r>
      <w:r w:rsidRPr="00810149">
        <w:rPr>
          <w:rFonts w:ascii="Arial" w:hAnsi="Arial" w:cs="Arial"/>
        </w:rPr>
        <w:tab/>
        <w:t>Arif T, Dorjay K, Adil M, Sami M. Dutasteride in Androgenetic Alopecia: An Update. CCP [Internet]. 2017 Jun 8 [cited 2024 Nov 8];12(1). Available from: http://www.eurekaselect.com/150807/article</w:t>
      </w:r>
    </w:p>
    <w:p w14:paraId="0819B726" w14:textId="77777777" w:rsidR="00810149" w:rsidRPr="00810149" w:rsidRDefault="00810149" w:rsidP="00810149">
      <w:pPr>
        <w:rPr>
          <w:rFonts w:ascii="Arial" w:hAnsi="Arial" w:cs="Arial"/>
        </w:rPr>
      </w:pPr>
    </w:p>
    <w:p w14:paraId="2DEFA467" w14:textId="77777777" w:rsidR="00810149" w:rsidRDefault="00810149" w:rsidP="00810149">
      <w:pPr>
        <w:rPr>
          <w:rFonts w:ascii="Arial" w:hAnsi="Arial" w:cs="Arial"/>
        </w:rPr>
      </w:pPr>
      <w:r w:rsidRPr="00810149">
        <w:rPr>
          <w:rFonts w:ascii="Arial" w:hAnsi="Arial" w:cs="Arial"/>
        </w:rPr>
        <w:t>15.</w:t>
      </w:r>
      <w:r w:rsidRPr="00810149">
        <w:rPr>
          <w:rFonts w:ascii="Arial" w:hAnsi="Arial" w:cs="Arial"/>
        </w:rPr>
        <w:tab/>
        <w:t xml:space="preserve">Satyanarayana K, Srinivas K, Himabindu V, Mahesh Reddy G. Impurity profile study of dutasteride. Pharmazie. 2007 Oct;62(10):743–6. </w:t>
      </w:r>
    </w:p>
    <w:p w14:paraId="06A0386E" w14:textId="77777777" w:rsidR="00810149" w:rsidRPr="00810149" w:rsidRDefault="00810149" w:rsidP="00810149">
      <w:pPr>
        <w:rPr>
          <w:rFonts w:ascii="Arial" w:hAnsi="Arial" w:cs="Arial"/>
        </w:rPr>
      </w:pPr>
    </w:p>
    <w:p w14:paraId="5D82D6E3" w14:textId="77777777" w:rsidR="00810149" w:rsidRDefault="00810149" w:rsidP="00810149">
      <w:pPr>
        <w:rPr>
          <w:rFonts w:ascii="Arial" w:hAnsi="Arial" w:cs="Arial"/>
        </w:rPr>
      </w:pPr>
      <w:r w:rsidRPr="00810149">
        <w:rPr>
          <w:rFonts w:ascii="Arial" w:hAnsi="Arial" w:cs="Arial"/>
        </w:rPr>
        <w:t>16.</w:t>
      </w:r>
      <w:r w:rsidRPr="00810149">
        <w:rPr>
          <w:rFonts w:ascii="Arial" w:hAnsi="Arial" w:cs="Arial"/>
        </w:rPr>
        <w:tab/>
        <w:t xml:space="preserve">Nageswara Rao R, Kumar Talluri MVN, Narasa Raju A, Shinde DD, Ramanjaneyulu GS. Development of a validated RP-LC/ESI-MS–MS method for separation, identification and determination of related substances of tamsulosin in bulk drugs and formulations. Journal of Pharmaceutical and Biomedical Analysis. 2008 Jan;46(1):94–103. </w:t>
      </w:r>
    </w:p>
    <w:p w14:paraId="0F3C2506" w14:textId="77777777" w:rsidR="00810149" w:rsidRPr="00810149" w:rsidRDefault="00810149" w:rsidP="00810149">
      <w:pPr>
        <w:rPr>
          <w:rFonts w:ascii="Arial" w:hAnsi="Arial" w:cs="Arial"/>
        </w:rPr>
      </w:pPr>
    </w:p>
    <w:p w14:paraId="7F7AA9A3" w14:textId="77777777" w:rsidR="00810149" w:rsidRDefault="00810149" w:rsidP="00810149">
      <w:pPr>
        <w:rPr>
          <w:rFonts w:ascii="Arial" w:hAnsi="Arial" w:cs="Arial"/>
        </w:rPr>
      </w:pPr>
      <w:r w:rsidRPr="00810149">
        <w:rPr>
          <w:rFonts w:ascii="Arial" w:hAnsi="Arial" w:cs="Arial"/>
        </w:rPr>
        <w:t>17.</w:t>
      </w:r>
      <w:r w:rsidRPr="00810149">
        <w:rPr>
          <w:rFonts w:ascii="Arial" w:hAnsi="Arial" w:cs="Arial"/>
        </w:rPr>
        <w:tab/>
        <w:t xml:space="preserve">Franco-Salinas G, De La Rosette JJMCH, Michel MC. Pharmacokinetics and Pharmacodynamics of Tamsulosin in its Modified-Release and Oral Controlled Absorption System Formulations: Clinical Pharmacokinetics. 2010 Mar;49(3):177–88. </w:t>
      </w:r>
    </w:p>
    <w:p w14:paraId="1FCAD6FD" w14:textId="77777777" w:rsidR="00810149" w:rsidRDefault="00810149" w:rsidP="00810149">
      <w:pPr>
        <w:rPr>
          <w:rFonts w:ascii="Arial" w:hAnsi="Arial" w:cs="Arial"/>
        </w:rPr>
      </w:pPr>
      <w:r w:rsidRPr="00810149">
        <w:rPr>
          <w:rFonts w:ascii="Arial" w:hAnsi="Arial" w:cs="Arial"/>
        </w:rPr>
        <w:t>18.</w:t>
      </w:r>
      <w:r w:rsidRPr="00810149">
        <w:rPr>
          <w:rFonts w:ascii="Arial" w:hAnsi="Arial" w:cs="Arial"/>
        </w:rPr>
        <w:tab/>
        <w:t xml:space="preserve">Miller J, Tarter TH. Update on the use of dutasteride in the management of benign prostatic hypertrophy. Clinical Interventions in Aging. 2007 Mar;2(1):99–104. </w:t>
      </w:r>
    </w:p>
    <w:p w14:paraId="78E49757" w14:textId="77777777" w:rsidR="00810149" w:rsidRPr="00810149" w:rsidRDefault="00810149" w:rsidP="00810149">
      <w:pPr>
        <w:rPr>
          <w:rFonts w:ascii="Arial" w:hAnsi="Arial" w:cs="Arial"/>
        </w:rPr>
      </w:pPr>
    </w:p>
    <w:p w14:paraId="43A67CA7" w14:textId="77777777" w:rsidR="00810149" w:rsidRDefault="00810149" w:rsidP="00810149">
      <w:pPr>
        <w:rPr>
          <w:rFonts w:ascii="Arial" w:hAnsi="Arial" w:cs="Arial"/>
        </w:rPr>
      </w:pPr>
      <w:r w:rsidRPr="00810149">
        <w:rPr>
          <w:rFonts w:ascii="Arial" w:hAnsi="Arial" w:cs="Arial"/>
        </w:rPr>
        <w:t>19.</w:t>
      </w:r>
      <w:r w:rsidRPr="00810149">
        <w:rPr>
          <w:rFonts w:ascii="Arial" w:hAnsi="Arial" w:cs="Arial"/>
        </w:rPr>
        <w:tab/>
        <w:t xml:space="preserve">Abinusawa A, Tenjarla S. Release of 5-Aminosalicylic Acid (5-ASA) from Mesalamine Formulations at Various pH Levels. Adv Ther. 2015 May;32(5):477–84. </w:t>
      </w:r>
    </w:p>
    <w:p w14:paraId="1A5C9C26" w14:textId="77777777" w:rsidR="00810149" w:rsidRPr="00810149" w:rsidRDefault="00810149" w:rsidP="00810149">
      <w:pPr>
        <w:rPr>
          <w:rFonts w:ascii="Arial" w:hAnsi="Arial" w:cs="Arial"/>
        </w:rPr>
      </w:pPr>
    </w:p>
    <w:p w14:paraId="6508FD37" w14:textId="77777777" w:rsidR="00810149" w:rsidRDefault="00810149" w:rsidP="00810149">
      <w:pPr>
        <w:rPr>
          <w:rFonts w:ascii="Arial" w:hAnsi="Arial" w:cs="Arial"/>
        </w:rPr>
      </w:pPr>
      <w:r w:rsidRPr="00810149">
        <w:rPr>
          <w:rFonts w:ascii="Arial" w:hAnsi="Arial" w:cs="Arial"/>
        </w:rPr>
        <w:t>20.</w:t>
      </w:r>
      <w:r w:rsidRPr="00810149">
        <w:rPr>
          <w:rFonts w:ascii="Arial" w:hAnsi="Arial" w:cs="Arial"/>
        </w:rPr>
        <w:tab/>
        <w:t xml:space="preserve">Tenjarla S, Romasanta V, Zeijdner E, Villa R, Moro L. Release of 5-aminosalicylate from an MMX mesalamine tablet during transit through a simulated gastrointestinal tract system. Adv Therapy. 2007 Jul;24(4):826–40. </w:t>
      </w:r>
    </w:p>
    <w:p w14:paraId="67DCE9B9" w14:textId="77777777" w:rsidR="00810149" w:rsidRPr="00810149" w:rsidRDefault="00810149" w:rsidP="00810149">
      <w:pPr>
        <w:rPr>
          <w:rFonts w:ascii="Arial" w:hAnsi="Arial" w:cs="Arial"/>
        </w:rPr>
      </w:pPr>
    </w:p>
    <w:p w14:paraId="24E70C10" w14:textId="77777777" w:rsidR="00810149" w:rsidRDefault="00810149" w:rsidP="00810149">
      <w:pPr>
        <w:rPr>
          <w:rFonts w:ascii="Arial" w:hAnsi="Arial" w:cs="Arial"/>
        </w:rPr>
      </w:pPr>
      <w:r w:rsidRPr="00810149">
        <w:rPr>
          <w:rFonts w:ascii="Arial" w:hAnsi="Arial" w:cs="Arial"/>
        </w:rPr>
        <w:t>21.</w:t>
      </w:r>
      <w:r w:rsidRPr="00810149">
        <w:rPr>
          <w:rFonts w:ascii="Arial" w:hAnsi="Arial" w:cs="Arial"/>
        </w:rPr>
        <w:tab/>
        <w:t xml:space="preserve">Roehrborn CG, Siami P, Barkin J, Damião R, Major-Walker K, Nandy I, et al. The Effects of Combination Therapy with Dutasteride and Tamsulosin on Clinical Outcomes in Men with Symptomatic Benign Prostatic Hyperplasia: 4-Year Results from the CombAT Study. European Urology. 2010 Jan;57(1):123–31. </w:t>
      </w:r>
    </w:p>
    <w:p w14:paraId="65561C1D" w14:textId="77777777" w:rsidR="00810149" w:rsidRPr="00810149" w:rsidRDefault="00810149" w:rsidP="00810149">
      <w:pPr>
        <w:rPr>
          <w:rFonts w:ascii="Arial" w:hAnsi="Arial" w:cs="Arial"/>
        </w:rPr>
      </w:pPr>
    </w:p>
    <w:p w14:paraId="4EC67690" w14:textId="77777777" w:rsidR="00810149" w:rsidRDefault="00810149" w:rsidP="00810149">
      <w:pPr>
        <w:rPr>
          <w:rFonts w:ascii="Arial" w:hAnsi="Arial" w:cs="Arial"/>
        </w:rPr>
      </w:pPr>
      <w:r w:rsidRPr="00810149">
        <w:rPr>
          <w:rFonts w:ascii="Arial" w:hAnsi="Arial" w:cs="Arial"/>
        </w:rPr>
        <w:lastRenderedPageBreak/>
        <w:t>22.</w:t>
      </w:r>
      <w:r w:rsidRPr="00810149">
        <w:rPr>
          <w:rFonts w:ascii="Arial" w:hAnsi="Arial" w:cs="Arial"/>
        </w:rPr>
        <w:tab/>
        <w:t xml:space="preserve">Daryanto B, Naim H, Budaya T. The Effect of Tamsulosin, Dutasteride Monotherapy and Tamsulosin-Dutasteride Combination on Prostate Smooth Muscle Contractility in BPH Model Wistar Strain Rattus Novergicus. Med Arch. 2023;77(1):13. </w:t>
      </w:r>
    </w:p>
    <w:p w14:paraId="3F96705D" w14:textId="77777777" w:rsidR="00810149" w:rsidRPr="00810149" w:rsidRDefault="00810149" w:rsidP="00810149">
      <w:pPr>
        <w:rPr>
          <w:rFonts w:ascii="Arial" w:hAnsi="Arial" w:cs="Arial"/>
        </w:rPr>
      </w:pPr>
    </w:p>
    <w:p w14:paraId="2EBF475C" w14:textId="77777777" w:rsidR="00810149" w:rsidRPr="00810149" w:rsidRDefault="00810149" w:rsidP="00810149">
      <w:pPr>
        <w:rPr>
          <w:rFonts w:ascii="Arial" w:hAnsi="Arial" w:cs="Arial"/>
        </w:rPr>
      </w:pPr>
      <w:r w:rsidRPr="00810149">
        <w:rPr>
          <w:rFonts w:ascii="Arial" w:hAnsi="Arial" w:cs="Arial"/>
        </w:rPr>
        <w:t>23.</w:t>
      </w:r>
      <w:r w:rsidRPr="00810149">
        <w:rPr>
          <w:rFonts w:ascii="Arial" w:hAnsi="Arial" w:cs="Arial"/>
        </w:rPr>
        <w:tab/>
        <w:t>Roehrborn CG, Oyarzabal Perez I, Roos EPM, Calomfirescu N, Brotherton B, Wang F, et al. Efficacy and safety of a fixed</w:t>
      </w:r>
      <w:r w:rsidRPr="00810149">
        <w:rPr>
          <w:rFonts w:ascii="Cambria Math" w:hAnsi="Cambria Math" w:cs="Cambria Math"/>
        </w:rPr>
        <w:t>‐</w:t>
      </w:r>
      <w:r w:rsidRPr="00810149">
        <w:rPr>
          <w:rFonts w:ascii="Arial" w:hAnsi="Arial" w:cs="Arial"/>
        </w:rPr>
        <w:t>dose combination of dutasteride and tamsulosin treatment ( D uodart ® ) compared with watchful waiting with initiation of tamsulosin therapy if symptoms do not improve, both provided with lifestyle advice, in the management of treatment</w:t>
      </w:r>
      <w:r w:rsidRPr="00810149">
        <w:rPr>
          <w:rFonts w:ascii="Cambria Math" w:hAnsi="Cambria Math" w:cs="Cambria Math"/>
        </w:rPr>
        <w:t>‐</w:t>
      </w:r>
      <w:r w:rsidRPr="00810149">
        <w:rPr>
          <w:rFonts w:ascii="Arial" w:hAnsi="Arial" w:cs="Arial"/>
        </w:rPr>
        <w:t>naïve men with moderately symptomatic benign prostatic hyperplasia: 2</w:t>
      </w:r>
      <w:r w:rsidRPr="00810149">
        <w:rPr>
          <w:rFonts w:ascii="Cambria Math" w:hAnsi="Cambria Math" w:cs="Cambria Math"/>
        </w:rPr>
        <w:t>‐</w:t>
      </w:r>
      <w:r w:rsidRPr="00810149">
        <w:rPr>
          <w:rFonts w:ascii="Arial" w:hAnsi="Arial" w:cs="Arial"/>
        </w:rPr>
        <w:t xml:space="preserve">year CONDUCT study results. BJU International. 2015 Sep;116(3):450–9. </w:t>
      </w:r>
    </w:p>
    <w:p w14:paraId="724B2C4D" w14:textId="6F496519" w:rsidR="00441B6F" w:rsidRDefault="00810149" w:rsidP="00441B6F">
      <w:pPr>
        <w:pStyle w:val="Body"/>
        <w:spacing w:after="0"/>
        <w:jc w:val="left"/>
        <w:rPr>
          <w:rFonts w:ascii="Arial" w:hAnsi="Arial" w:cs="Arial"/>
        </w:rPr>
      </w:pPr>
      <w:r w:rsidRPr="00DA32CA">
        <w:rPr>
          <w:rFonts w:ascii="Times New Roman" w:hAnsi="Times New Roman"/>
          <w:szCs w:val="22"/>
        </w:rPr>
        <w:fldChar w:fldCharType="end"/>
      </w:r>
    </w:p>
    <w:p w14:paraId="0B3C4B19" w14:textId="0B360098" w:rsidR="004D4277" w:rsidRPr="00FB3A86" w:rsidRDefault="004D4277" w:rsidP="00441B6F">
      <w:pPr>
        <w:pStyle w:val="Appendix"/>
        <w:spacing w:after="0"/>
        <w:jc w:val="both"/>
        <w:rPr>
          <w:rFonts w:ascii="Arial" w:hAnsi="Arial" w:cs="Arial"/>
          <w:b w:val="0"/>
        </w:rPr>
        <w:sectPr w:rsidR="004D4277" w:rsidRPr="00FB3A86" w:rsidSect="00831BF4">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2319C245" w14:textId="77777777" w:rsidR="00B01FCD" w:rsidRPr="00FB3A86" w:rsidRDefault="00B01FCD" w:rsidP="00F1508D">
      <w:pPr>
        <w:pStyle w:val="Appendix"/>
        <w:spacing w:after="0"/>
        <w:ind w:left="709"/>
        <w:jc w:val="both"/>
        <w:rPr>
          <w:rFonts w:ascii="Arial" w:hAnsi="Arial" w:cs="Arial"/>
          <w:b w:val="0"/>
        </w:rPr>
      </w:pPr>
    </w:p>
    <w:sectPr w:rsidR="00B01FCD" w:rsidRPr="00FB3A86" w:rsidSect="00831BF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519B0" w14:textId="77777777" w:rsidR="00C11610" w:rsidRDefault="00C11610" w:rsidP="00C37E61">
      <w:r>
        <w:separator/>
      </w:r>
    </w:p>
  </w:endnote>
  <w:endnote w:type="continuationSeparator" w:id="0">
    <w:p w14:paraId="12B2AE46" w14:textId="77777777" w:rsidR="00C11610" w:rsidRDefault="00C1161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CBE3E" w14:textId="77777777" w:rsidR="00831BF4" w:rsidRDefault="00831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008A5" w14:textId="56E819D7" w:rsidR="00C37E61" w:rsidRPr="0003662D" w:rsidRDefault="00C37E61" w:rsidP="00036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78548" w14:textId="41917DEA" w:rsidR="00754C9A" w:rsidRPr="003E53DE" w:rsidRDefault="00754C9A" w:rsidP="003E53D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2225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7F4FC" w14:textId="77777777" w:rsidR="00C11610" w:rsidRDefault="00C11610" w:rsidP="00C37E61">
      <w:r>
        <w:separator/>
      </w:r>
    </w:p>
  </w:footnote>
  <w:footnote w:type="continuationSeparator" w:id="0">
    <w:p w14:paraId="6D114274" w14:textId="77777777" w:rsidR="00C11610" w:rsidRDefault="00C1161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A8A2" w14:textId="45B29B62" w:rsidR="00831BF4" w:rsidRDefault="00831BF4">
    <w:pPr>
      <w:pStyle w:val="Header"/>
    </w:pPr>
    <w:r>
      <w:rPr>
        <w:noProof/>
      </w:rPr>
      <w:pict w14:anchorId="0144C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322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6E95A" w14:textId="1DA70443" w:rsidR="00831BF4" w:rsidRDefault="00831BF4">
    <w:pPr>
      <w:pStyle w:val="Header"/>
    </w:pPr>
    <w:r>
      <w:rPr>
        <w:noProof/>
      </w:rPr>
      <w:pict w14:anchorId="590B3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322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0254D" w14:textId="61A338CD" w:rsidR="00296529" w:rsidRPr="00296529" w:rsidRDefault="00831BF4" w:rsidP="00296529">
    <w:pPr>
      <w:ind w:left="2160"/>
      <w:jc w:val="center"/>
      <w:rPr>
        <w:rFonts w:ascii="Times New Roman" w:eastAsia="Calibri" w:hAnsi="Times New Roman"/>
        <w:i/>
        <w:sz w:val="18"/>
        <w:szCs w:val="22"/>
      </w:rPr>
    </w:pPr>
    <w:r>
      <w:rPr>
        <w:noProof/>
      </w:rPr>
      <w:pict w14:anchorId="5B1221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322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23C21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D9619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80CB8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0C910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254A2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99CCD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1E175" w14:textId="0F0C4691" w:rsidR="00831BF4" w:rsidRDefault="00831BF4">
    <w:pPr>
      <w:pStyle w:val="Header"/>
    </w:pPr>
    <w:r>
      <w:rPr>
        <w:noProof/>
      </w:rPr>
      <w:pict w14:anchorId="60B4B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3223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CABA0" w14:textId="5A911546" w:rsidR="00831BF4" w:rsidRDefault="00831BF4">
    <w:pPr>
      <w:pStyle w:val="Header"/>
    </w:pPr>
    <w:r>
      <w:rPr>
        <w:noProof/>
      </w:rPr>
      <w:pict w14:anchorId="396B0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3223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42FD2" w14:textId="601B8A94" w:rsidR="00831BF4" w:rsidRDefault="00831BF4">
    <w:pPr>
      <w:pStyle w:val="Header"/>
    </w:pPr>
    <w:r>
      <w:rPr>
        <w:noProof/>
      </w:rPr>
      <w:pict w14:anchorId="5743D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3223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62D"/>
    <w:rsid w:val="0004579C"/>
    <w:rsid w:val="000679BA"/>
    <w:rsid w:val="00070BC8"/>
    <w:rsid w:val="00093CE3"/>
    <w:rsid w:val="000A47FA"/>
    <w:rsid w:val="000A65D3"/>
    <w:rsid w:val="000B1E33"/>
    <w:rsid w:val="000B376F"/>
    <w:rsid w:val="000B6C60"/>
    <w:rsid w:val="000B6D1F"/>
    <w:rsid w:val="000C5537"/>
    <w:rsid w:val="000D689F"/>
    <w:rsid w:val="000E27A3"/>
    <w:rsid w:val="000E7B7B"/>
    <w:rsid w:val="000E7D62"/>
    <w:rsid w:val="000F0C27"/>
    <w:rsid w:val="00103357"/>
    <w:rsid w:val="0011205C"/>
    <w:rsid w:val="00123C9F"/>
    <w:rsid w:val="00126190"/>
    <w:rsid w:val="00130F17"/>
    <w:rsid w:val="001320BF"/>
    <w:rsid w:val="00142CEF"/>
    <w:rsid w:val="001438D1"/>
    <w:rsid w:val="00150046"/>
    <w:rsid w:val="00163BC4"/>
    <w:rsid w:val="00191062"/>
    <w:rsid w:val="00192B72"/>
    <w:rsid w:val="00196288"/>
    <w:rsid w:val="001A29D8"/>
    <w:rsid w:val="001A5CAA"/>
    <w:rsid w:val="001B0427"/>
    <w:rsid w:val="001B22CE"/>
    <w:rsid w:val="001D3A51"/>
    <w:rsid w:val="001E10D2"/>
    <w:rsid w:val="001E1651"/>
    <w:rsid w:val="001E25B4"/>
    <w:rsid w:val="001E44FE"/>
    <w:rsid w:val="00200595"/>
    <w:rsid w:val="0020133B"/>
    <w:rsid w:val="00204835"/>
    <w:rsid w:val="0021283C"/>
    <w:rsid w:val="00231920"/>
    <w:rsid w:val="0023195C"/>
    <w:rsid w:val="0024282C"/>
    <w:rsid w:val="00243741"/>
    <w:rsid w:val="002460DC"/>
    <w:rsid w:val="00250985"/>
    <w:rsid w:val="002549B2"/>
    <w:rsid w:val="002556F6"/>
    <w:rsid w:val="00283105"/>
    <w:rsid w:val="00284C4C"/>
    <w:rsid w:val="00287E68"/>
    <w:rsid w:val="00296529"/>
    <w:rsid w:val="002A2723"/>
    <w:rsid w:val="002B27FB"/>
    <w:rsid w:val="002B685A"/>
    <w:rsid w:val="002C57D2"/>
    <w:rsid w:val="002E0D56"/>
    <w:rsid w:val="00315186"/>
    <w:rsid w:val="0033343E"/>
    <w:rsid w:val="00334B05"/>
    <w:rsid w:val="003512C2"/>
    <w:rsid w:val="0035222F"/>
    <w:rsid w:val="00371FB6"/>
    <w:rsid w:val="003763C1"/>
    <w:rsid w:val="00376BBE"/>
    <w:rsid w:val="00390D4F"/>
    <w:rsid w:val="0039224F"/>
    <w:rsid w:val="00393874"/>
    <w:rsid w:val="003960BE"/>
    <w:rsid w:val="003A43A4"/>
    <w:rsid w:val="003A7E18"/>
    <w:rsid w:val="003B6EA2"/>
    <w:rsid w:val="003C131D"/>
    <w:rsid w:val="003C4C86"/>
    <w:rsid w:val="003C6258"/>
    <w:rsid w:val="003D195B"/>
    <w:rsid w:val="003E2904"/>
    <w:rsid w:val="003E4CFC"/>
    <w:rsid w:val="003E53DE"/>
    <w:rsid w:val="00401927"/>
    <w:rsid w:val="0041027F"/>
    <w:rsid w:val="00412475"/>
    <w:rsid w:val="00416B28"/>
    <w:rsid w:val="00423789"/>
    <w:rsid w:val="004244D4"/>
    <w:rsid w:val="004315BA"/>
    <w:rsid w:val="00440F43"/>
    <w:rsid w:val="00441B6F"/>
    <w:rsid w:val="004461D2"/>
    <w:rsid w:val="00446221"/>
    <w:rsid w:val="00450E62"/>
    <w:rsid w:val="004539DB"/>
    <w:rsid w:val="00465D02"/>
    <w:rsid w:val="0046689D"/>
    <w:rsid w:val="004716D6"/>
    <w:rsid w:val="00471A80"/>
    <w:rsid w:val="00475438"/>
    <w:rsid w:val="004A5F97"/>
    <w:rsid w:val="004D305E"/>
    <w:rsid w:val="004D4277"/>
    <w:rsid w:val="004E5FCA"/>
    <w:rsid w:val="00502516"/>
    <w:rsid w:val="00505F06"/>
    <w:rsid w:val="00506828"/>
    <w:rsid w:val="0053056E"/>
    <w:rsid w:val="005509D8"/>
    <w:rsid w:val="00554F09"/>
    <w:rsid w:val="00554FDA"/>
    <w:rsid w:val="00572140"/>
    <w:rsid w:val="00572A05"/>
    <w:rsid w:val="00585CBC"/>
    <w:rsid w:val="00586450"/>
    <w:rsid w:val="0058753F"/>
    <w:rsid w:val="005C05CE"/>
    <w:rsid w:val="005C2249"/>
    <w:rsid w:val="005C3FAA"/>
    <w:rsid w:val="005C784C"/>
    <w:rsid w:val="005D17F6"/>
    <w:rsid w:val="005E5539"/>
    <w:rsid w:val="00600285"/>
    <w:rsid w:val="006013B7"/>
    <w:rsid w:val="00602BF5"/>
    <w:rsid w:val="00612804"/>
    <w:rsid w:val="00617FDD"/>
    <w:rsid w:val="0062028D"/>
    <w:rsid w:val="006321A6"/>
    <w:rsid w:val="00633614"/>
    <w:rsid w:val="00633F68"/>
    <w:rsid w:val="00636EB2"/>
    <w:rsid w:val="006375B8"/>
    <w:rsid w:val="0066510A"/>
    <w:rsid w:val="00670CFB"/>
    <w:rsid w:val="00673F9F"/>
    <w:rsid w:val="006822A4"/>
    <w:rsid w:val="00686953"/>
    <w:rsid w:val="00687DEA"/>
    <w:rsid w:val="00687E67"/>
    <w:rsid w:val="006967F7"/>
    <w:rsid w:val="006A09BC"/>
    <w:rsid w:val="006A250C"/>
    <w:rsid w:val="006B21D3"/>
    <w:rsid w:val="006B57D0"/>
    <w:rsid w:val="006D30FF"/>
    <w:rsid w:val="006D6940"/>
    <w:rsid w:val="006D7972"/>
    <w:rsid w:val="006F11EC"/>
    <w:rsid w:val="006F137C"/>
    <w:rsid w:val="0070082C"/>
    <w:rsid w:val="00704680"/>
    <w:rsid w:val="007049FF"/>
    <w:rsid w:val="00710019"/>
    <w:rsid w:val="00734892"/>
    <w:rsid w:val="007369E6"/>
    <w:rsid w:val="00745ED8"/>
    <w:rsid w:val="00746E59"/>
    <w:rsid w:val="00754C9A"/>
    <w:rsid w:val="0075599A"/>
    <w:rsid w:val="00761D52"/>
    <w:rsid w:val="00766DAB"/>
    <w:rsid w:val="00774ADD"/>
    <w:rsid w:val="00775E9B"/>
    <w:rsid w:val="00776B70"/>
    <w:rsid w:val="0077749E"/>
    <w:rsid w:val="00790ADA"/>
    <w:rsid w:val="007A03E5"/>
    <w:rsid w:val="007D2288"/>
    <w:rsid w:val="007E088F"/>
    <w:rsid w:val="007F763C"/>
    <w:rsid w:val="007F7B32"/>
    <w:rsid w:val="00804BC2"/>
    <w:rsid w:val="00810149"/>
    <w:rsid w:val="0081431A"/>
    <w:rsid w:val="00831BF4"/>
    <w:rsid w:val="0083216F"/>
    <w:rsid w:val="00856EB4"/>
    <w:rsid w:val="00860000"/>
    <w:rsid w:val="00863BD3"/>
    <w:rsid w:val="008641ED"/>
    <w:rsid w:val="00865458"/>
    <w:rsid w:val="00866113"/>
    <w:rsid w:val="00866D66"/>
    <w:rsid w:val="008671C6"/>
    <w:rsid w:val="00875803"/>
    <w:rsid w:val="008B046D"/>
    <w:rsid w:val="008B459E"/>
    <w:rsid w:val="008E13AE"/>
    <w:rsid w:val="008E1506"/>
    <w:rsid w:val="008E710C"/>
    <w:rsid w:val="008F69D6"/>
    <w:rsid w:val="00902823"/>
    <w:rsid w:val="00915CA6"/>
    <w:rsid w:val="00920F36"/>
    <w:rsid w:val="00927834"/>
    <w:rsid w:val="00944C00"/>
    <w:rsid w:val="009500A6"/>
    <w:rsid w:val="00957C18"/>
    <w:rsid w:val="009659BA"/>
    <w:rsid w:val="00976464"/>
    <w:rsid w:val="00983040"/>
    <w:rsid w:val="00984362"/>
    <w:rsid w:val="009B3FB9"/>
    <w:rsid w:val="009B7052"/>
    <w:rsid w:val="009C2465"/>
    <w:rsid w:val="009D35A0"/>
    <w:rsid w:val="009D7EB7"/>
    <w:rsid w:val="009E048A"/>
    <w:rsid w:val="009E08E9"/>
    <w:rsid w:val="009E3DB9"/>
    <w:rsid w:val="009E5FE2"/>
    <w:rsid w:val="009E6E35"/>
    <w:rsid w:val="009F0EDA"/>
    <w:rsid w:val="00A03B96"/>
    <w:rsid w:val="00A05B19"/>
    <w:rsid w:val="00A1134E"/>
    <w:rsid w:val="00A222BE"/>
    <w:rsid w:val="00A246EE"/>
    <w:rsid w:val="00A24E7E"/>
    <w:rsid w:val="00A258C3"/>
    <w:rsid w:val="00A347C0"/>
    <w:rsid w:val="00A43A9F"/>
    <w:rsid w:val="00A51431"/>
    <w:rsid w:val="00A539AD"/>
    <w:rsid w:val="00A906AC"/>
    <w:rsid w:val="00A94063"/>
    <w:rsid w:val="00AA6219"/>
    <w:rsid w:val="00AA74E0"/>
    <w:rsid w:val="00AB703F"/>
    <w:rsid w:val="00AC6BB8"/>
    <w:rsid w:val="00AE008F"/>
    <w:rsid w:val="00AF246A"/>
    <w:rsid w:val="00B01FCD"/>
    <w:rsid w:val="00B17001"/>
    <w:rsid w:val="00B1776C"/>
    <w:rsid w:val="00B45FC1"/>
    <w:rsid w:val="00B51C45"/>
    <w:rsid w:val="00B52583"/>
    <w:rsid w:val="00B52896"/>
    <w:rsid w:val="00B55574"/>
    <w:rsid w:val="00B905FD"/>
    <w:rsid w:val="00B95236"/>
    <w:rsid w:val="00B95F49"/>
    <w:rsid w:val="00B96BD9"/>
    <w:rsid w:val="00BA1B01"/>
    <w:rsid w:val="00BA2641"/>
    <w:rsid w:val="00BA26C3"/>
    <w:rsid w:val="00BA4950"/>
    <w:rsid w:val="00BB37AA"/>
    <w:rsid w:val="00BC53A0"/>
    <w:rsid w:val="00BE62AD"/>
    <w:rsid w:val="00BF121F"/>
    <w:rsid w:val="00BF1F80"/>
    <w:rsid w:val="00BF234C"/>
    <w:rsid w:val="00BF5210"/>
    <w:rsid w:val="00C04A16"/>
    <w:rsid w:val="00C11610"/>
    <w:rsid w:val="00C166EF"/>
    <w:rsid w:val="00C17A75"/>
    <w:rsid w:val="00C17EB0"/>
    <w:rsid w:val="00C20B1C"/>
    <w:rsid w:val="00C25A82"/>
    <w:rsid w:val="00C27808"/>
    <w:rsid w:val="00C27F5F"/>
    <w:rsid w:val="00C30A0F"/>
    <w:rsid w:val="00C37E61"/>
    <w:rsid w:val="00C5649B"/>
    <w:rsid w:val="00C70F1B"/>
    <w:rsid w:val="00C71A47"/>
    <w:rsid w:val="00C7464C"/>
    <w:rsid w:val="00C80614"/>
    <w:rsid w:val="00C85588"/>
    <w:rsid w:val="00CA64A8"/>
    <w:rsid w:val="00CA7B7B"/>
    <w:rsid w:val="00CB337E"/>
    <w:rsid w:val="00CC46DF"/>
    <w:rsid w:val="00CC6BE9"/>
    <w:rsid w:val="00CD4DCF"/>
    <w:rsid w:val="00CD6755"/>
    <w:rsid w:val="00CD6856"/>
    <w:rsid w:val="00CE0089"/>
    <w:rsid w:val="00CE793C"/>
    <w:rsid w:val="00CF193C"/>
    <w:rsid w:val="00D11EEB"/>
    <w:rsid w:val="00D122EC"/>
    <w:rsid w:val="00D12E82"/>
    <w:rsid w:val="00D173F1"/>
    <w:rsid w:val="00D333EB"/>
    <w:rsid w:val="00D53A7F"/>
    <w:rsid w:val="00D546FD"/>
    <w:rsid w:val="00D74CB0"/>
    <w:rsid w:val="00D76DC8"/>
    <w:rsid w:val="00D8295D"/>
    <w:rsid w:val="00D86F88"/>
    <w:rsid w:val="00D9473D"/>
    <w:rsid w:val="00DB01EC"/>
    <w:rsid w:val="00DC2A65"/>
    <w:rsid w:val="00DD0BA3"/>
    <w:rsid w:val="00DD3711"/>
    <w:rsid w:val="00DD6409"/>
    <w:rsid w:val="00DE15F0"/>
    <w:rsid w:val="00DE5663"/>
    <w:rsid w:val="00DE78AA"/>
    <w:rsid w:val="00DF7BD3"/>
    <w:rsid w:val="00E02640"/>
    <w:rsid w:val="00E053D0"/>
    <w:rsid w:val="00E15994"/>
    <w:rsid w:val="00E21E9D"/>
    <w:rsid w:val="00E3114E"/>
    <w:rsid w:val="00E31A70"/>
    <w:rsid w:val="00E322BE"/>
    <w:rsid w:val="00E35B02"/>
    <w:rsid w:val="00E41A75"/>
    <w:rsid w:val="00E454A1"/>
    <w:rsid w:val="00E554A5"/>
    <w:rsid w:val="00E66496"/>
    <w:rsid w:val="00E66750"/>
    <w:rsid w:val="00E66B35"/>
    <w:rsid w:val="00E66E10"/>
    <w:rsid w:val="00E769F6"/>
    <w:rsid w:val="00E81ECD"/>
    <w:rsid w:val="00E8407C"/>
    <w:rsid w:val="00E84F3C"/>
    <w:rsid w:val="00E92AB6"/>
    <w:rsid w:val="00E9589C"/>
    <w:rsid w:val="00E96D12"/>
    <w:rsid w:val="00EA012C"/>
    <w:rsid w:val="00EB2540"/>
    <w:rsid w:val="00EC2059"/>
    <w:rsid w:val="00EC6A55"/>
    <w:rsid w:val="00ED0288"/>
    <w:rsid w:val="00EE10BE"/>
    <w:rsid w:val="00EE52CB"/>
    <w:rsid w:val="00EF581D"/>
    <w:rsid w:val="00EF7FD8"/>
    <w:rsid w:val="00F06F59"/>
    <w:rsid w:val="00F1001F"/>
    <w:rsid w:val="00F131EE"/>
    <w:rsid w:val="00F1508D"/>
    <w:rsid w:val="00F17988"/>
    <w:rsid w:val="00F469F0"/>
    <w:rsid w:val="00F53273"/>
    <w:rsid w:val="00F755E4"/>
    <w:rsid w:val="00F77D02"/>
    <w:rsid w:val="00F90F01"/>
    <w:rsid w:val="00F94B78"/>
    <w:rsid w:val="00FB3A86"/>
    <w:rsid w:val="00FD36C8"/>
    <w:rsid w:val="00FE0E9A"/>
    <w:rsid w:val="00FE1E18"/>
    <w:rsid w:val="00FF7A1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592CA3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21E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1014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E21E9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10149"/>
    <w:rPr>
      <w:rFonts w:asciiTheme="majorHAnsi" w:eastAsiaTheme="majorEastAsia" w:hAnsiTheme="majorHAnsi" w:cstheme="majorBidi"/>
      <w:color w:val="243F60" w:themeColor="accent1" w:themeShade="7F"/>
      <w:sz w:val="24"/>
      <w:szCs w:val="24"/>
    </w:rPr>
  </w:style>
  <w:style w:type="paragraph" w:styleId="Bibliography">
    <w:name w:val="Bibliography"/>
    <w:basedOn w:val="Normal"/>
    <w:next w:val="Normal"/>
    <w:uiPriority w:val="37"/>
    <w:semiHidden/>
    <w:unhideWhenUsed/>
    <w:rsid w:val="00810149"/>
  </w:style>
  <w:style w:type="paragraph" w:styleId="CommentSubject">
    <w:name w:val="annotation subject"/>
    <w:basedOn w:val="CommentText"/>
    <w:next w:val="CommentText"/>
    <w:link w:val="CommentSubjectChar"/>
    <w:semiHidden/>
    <w:unhideWhenUsed/>
    <w:rsid w:val="00EB2540"/>
    <w:rPr>
      <w:rFonts w:ascii="Helvetica" w:hAnsi="Helvetica"/>
      <w:b/>
      <w:bCs/>
      <w:lang w:val="en-US" w:eastAsia="en-US"/>
    </w:rPr>
  </w:style>
  <w:style w:type="character" w:customStyle="1" w:styleId="CommentSubjectChar">
    <w:name w:val="Comment Subject Char"/>
    <w:basedOn w:val="CommentTextChar"/>
    <w:link w:val="CommentSubject"/>
    <w:semiHidden/>
    <w:rsid w:val="00EB2540"/>
    <w:rPr>
      <w:rFonts w:ascii="Helvetica" w:hAnsi="Helvetica"/>
      <w:b/>
      <w:bCs/>
      <w:lang w:val="nb-NO" w:eastAsia="nb-NO"/>
    </w:rPr>
  </w:style>
  <w:style w:type="paragraph" w:styleId="Revision">
    <w:name w:val="Revision"/>
    <w:hidden/>
    <w:uiPriority w:val="99"/>
    <w:semiHidden/>
    <w:rsid w:val="00BA26C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408C2-EA19-4D7C-B9FE-A2DDE3F7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10</Pages>
  <Words>3769</Words>
  <Characters>21486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25205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2025-02-05T05:45:00Z</cp:lastPrinted>
  <dcterms:created xsi:type="dcterms:W3CDTF">2025-02-05T05:07:00Z</dcterms:created>
  <dcterms:modified xsi:type="dcterms:W3CDTF">2025-02-10T11:42:00Z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id="Ac1SSWM5"/&gt;&lt;style id="http://www.zotero.org/styles/ieee" locale="en-GB" hasBibliography="1" bibliographyStyleHasBeenSet="0"/&gt;&lt;prefs&gt;&lt;pref name="fieldType" value="Field"/&gt;&lt;/prefs&gt;&lt;/data&gt;</vt:lpwstr>
  </property>
</Properties>
</file>