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4ADB0" w14:textId="33A2E81C" w:rsidR="00344D42" w:rsidRDefault="00344D42" w:rsidP="00E3523F">
      <w:pPr>
        <w:pStyle w:val="NormalWeb"/>
        <w:jc w:val="center"/>
        <w:rPr>
          <w:b/>
          <w:bCs/>
          <w:color w:val="000000"/>
          <w:lang w:val="en-IN"/>
        </w:rPr>
      </w:pPr>
      <w:r w:rsidRPr="00344D42">
        <w:rPr>
          <w:b/>
          <w:bCs/>
          <w:color w:val="000000"/>
          <w:lang w:val="en-IN"/>
        </w:rPr>
        <w:t>Case report</w:t>
      </w:r>
    </w:p>
    <w:p w14:paraId="0CEE9694" w14:textId="77777777" w:rsidR="00344D42" w:rsidRDefault="00344D42" w:rsidP="00E3523F">
      <w:pPr>
        <w:pStyle w:val="NormalWeb"/>
        <w:jc w:val="center"/>
        <w:rPr>
          <w:b/>
          <w:bCs/>
          <w:color w:val="000000"/>
          <w:lang w:val="en-IN"/>
        </w:rPr>
      </w:pPr>
    </w:p>
    <w:p w14:paraId="14D66E8A" w14:textId="6377FB3F" w:rsidR="00E3523F" w:rsidRPr="00893A5A" w:rsidRDefault="00E3523F" w:rsidP="00E3523F">
      <w:pPr>
        <w:pStyle w:val="NormalWeb"/>
        <w:jc w:val="center"/>
        <w:rPr>
          <w:b/>
          <w:bCs/>
          <w:color w:val="000000"/>
        </w:rPr>
      </w:pPr>
      <w:r w:rsidRPr="00893A5A">
        <w:rPr>
          <w:b/>
          <w:bCs/>
          <w:color w:val="000000"/>
        </w:rPr>
        <w:t>BONE MARROW OXALOSIS: A rare case report</w:t>
      </w:r>
    </w:p>
    <w:p w14:paraId="51E1885A" w14:textId="77777777" w:rsidR="00A062D8" w:rsidRDefault="00A062D8" w:rsidP="00086425">
      <w:pPr>
        <w:jc w:val="center"/>
        <w:rPr>
          <w:rFonts w:ascii="Cambria" w:hAnsi="Cambria" w:cs="Arial"/>
          <w:sz w:val="20"/>
          <w:szCs w:val="20"/>
        </w:rPr>
      </w:pPr>
    </w:p>
    <w:p w14:paraId="0F657DEC" w14:textId="77777777" w:rsidR="00E649C6" w:rsidRDefault="00E649C6" w:rsidP="00DC622C">
      <w:pPr>
        <w:pStyle w:val="NormalWeb"/>
        <w:spacing w:line="480" w:lineRule="auto"/>
        <w:jc w:val="both"/>
        <w:rPr>
          <w:b/>
          <w:color w:val="000000"/>
        </w:rPr>
      </w:pPr>
    </w:p>
    <w:p w14:paraId="763F487E" w14:textId="615184EE" w:rsidR="00DC622C" w:rsidRPr="00DC622C" w:rsidRDefault="00DC622C" w:rsidP="00DC622C">
      <w:pPr>
        <w:pStyle w:val="NormalWeb"/>
        <w:spacing w:line="480" w:lineRule="auto"/>
        <w:jc w:val="both"/>
        <w:rPr>
          <w:b/>
          <w:color w:val="000000"/>
        </w:rPr>
      </w:pPr>
      <w:r>
        <w:rPr>
          <w:b/>
          <w:color w:val="000000"/>
        </w:rPr>
        <w:t>A</w:t>
      </w:r>
      <w:r w:rsidRPr="00DC622C">
        <w:rPr>
          <w:b/>
          <w:color w:val="000000"/>
        </w:rPr>
        <w:t>bstract</w:t>
      </w:r>
    </w:p>
    <w:p w14:paraId="706D6D17" w14:textId="51C57E54" w:rsidR="00DC622C" w:rsidRDefault="00DC622C" w:rsidP="00DC622C">
      <w:pPr>
        <w:pStyle w:val="NormalWeb"/>
        <w:spacing w:line="480" w:lineRule="auto"/>
        <w:jc w:val="both"/>
        <w:rPr>
          <w:color w:val="000000"/>
        </w:rPr>
      </w:pPr>
      <w:r>
        <w:rPr>
          <w:color w:val="000000"/>
        </w:rPr>
        <w:t>We present a case of medullary oxalosis in a patient with terminal chronic renal failure, whose diagnostic work-up was conducted in the Hematology laboratory following the identification of pancytopenia.</w:t>
      </w:r>
      <w:r w:rsidRPr="00DC622C">
        <w:t xml:space="preserve"> </w:t>
      </w:r>
      <w:r w:rsidRPr="00DC622C">
        <w:rPr>
          <w:color w:val="000000"/>
        </w:rPr>
        <w:t>A 32-year-old patient with a history of end-stage chronic renal failure for 6 years, undergoing chronic hemodialysis, also presents with underlying cardiopathy. The patient's illness history dates back to one month prior to admission, marked by the onset of a left hypochondrial swelling that impeded respiration, severe asthenia, and unquantified weight loss.</w:t>
      </w:r>
      <w:r w:rsidRPr="00DC622C">
        <w:t xml:space="preserve"> </w:t>
      </w:r>
      <w:r w:rsidRPr="00DC622C">
        <w:rPr>
          <w:color w:val="000000"/>
        </w:rPr>
        <w:t xml:space="preserve">Combined liver and kidney transplantation </w:t>
      </w:r>
      <w:proofErr w:type="gramStart"/>
      <w:r w:rsidRPr="00DC622C">
        <w:rPr>
          <w:color w:val="000000"/>
        </w:rPr>
        <w:t>is</w:t>
      </w:r>
      <w:proofErr w:type="gramEnd"/>
      <w:r w:rsidRPr="00DC622C">
        <w:rPr>
          <w:color w:val="000000"/>
        </w:rPr>
        <w:t xml:space="preserve"> an effective treatment for primary hyperoxaluria, as it replaces the deficient enzyme and provides a new pathway for oxalate excretion. Successful treatment can stabilize or even reverse systemic oxalosis, but the clearance of tissue crystals is slow; hence, early diagnosis and treatment are crucial to prevent irreversible organ damage. Recently, new treatment options, such as RNA interference therapy, have become available.</w:t>
      </w:r>
      <w:r>
        <w:rPr>
          <w:color w:val="000000"/>
        </w:rPr>
        <w:t xml:space="preserve"> </w:t>
      </w:r>
      <w:r w:rsidRPr="00DC622C">
        <w:rPr>
          <w:color w:val="000000"/>
        </w:rPr>
        <w:t>Understanding the AGXT gene and advances in genetics have enabled prenatal diagnosis and genetic counseling, creating hope for a radical treatment through genetic engineering in the near future.</w:t>
      </w:r>
    </w:p>
    <w:p w14:paraId="5C659F1F" w14:textId="439C89F2" w:rsidR="00DC622C" w:rsidRDefault="00DC622C" w:rsidP="00AB1FDF">
      <w:pPr>
        <w:pStyle w:val="NormalWeb"/>
        <w:spacing w:line="480" w:lineRule="auto"/>
        <w:jc w:val="both"/>
        <w:rPr>
          <w:b/>
          <w:bCs/>
          <w:color w:val="000000"/>
        </w:rPr>
      </w:pPr>
      <w:r>
        <w:rPr>
          <w:b/>
          <w:bCs/>
          <w:color w:val="000000"/>
        </w:rPr>
        <w:t>Keywords: G</w:t>
      </w:r>
      <w:r w:rsidRPr="00DC622C">
        <w:rPr>
          <w:b/>
          <w:bCs/>
          <w:color w:val="000000"/>
        </w:rPr>
        <w:t>enetic engineering</w:t>
      </w:r>
      <w:r>
        <w:rPr>
          <w:b/>
          <w:bCs/>
          <w:color w:val="000000"/>
        </w:rPr>
        <w:t xml:space="preserve">, </w:t>
      </w:r>
      <w:r w:rsidRPr="00DC622C">
        <w:rPr>
          <w:b/>
          <w:bCs/>
          <w:color w:val="000000"/>
        </w:rPr>
        <w:t>Medullary oxalosis</w:t>
      </w:r>
      <w:r>
        <w:rPr>
          <w:b/>
          <w:bCs/>
          <w:color w:val="000000"/>
        </w:rPr>
        <w:t xml:space="preserve">, </w:t>
      </w:r>
      <w:r w:rsidRPr="00DC622C">
        <w:rPr>
          <w:b/>
          <w:bCs/>
          <w:color w:val="000000"/>
        </w:rPr>
        <w:t>pancytopenia</w:t>
      </w:r>
      <w:r>
        <w:rPr>
          <w:b/>
          <w:bCs/>
          <w:color w:val="000000"/>
        </w:rPr>
        <w:t xml:space="preserve">, </w:t>
      </w:r>
      <w:r w:rsidRPr="00DC622C">
        <w:rPr>
          <w:b/>
          <w:bCs/>
          <w:color w:val="000000"/>
        </w:rPr>
        <w:t>bone marrow</w:t>
      </w:r>
    </w:p>
    <w:p w14:paraId="6764E021" w14:textId="23F73C50" w:rsidR="00E649C6" w:rsidRDefault="00E649C6" w:rsidP="00AB1FDF">
      <w:pPr>
        <w:pStyle w:val="NormalWeb"/>
        <w:spacing w:line="480" w:lineRule="auto"/>
        <w:jc w:val="both"/>
        <w:rPr>
          <w:b/>
          <w:bCs/>
          <w:color w:val="000000"/>
        </w:rPr>
      </w:pPr>
    </w:p>
    <w:p w14:paraId="5ED1993C" w14:textId="77777777" w:rsidR="00E649C6" w:rsidRDefault="00E649C6" w:rsidP="00AB1FDF">
      <w:pPr>
        <w:pStyle w:val="NormalWeb"/>
        <w:spacing w:line="480" w:lineRule="auto"/>
        <w:jc w:val="both"/>
        <w:rPr>
          <w:b/>
          <w:bCs/>
          <w:color w:val="000000"/>
        </w:rPr>
      </w:pPr>
      <w:bookmarkStart w:id="0" w:name="_GoBack"/>
      <w:bookmarkEnd w:id="0"/>
    </w:p>
    <w:p w14:paraId="376D9BDB" w14:textId="65F8D5B8" w:rsidR="00C72B5E" w:rsidRPr="00427095" w:rsidRDefault="00C72B5E" w:rsidP="00AB1FDF">
      <w:pPr>
        <w:pStyle w:val="NormalWeb"/>
        <w:spacing w:line="480" w:lineRule="auto"/>
        <w:jc w:val="both"/>
        <w:rPr>
          <w:b/>
          <w:bCs/>
          <w:color w:val="000000"/>
        </w:rPr>
      </w:pPr>
      <w:proofErr w:type="gramStart"/>
      <w:r w:rsidRPr="00427095">
        <w:rPr>
          <w:b/>
          <w:bCs/>
          <w:color w:val="000000"/>
        </w:rPr>
        <w:t>INTRODUCTION :</w:t>
      </w:r>
      <w:proofErr w:type="gramEnd"/>
      <w:r w:rsidRPr="00427095">
        <w:rPr>
          <w:b/>
          <w:bCs/>
          <w:color w:val="000000"/>
        </w:rPr>
        <w:t xml:space="preserve"> </w:t>
      </w:r>
    </w:p>
    <w:p w14:paraId="504E1278" w14:textId="5CC2DEF5" w:rsidR="00D7665C" w:rsidRDefault="00D7665C" w:rsidP="00D7665C">
      <w:pPr>
        <w:pStyle w:val="NormalWeb"/>
        <w:spacing w:line="480" w:lineRule="auto"/>
        <w:jc w:val="both"/>
        <w:rPr>
          <w:color w:val="000000"/>
        </w:rPr>
      </w:pPr>
      <w:r>
        <w:rPr>
          <w:color w:val="000000"/>
        </w:rPr>
        <w:t>Medullary oxalosis is an autosomal recessive inherited metabolic disorder resulting from a deficiency of the hepatic enzyme alanine-glyoxylate aminotransferase (AGT)</w:t>
      </w:r>
      <w:r w:rsidR="00033373">
        <w:rPr>
          <w:color w:val="000000"/>
        </w:rPr>
        <w:t xml:space="preserve"> (1).</w:t>
      </w:r>
      <w:r>
        <w:rPr>
          <w:color w:val="000000"/>
        </w:rPr>
        <w:t xml:space="preserve"> This condition represents a form of systemic oxalosis characterized by the deposition of oxalate within the bone marrow (BM)</w:t>
      </w:r>
      <w:r w:rsidR="00C30F75">
        <w:rPr>
          <w:color w:val="000000"/>
        </w:rPr>
        <w:t xml:space="preserve"> [4,5]</w:t>
      </w:r>
      <w:r>
        <w:rPr>
          <w:color w:val="000000"/>
        </w:rPr>
        <w:t>. Although rare, it can present with pancytopenia at advanced stages, accompanied by visceral involvement that may pose a significant risk to patient survival</w:t>
      </w:r>
      <w:r w:rsidR="00C30F75">
        <w:rPr>
          <w:color w:val="000000"/>
        </w:rPr>
        <w:t xml:space="preserve"> [6-8]</w:t>
      </w:r>
      <w:r>
        <w:rPr>
          <w:color w:val="000000"/>
        </w:rPr>
        <w:t>.</w:t>
      </w:r>
    </w:p>
    <w:p w14:paraId="5E277430" w14:textId="77777777" w:rsidR="00D7665C" w:rsidRDefault="00D7665C" w:rsidP="00D7665C">
      <w:pPr>
        <w:pStyle w:val="NormalWeb"/>
        <w:spacing w:line="480" w:lineRule="auto"/>
        <w:jc w:val="both"/>
        <w:rPr>
          <w:color w:val="000000"/>
        </w:rPr>
      </w:pPr>
      <w:r>
        <w:rPr>
          <w:color w:val="000000"/>
        </w:rPr>
        <w:t>We present a case of medullary oxalosis in a patient with terminal chronic renal failure, whose diagnostic work-up was conducted in the Hematology laboratory following the identification of pancytopenia.</w:t>
      </w:r>
    </w:p>
    <w:p w14:paraId="60C583C5" w14:textId="6AA63664" w:rsidR="00033373" w:rsidRPr="00033373" w:rsidRDefault="00033373" w:rsidP="00D7665C">
      <w:pPr>
        <w:pStyle w:val="NormalWeb"/>
        <w:spacing w:line="480" w:lineRule="auto"/>
        <w:jc w:val="both"/>
        <w:rPr>
          <w:b/>
          <w:bCs/>
          <w:color w:val="000000"/>
        </w:rPr>
      </w:pPr>
      <w:r w:rsidRPr="00033373">
        <w:rPr>
          <w:b/>
          <w:bCs/>
          <w:color w:val="000000"/>
        </w:rPr>
        <w:t>CASE PRESENTATION :</w:t>
      </w:r>
    </w:p>
    <w:p w14:paraId="4B21FCCA" w14:textId="104B20BC" w:rsidR="00033373" w:rsidRPr="008E7020" w:rsidRDefault="00033373" w:rsidP="00D7665C">
      <w:pPr>
        <w:pStyle w:val="NormalWeb"/>
        <w:spacing w:line="480" w:lineRule="auto"/>
        <w:jc w:val="both"/>
        <w:rPr>
          <w:color w:val="000000"/>
        </w:rPr>
      </w:pPr>
      <w:r w:rsidRPr="008E7020">
        <w:rPr>
          <w:color w:val="000000"/>
        </w:rPr>
        <w:t xml:space="preserve">A 32-year-old patient with a history of end-stage chronic renal failure for 6 years, undergoing chronic hemodialysis, also presents with underlying cardiopathy. The patient's illness history dates back to one month prior to admission, marked by the onset of a left hypochondrial swelling that impeded respiration, severe asthenia, and unquantified weight loss. Clinical examination revealed splenomegaly extending 7 cm below the costal margin, without hepatomegaly. The hemogram showed pancytopenia with severe anemia (hemoglobin at 6.5 g/dL, normochromic normocytic), neutropenia (1285/mm³), and thrombocytopenia (40,000/mm³). The bone marrow aspirate was hypocellular, prompting a complementary bone marrow biopsy (BMB) that confirmed the presence of multiple oxalate crystal deposits within the marrow, accompanied by a foreign body </w:t>
      </w:r>
      <w:r w:rsidRPr="008E7020">
        <w:rPr>
          <w:color w:val="000000"/>
        </w:rPr>
        <w:lastRenderedPageBreak/>
        <w:t>giant cell reaction and no evidence of malignancy</w:t>
      </w:r>
      <w:r w:rsidR="00060EBB" w:rsidRPr="008E7020">
        <w:rPr>
          <w:color w:val="000000"/>
        </w:rPr>
        <w:t xml:space="preserve"> (Figure 1,2,3)</w:t>
      </w:r>
      <w:r w:rsidRPr="008E7020">
        <w:rPr>
          <w:color w:val="000000"/>
        </w:rPr>
        <w:t>. Therapeutically, the management included addressing transfusion needs with per-dialysis transfusions.</w:t>
      </w:r>
    </w:p>
    <w:p w14:paraId="54A84C64" w14:textId="1054B2A7" w:rsidR="00033373" w:rsidRPr="008E7020" w:rsidRDefault="00033373" w:rsidP="00D7665C">
      <w:pPr>
        <w:pStyle w:val="NormalWeb"/>
        <w:spacing w:line="480" w:lineRule="auto"/>
        <w:jc w:val="both"/>
        <w:rPr>
          <w:b/>
          <w:bCs/>
          <w:color w:val="000000"/>
        </w:rPr>
      </w:pPr>
      <w:r w:rsidRPr="008E7020">
        <w:rPr>
          <w:b/>
          <w:bCs/>
          <w:color w:val="000000"/>
        </w:rPr>
        <w:t xml:space="preserve">DISCUSSION: </w:t>
      </w:r>
    </w:p>
    <w:p w14:paraId="2D2EDD17" w14:textId="2AF0A437" w:rsidR="002633FA" w:rsidRPr="008E7020" w:rsidRDefault="002A46EE" w:rsidP="002633FA">
      <w:pPr>
        <w:pStyle w:val="NormalWeb"/>
        <w:spacing w:line="480" w:lineRule="auto"/>
        <w:jc w:val="both"/>
        <w:rPr>
          <w:color w:val="000000"/>
        </w:rPr>
      </w:pPr>
      <w:r w:rsidRPr="008E7020">
        <w:rPr>
          <w:color w:val="000000"/>
        </w:rPr>
        <w:t xml:space="preserve">Medullary oxalosis is a rare manifestation of oxalosis, with an estimated incidence of less than 1 case per million inhabitants per year. In Morocco, only one case has been reported (2). There are few reports of bone marrow oxalosis associated with varying degrees of </w:t>
      </w:r>
      <w:proofErr w:type="spellStart"/>
      <w:r w:rsidRPr="008E7020">
        <w:rPr>
          <w:color w:val="000000"/>
        </w:rPr>
        <w:t>cytopenias</w:t>
      </w:r>
      <w:proofErr w:type="spellEnd"/>
      <w:r w:rsidRPr="008E7020">
        <w:rPr>
          <w:color w:val="000000"/>
        </w:rPr>
        <w:t xml:space="preserve">, </w:t>
      </w:r>
      <w:proofErr w:type="spellStart"/>
      <w:r w:rsidRPr="008E7020">
        <w:rPr>
          <w:color w:val="000000"/>
        </w:rPr>
        <w:t>leukoerythroblastic</w:t>
      </w:r>
      <w:proofErr w:type="spellEnd"/>
      <w:r w:rsidRPr="008E7020">
        <w:rPr>
          <w:color w:val="000000"/>
        </w:rPr>
        <w:t xml:space="preserve"> reaction, and resistance to erythropoietin in the literature. </w:t>
      </w:r>
      <w:r w:rsidR="002633FA" w:rsidRPr="008E7020">
        <w:rPr>
          <w:color w:val="000000"/>
        </w:rPr>
        <w:t>The presence of calcium oxalate crystals in the bone marrow is a common finding in the course of primary hyperoxaluria. However, bone marrow failure and extramedullary hematopoiesis are rare complications. In this context, the combination of pancytopenia, splenomegaly, and a dry tap during bone marrow aspiration was highly suggestive of medullary oxalosis. Combined liver and kidney transplantation is an effective treatment for primary hyperoxaluria, as it replaces the deficient enzyme and provides a new pathway for oxalate excretion. Successful treatment can stabilize or even reverse systemic oxalosis, but the clearance of tissue crystals is slow; hence, early diagnosis and treatment are crucial to prevent irreversible organ damage. Recently, new treatment options, such as RNA interference therapy, have become available. These therapies are changing the management paradigm by reducing the severity of the disease and are likely to decrease the future need for liver transplantation and its associated morbidity</w:t>
      </w:r>
      <w:r w:rsidR="00153FCC" w:rsidRPr="008E7020">
        <w:rPr>
          <w:color w:val="000000"/>
        </w:rPr>
        <w:t xml:space="preserve"> (3).</w:t>
      </w:r>
    </w:p>
    <w:p w14:paraId="2F26F13A" w14:textId="64804FE2" w:rsidR="0088110B" w:rsidRPr="008E7020" w:rsidRDefault="0088110B" w:rsidP="002633FA">
      <w:pPr>
        <w:pStyle w:val="NormalWeb"/>
        <w:spacing w:line="480" w:lineRule="auto"/>
        <w:jc w:val="both"/>
        <w:rPr>
          <w:b/>
          <w:bCs/>
          <w:color w:val="000000"/>
        </w:rPr>
      </w:pPr>
      <w:r w:rsidRPr="008E7020">
        <w:rPr>
          <w:b/>
          <w:bCs/>
          <w:color w:val="000000"/>
        </w:rPr>
        <w:t>CONCLUSION :</w:t>
      </w:r>
    </w:p>
    <w:p w14:paraId="5D1AD8EC" w14:textId="64228C27" w:rsidR="00033373" w:rsidRPr="008E7020" w:rsidRDefault="0088110B" w:rsidP="008E7020">
      <w:pPr>
        <w:pStyle w:val="NormalWeb"/>
        <w:spacing w:line="480" w:lineRule="auto"/>
        <w:jc w:val="both"/>
        <w:rPr>
          <w:color w:val="000000"/>
        </w:rPr>
      </w:pPr>
      <w:r w:rsidRPr="008E7020">
        <w:rPr>
          <w:color w:val="000000"/>
        </w:rPr>
        <w:t xml:space="preserve">Pancytopenia associated with medullary oxalosis typically does not respond to stimulating agents and may necessitate repeated transfusions, leading to specific complications, as observed in this </w:t>
      </w:r>
      <w:r w:rsidRPr="008E7020">
        <w:rPr>
          <w:color w:val="000000"/>
        </w:rPr>
        <w:lastRenderedPageBreak/>
        <w:t>case.</w:t>
      </w:r>
      <w:r w:rsidR="00B41EA9" w:rsidRPr="008E7020">
        <w:rPr>
          <w:color w:val="000000"/>
        </w:rPr>
        <w:t xml:space="preserve"> Understanding the AGXT gene and advances in genetics have enabled prenatal diagnosis and genetic counseling, creating hope for a radical treatment through genetic engineering in the near future.</w:t>
      </w:r>
    </w:p>
    <w:p w14:paraId="6E082D0C" w14:textId="77777777" w:rsidR="00A674E4" w:rsidRDefault="00A674E4" w:rsidP="00D7665C">
      <w:pPr>
        <w:pStyle w:val="NormalWeb"/>
        <w:spacing w:line="480" w:lineRule="auto"/>
        <w:jc w:val="both"/>
        <w:rPr>
          <w:b/>
          <w:bCs/>
          <w:color w:val="000000"/>
        </w:rPr>
      </w:pPr>
    </w:p>
    <w:p w14:paraId="7A66B88C" w14:textId="23684F5C" w:rsidR="00033373" w:rsidRDefault="00060EBB" w:rsidP="00D7665C">
      <w:pPr>
        <w:pStyle w:val="NormalWeb"/>
        <w:spacing w:line="480" w:lineRule="auto"/>
        <w:jc w:val="both"/>
        <w:rPr>
          <w:b/>
          <w:bCs/>
          <w:color w:val="000000"/>
        </w:rPr>
      </w:pPr>
      <w:r>
        <w:rPr>
          <w:b/>
          <w:bCs/>
          <w:noProof/>
          <w:color w:val="000000"/>
          <w14:ligatures w14:val="standardContextual"/>
        </w:rPr>
        <w:drawing>
          <wp:inline distT="0" distB="0" distL="0" distR="0" wp14:anchorId="0EDA7B84" wp14:editId="3BFE04A3">
            <wp:extent cx="1857484" cy="1973179"/>
            <wp:effectExtent l="0" t="0" r="0" b="0"/>
            <wp:docPr id="151536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65682" name="Picture 15153656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3324" cy="2000628"/>
                    </a:xfrm>
                    <a:prstGeom prst="rect">
                      <a:avLst/>
                    </a:prstGeom>
                  </pic:spPr>
                </pic:pic>
              </a:graphicData>
            </a:graphic>
          </wp:inline>
        </w:drawing>
      </w:r>
      <w:r>
        <w:rPr>
          <w:b/>
          <w:bCs/>
          <w:noProof/>
          <w:color w:val="000000"/>
          <w14:ligatures w14:val="standardContextual"/>
        </w:rPr>
        <w:drawing>
          <wp:inline distT="0" distB="0" distL="0" distR="0" wp14:anchorId="3CD047A5" wp14:editId="6076789D">
            <wp:extent cx="1946149" cy="1973179"/>
            <wp:effectExtent l="0" t="0" r="0" b="0"/>
            <wp:docPr id="1914556183" name="Picture 2" descr="A close-up of a pink and white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56183" name="Picture 2" descr="A close-up of a pink and white ce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162" cy="2046192"/>
                    </a:xfrm>
                    <a:prstGeom prst="rect">
                      <a:avLst/>
                    </a:prstGeom>
                  </pic:spPr>
                </pic:pic>
              </a:graphicData>
            </a:graphic>
          </wp:inline>
        </w:drawing>
      </w:r>
      <w:r w:rsidR="009D443D">
        <w:rPr>
          <w:b/>
          <w:bCs/>
          <w:noProof/>
          <w:color w:val="000000"/>
          <w14:ligatures w14:val="standardContextual"/>
        </w:rPr>
        <w:drawing>
          <wp:inline distT="0" distB="0" distL="0" distR="0" wp14:anchorId="73B92ED9" wp14:editId="63C039CE">
            <wp:extent cx="1824946" cy="1973099"/>
            <wp:effectExtent l="0" t="0" r="4445" b="0"/>
            <wp:docPr id="1277853097" name="Picture 3" descr="A pink and purple cells under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53097" name="Picture 3" descr="A pink and purple cells under a microsco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142" cy="2053318"/>
                    </a:xfrm>
                    <a:prstGeom prst="rect">
                      <a:avLst/>
                    </a:prstGeom>
                  </pic:spPr>
                </pic:pic>
              </a:graphicData>
            </a:graphic>
          </wp:inline>
        </w:drawing>
      </w:r>
    </w:p>
    <w:p w14:paraId="3844F449" w14:textId="74FC1D5E" w:rsidR="00033373" w:rsidRDefault="008764BB" w:rsidP="00D7665C">
      <w:pPr>
        <w:pStyle w:val="NormalWeb"/>
        <w:spacing w:line="480" w:lineRule="auto"/>
        <w:jc w:val="both"/>
        <w:rPr>
          <w:b/>
          <w:bCs/>
          <w:color w:val="000000"/>
        </w:rPr>
      </w:pPr>
      <w:r>
        <w:rPr>
          <w:b/>
          <w:bCs/>
          <w:color w:val="000000"/>
        </w:rPr>
        <w:t xml:space="preserve">FIGURE 1,2,3 : </w:t>
      </w:r>
      <w:r w:rsidR="00016682">
        <w:rPr>
          <w:rFonts w:ascii="-webkit-standard" w:hAnsi="-webkit-standard"/>
          <w:color w:val="000000"/>
          <w:sz w:val="27"/>
          <w:szCs w:val="27"/>
        </w:rPr>
        <w:t>Bone marrow biopsy : Multiple deposits of oxalate crystals within the marrow, accompanied by a foreign body giant cell reaction and no signs of malignancy.</w:t>
      </w:r>
    </w:p>
    <w:p w14:paraId="19A0DFD3" w14:textId="77777777" w:rsidR="007903BB" w:rsidRPr="007903BB" w:rsidRDefault="007903BB" w:rsidP="007903BB">
      <w:pPr>
        <w:pStyle w:val="NormalWeb"/>
        <w:spacing w:line="480" w:lineRule="auto"/>
        <w:jc w:val="both"/>
        <w:rPr>
          <w:b/>
          <w:bCs/>
          <w:color w:val="000000"/>
        </w:rPr>
      </w:pPr>
      <w:r w:rsidRPr="007903BB">
        <w:rPr>
          <w:b/>
          <w:bCs/>
          <w:color w:val="000000"/>
        </w:rPr>
        <w:t xml:space="preserve">CONFLICTS OF INTEREST : </w:t>
      </w:r>
    </w:p>
    <w:p w14:paraId="4BB76C0E" w14:textId="77777777" w:rsidR="007903BB" w:rsidRPr="007903BB" w:rsidRDefault="007903BB" w:rsidP="007903BB">
      <w:pPr>
        <w:pStyle w:val="NormalWeb"/>
        <w:spacing w:line="480" w:lineRule="auto"/>
        <w:jc w:val="both"/>
        <w:rPr>
          <w:b/>
          <w:bCs/>
          <w:color w:val="000000"/>
        </w:rPr>
      </w:pPr>
      <w:r w:rsidRPr="007903BB">
        <w:rPr>
          <w:b/>
          <w:bCs/>
          <w:color w:val="000000"/>
        </w:rPr>
        <w:t xml:space="preserve">No conflicts of interest  </w:t>
      </w:r>
    </w:p>
    <w:p w14:paraId="56B93D16" w14:textId="77777777" w:rsidR="007903BB" w:rsidRPr="007903BB" w:rsidRDefault="007903BB" w:rsidP="007903BB">
      <w:pPr>
        <w:pStyle w:val="NormalWeb"/>
        <w:spacing w:line="480" w:lineRule="auto"/>
        <w:jc w:val="both"/>
        <w:rPr>
          <w:b/>
          <w:bCs/>
          <w:color w:val="000000"/>
        </w:rPr>
      </w:pPr>
    </w:p>
    <w:p w14:paraId="1B695354" w14:textId="77777777" w:rsidR="007903BB" w:rsidRPr="007903BB" w:rsidRDefault="007903BB" w:rsidP="007903BB">
      <w:pPr>
        <w:pStyle w:val="NormalWeb"/>
        <w:spacing w:line="480" w:lineRule="auto"/>
        <w:jc w:val="both"/>
        <w:rPr>
          <w:b/>
          <w:bCs/>
          <w:color w:val="000000"/>
        </w:rPr>
      </w:pPr>
      <w:r w:rsidRPr="007903BB">
        <w:rPr>
          <w:b/>
          <w:bCs/>
          <w:color w:val="000000"/>
        </w:rPr>
        <w:t xml:space="preserve">PATIENT CONSENT : </w:t>
      </w:r>
    </w:p>
    <w:p w14:paraId="1E41A2BE" w14:textId="32AE8B4B" w:rsidR="00033373" w:rsidRDefault="007903BB" w:rsidP="007903BB">
      <w:pPr>
        <w:pStyle w:val="NormalWeb"/>
        <w:spacing w:line="480" w:lineRule="auto"/>
        <w:jc w:val="both"/>
        <w:rPr>
          <w:b/>
          <w:bCs/>
          <w:color w:val="000000"/>
        </w:rPr>
      </w:pPr>
      <w:r w:rsidRPr="007903BB">
        <w:rPr>
          <w:b/>
          <w:bCs/>
          <w:color w:val="000000"/>
        </w:rPr>
        <w:t>The authors declare that they have obtained consent from the family of the patient discussed in the report.</w:t>
      </w:r>
    </w:p>
    <w:p w14:paraId="2A1E09E8" w14:textId="1756D3E4" w:rsidR="00033373" w:rsidRDefault="00033373" w:rsidP="00D7665C">
      <w:pPr>
        <w:pStyle w:val="NormalWeb"/>
        <w:spacing w:line="480" w:lineRule="auto"/>
        <w:jc w:val="both"/>
        <w:rPr>
          <w:b/>
          <w:bCs/>
          <w:color w:val="000000"/>
        </w:rPr>
      </w:pPr>
    </w:p>
    <w:p w14:paraId="7ED8B2CA" w14:textId="77777777" w:rsidR="00033373" w:rsidRDefault="00033373" w:rsidP="00D7665C">
      <w:pPr>
        <w:pStyle w:val="NormalWeb"/>
        <w:spacing w:line="480" w:lineRule="auto"/>
        <w:jc w:val="both"/>
        <w:rPr>
          <w:b/>
          <w:bCs/>
          <w:color w:val="000000"/>
        </w:rPr>
      </w:pPr>
    </w:p>
    <w:p w14:paraId="455F996B" w14:textId="77777777" w:rsidR="00033373" w:rsidRDefault="00033373" w:rsidP="00D7665C">
      <w:pPr>
        <w:pStyle w:val="NormalWeb"/>
        <w:spacing w:line="480" w:lineRule="auto"/>
        <w:jc w:val="both"/>
        <w:rPr>
          <w:b/>
          <w:bCs/>
          <w:color w:val="000000"/>
        </w:rPr>
      </w:pPr>
    </w:p>
    <w:p w14:paraId="7008805E" w14:textId="77777777" w:rsidR="00033373" w:rsidRDefault="00033373" w:rsidP="00D7665C">
      <w:pPr>
        <w:pStyle w:val="NormalWeb"/>
        <w:spacing w:line="480" w:lineRule="auto"/>
        <w:jc w:val="both"/>
        <w:rPr>
          <w:b/>
          <w:bCs/>
          <w:color w:val="000000"/>
        </w:rPr>
      </w:pPr>
    </w:p>
    <w:p w14:paraId="322EBCD0" w14:textId="2257621E" w:rsidR="00033373" w:rsidRDefault="00033373" w:rsidP="00D7665C">
      <w:pPr>
        <w:pStyle w:val="NormalWeb"/>
        <w:spacing w:line="480" w:lineRule="auto"/>
        <w:jc w:val="both"/>
        <w:rPr>
          <w:b/>
          <w:bCs/>
          <w:color w:val="000000"/>
        </w:rPr>
      </w:pPr>
    </w:p>
    <w:p w14:paraId="2A92B96A" w14:textId="77777777" w:rsidR="00033373" w:rsidRDefault="00033373" w:rsidP="00D7665C">
      <w:pPr>
        <w:pStyle w:val="NormalWeb"/>
        <w:spacing w:line="480" w:lineRule="auto"/>
        <w:jc w:val="both"/>
        <w:rPr>
          <w:b/>
          <w:bCs/>
          <w:color w:val="000000"/>
        </w:rPr>
      </w:pPr>
    </w:p>
    <w:p w14:paraId="20B14B08" w14:textId="77777777" w:rsidR="00A674E4" w:rsidRDefault="00A674E4" w:rsidP="00D7665C">
      <w:pPr>
        <w:pStyle w:val="NormalWeb"/>
        <w:spacing w:line="480" w:lineRule="auto"/>
        <w:jc w:val="both"/>
        <w:rPr>
          <w:b/>
          <w:bCs/>
          <w:color w:val="000000"/>
        </w:rPr>
      </w:pPr>
    </w:p>
    <w:p w14:paraId="2238305A" w14:textId="4AB519F3" w:rsidR="00033373" w:rsidRDefault="00033373" w:rsidP="00D7665C">
      <w:pPr>
        <w:pStyle w:val="NormalWeb"/>
        <w:spacing w:line="480" w:lineRule="auto"/>
        <w:jc w:val="both"/>
        <w:rPr>
          <w:b/>
          <w:bCs/>
          <w:color w:val="000000"/>
        </w:rPr>
      </w:pPr>
      <w:r>
        <w:rPr>
          <w:b/>
          <w:bCs/>
          <w:color w:val="000000"/>
        </w:rPr>
        <w:t xml:space="preserve">REFERENCES : </w:t>
      </w:r>
    </w:p>
    <w:p w14:paraId="245EB371" w14:textId="55157B5A" w:rsidR="00033373" w:rsidRPr="00873577" w:rsidRDefault="00033373" w:rsidP="00033373">
      <w:pPr>
        <w:pStyle w:val="NormalWeb"/>
        <w:numPr>
          <w:ilvl w:val="0"/>
          <w:numId w:val="1"/>
        </w:numPr>
        <w:rPr>
          <w:rFonts w:ascii="-webkit-standard" w:hAnsi="-webkit-standard"/>
          <w:color w:val="000000"/>
          <w:sz w:val="22"/>
          <w:szCs w:val="22"/>
        </w:rPr>
      </w:pPr>
      <w:r w:rsidRPr="00873577">
        <w:rPr>
          <w:rFonts w:ascii="-webkit-standard" w:hAnsi="-webkit-standard"/>
          <w:color w:val="000000"/>
          <w:sz w:val="22"/>
          <w:szCs w:val="22"/>
        </w:rPr>
        <w:t xml:space="preserve">Singh P, </w:t>
      </w:r>
      <w:proofErr w:type="spellStart"/>
      <w:r w:rsidRPr="00873577">
        <w:rPr>
          <w:rFonts w:ascii="-webkit-standard" w:hAnsi="-webkit-standard"/>
          <w:color w:val="000000"/>
          <w:sz w:val="22"/>
          <w:szCs w:val="22"/>
        </w:rPr>
        <w:t>Viehman</w:t>
      </w:r>
      <w:proofErr w:type="spellEnd"/>
      <w:r w:rsidRPr="00873577">
        <w:rPr>
          <w:rFonts w:ascii="-webkit-standard" w:hAnsi="-webkit-standard"/>
          <w:color w:val="000000"/>
          <w:sz w:val="22"/>
          <w:szCs w:val="22"/>
        </w:rPr>
        <w:t xml:space="preserve"> JK, Mehta RA, et al. Clinical characterization of primary hyperoxaluria type 3 in comparison with types 1 and 2. </w:t>
      </w:r>
      <w:proofErr w:type="spellStart"/>
      <w:r w:rsidRPr="00873577">
        <w:rPr>
          <w:rFonts w:ascii="-webkit-standard" w:hAnsi="-webkit-standard"/>
          <w:color w:val="000000"/>
          <w:sz w:val="22"/>
          <w:szCs w:val="22"/>
        </w:rPr>
        <w:t>Nephrol</w:t>
      </w:r>
      <w:proofErr w:type="spellEnd"/>
      <w:r w:rsidRPr="00873577">
        <w:rPr>
          <w:rFonts w:ascii="-webkit-standard" w:hAnsi="-webkit-standard"/>
          <w:color w:val="000000"/>
          <w:sz w:val="22"/>
          <w:szCs w:val="22"/>
        </w:rPr>
        <w:t xml:space="preserve"> Dial Transplant. 2022;37:869–875. https://doi. org/10.1093/</w:t>
      </w:r>
      <w:proofErr w:type="spellStart"/>
      <w:r w:rsidRPr="00873577">
        <w:rPr>
          <w:rFonts w:ascii="-webkit-standard" w:hAnsi="-webkit-standard"/>
          <w:color w:val="000000"/>
          <w:sz w:val="22"/>
          <w:szCs w:val="22"/>
        </w:rPr>
        <w:t>ndt</w:t>
      </w:r>
      <w:proofErr w:type="spellEnd"/>
      <w:r w:rsidRPr="00873577">
        <w:rPr>
          <w:rFonts w:ascii="-webkit-standard" w:hAnsi="-webkit-standard"/>
          <w:color w:val="000000"/>
          <w:sz w:val="22"/>
          <w:szCs w:val="22"/>
        </w:rPr>
        <w:t>/gfab027.</w:t>
      </w:r>
    </w:p>
    <w:p w14:paraId="69B32647" w14:textId="77777777" w:rsidR="00752BE9" w:rsidRPr="00873577" w:rsidRDefault="00752BE9" w:rsidP="00752BE9">
      <w:pPr>
        <w:pStyle w:val="NormalWeb"/>
        <w:numPr>
          <w:ilvl w:val="0"/>
          <w:numId w:val="1"/>
        </w:numPr>
        <w:shd w:val="clear" w:color="auto" w:fill="FFFFFF"/>
        <w:rPr>
          <w:rFonts w:ascii="-webkit-standard" w:hAnsi="-webkit-standard"/>
          <w:color w:val="000000"/>
          <w:sz w:val="22"/>
          <w:szCs w:val="22"/>
        </w:rPr>
      </w:pPr>
      <w:r w:rsidRPr="00873577">
        <w:rPr>
          <w:rFonts w:ascii="-webkit-standard" w:hAnsi="-webkit-standard"/>
          <w:color w:val="000000"/>
          <w:sz w:val="22"/>
          <w:szCs w:val="22"/>
        </w:rPr>
        <w:t xml:space="preserve">Hafsa </w:t>
      </w:r>
      <w:proofErr w:type="spellStart"/>
      <w:r w:rsidRPr="00873577">
        <w:rPr>
          <w:rFonts w:ascii="-webkit-standard" w:hAnsi="-webkit-standard"/>
          <w:color w:val="000000"/>
          <w:sz w:val="22"/>
          <w:szCs w:val="22"/>
        </w:rPr>
        <w:t>Chahdi</w:t>
      </w:r>
      <w:proofErr w:type="spellEnd"/>
      <w:r w:rsidRPr="00873577">
        <w:rPr>
          <w:rFonts w:ascii="-webkit-standard" w:hAnsi="-webkit-standard"/>
          <w:color w:val="000000"/>
          <w:sz w:val="22"/>
          <w:szCs w:val="22"/>
        </w:rPr>
        <w:t xml:space="preserve"> et al. The Pan African Medical Journal - ISSN 1937-8688 </w:t>
      </w:r>
    </w:p>
    <w:p w14:paraId="4D099A19" w14:textId="4741DE32" w:rsidR="003A28F5" w:rsidRDefault="003A28F5" w:rsidP="003A28F5">
      <w:pPr>
        <w:pStyle w:val="NormalWeb"/>
        <w:numPr>
          <w:ilvl w:val="0"/>
          <w:numId w:val="1"/>
        </w:numPr>
        <w:rPr>
          <w:rFonts w:ascii="-webkit-standard" w:hAnsi="-webkit-standard"/>
          <w:color w:val="000000"/>
          <w:sz w:val="22"/>
          <w:szCs w:val="22"/>
        </w:rPr>
      </w:pPr>
      <w:proofErr w:type="spellStart"/>
      <w:r w:rsidRPr="00873577">
        <w:rPr>
          <w:rFonts w:ascii="-webkit-standard" w:hAnsi="-webkit-standard"/>
          <w:color w:val="000000"/>
          <w:sz w:val="22"/>
          <w:szCs w:val="22"/>
        </w:rPr>
        <w:t>Groothoff</w:t>
      </w:r>
      <w:proofErr w:type="spellEnd"/>
      <w:r w:rsidRPr="00873577">
        <w:rPr>
          <w:rFonts w:ascii="-webkit-standard" w:hAnsi="-webkit-standard"/>
          <w:color w:val="000000"/>
          <w:sz w:val="22"/>
          <w:szCs w:val="22"/>
        </w:rPr>
        <w:t xml:space="preserve"> JW, </w:t>
      </w:r>
      <w:proofErr w:type="spellStart"/>
      <w:r w:rsidRPr="00873577">
        <w:rPr>
          <w:rFonts w:ascii="-webkit-standard" w:hAnsi="-webkit-standard"/>
          <w:color w:val="000000"/>
          <w:sz w:val="22"/>
          <w:szCs w:val="22"/>
        </w:rPr>
        <w:t>Metry</w:t>
      </w:r>
      <w:proofErr w:type="spellEnd"/>
      <w:r w:rsidRPr="00873577">
        <w:rPr>
          <w:rFonts w:ascii="-webkit-standard" w:hAnsi="-webkit-standard"/>
          <w:color w:val="000000"/>
          <w:sz w:val="22"/>
          <w:szCs w:val="22"/>
        </w:rPr>
        <w:t xml:space="preserve"> E, </w:t>
      </w:r>
      <w:proofErr w:type="spellStart"/>
      <w:r w:rsidRPr="00873577">
        <w:rPr>
          <w:rFonts w:ascii="-webkit-standard" w:hAnsi="-webkit-standard"/>
          <w:color w:val="000000"/>
          <w:sz w:val="22"/>
          <w:szCs w:val="22"/>
        </w:rPr>
        <w:t>Deesker</w:t>
      </w:r>
      <w:proofErr w:type="spellEnd"/>
      <w:r w:rsidRPr="00873577">
        <w:rPr>
          <w:rFonts w:ascii="-webkit-standard" w:hAnsi="-webkit-standard"/>
          <w:color w:val="000000"/>
          <w:sz w:val="22"/>
          <w:szCs w:val="22"/>
        </w:rPr>
        <w:t xml:space="preserve"> L, et al. Clinical practice rec- </w:t>
      </w:r>
      <w:proofErr w:type="spellStart"/>
      <w:r w:rsidRPr="00873577">
        <w:rPr>
          <w:rFonts w:ascii="-webkit-standard" w:hAnsi="-webkit-standard"/>
          <w:color w:val="000000"/>
          <w:sz w:val="22"/>
          <w:szCs w:val="22"/>
        </w:rPr>
        <w:t>ommendations</w:t>
      </w:r>
      <w:proofErr w:type="spellEnd"/>
      <w:r w:rsidRPr="00873577">
        <w:rPr>
          <w:rFonts w:ascii="-webkit-standard" w:hAnsi="-webkit-standard"/>
          <w:color w:val="000000"/>
          <w:sz w:val="22"/>
          <w:szCs w:val="22"/>
        </w:rPr>
        <w:t xml:space="preserve"> for primary hyperoxaluria: an expert consensus statement from </w:t>
      </w:r>
      <w:proofErr w:type="spellStart"/>
      <w:r w:rsidRPr="00873577">
        <w:rPr>
          <w:rFonts w:ascii="-webkit-standard" w:hAnsi="-webkit-standard"/>
          <w:color w:val="000000"/>
          <w:sz w:val="22"/>
          <w:szCs w:val="22"/>
        </w:rPr>
        <w:t>ERKNet</w:t>
      </w:r>
      <w:proofErr w:type="spellEnd"/>
      <w:r w:rsidRPr="00873577">
        <w:rPr>
          <w:rFonts w:ascii="-webkit-standard" w:hAnsi="-webkit-standard"/>
          <w:color w:val="000000"/>
          <w:sz w:val="22"/>
          <w:szCs w:val="22"/>
        </w:rPr>
        <w:t xml:space="preserve"> and </w:t>
      </w:r>
      <w:proofErr w:type="spellStart"/>
      <w:r w:rsidRPr="00873577">
        <w:rPr>
          <w:rFonts w:ascii="-webkit-standard" w:hAnsi="-webkit-standard"/>
          <w:color w:val="000000"/>
          <w:sz w:val="22"/>
          <w:szCs w:val="22"/>
        </w:rPr>
        <w:t>OxalEurope</w:t>
      </w:r>
      <w:proofErr w:type="spellEnd"/>
      <w:r w:rsidRPr="00873577">
        <w:rPr>
          <w:rFonts w:ascii="-webkit-standard" w:hAnsi="-webkit-standard"/>
          <w:color w:val="000000"/>
          <w:sz w:val="22"/>
          <w:szCs w:val="22"/>
        </w:rPr>
        <w:t xml:space="preserve">. Nat Rev </w:t>
      </w:r>
      <w:proofErr w:type="spellStart"/>
      <w:r w:rsidRPr="00873577">
        <w:rPr>
          <w:rFonts w:ascii="-webkit-standard" w:hAnsi="-webkit-standard"/>
          <w:color w:val="000000"/>
          <w:sz w:val="22"/>
          <w:szCs w:val="22"/>
        </w:rPr>
        <w:t>Nephrol</w:t>
      </w:r>
      <w:proofErr w:type="spellEnd"/>
      <w:r w:rsidRPr="00873577">
        <w:rPr>
          <w:rFonts w:ascii="-webkit-standard" w:hAnsi="-webkit-standard"/>
          <w:color w:val="000000"/>
          <w:sz w:val="22"/>
          <w:szCs w:val="22"/>
        </w:rPr>
        <w:t xml:space="preserve">. 2023;19:194–211. https://doi.org/10.1038/s41581-022- 00661-1 </w:t>
      </w:r>
    </w:p>
    <w:p w14:paraId="44F5F550" w14:textId="2379041E" w:rsidR="001F4C34" w:rsidRDefault="001F4C34" w:rsidP="003A28F5">
      <w:pPr>
        <w:pStyle w:val="NormalWeb"/>
        <w:numPr>
          <w:ilvl w:val="0"/>
          <w:numId w:val="1"/>
        </w:numPr>
        <w:rPr>
          <w:rFonts w:ascii="-webkit-standard" w:hAnsi="-webkit-standard"/>
          <w:color w:val="000000"/>
          <w:sz w:val="22"/>
          <w:szCs w:val="22"/>
        </w:rPr>
      </w:pPr>
      <w:proofErr w:type="spellStart"/>
      <w:r w:rsidRPr="001F4C34">
        <w:rPr>
          <w:rFonts w:ascii="-webkit-standard" w:hAnsi="-webkit-standard"/>
          <w:color w:val="000000"/>
          <w:sz w:val="22"/>
          <w:szCs w:val="22"/>
        </w:rPr>
        <w:t>Sahin</w:t>
      </w:r>
      <w:proofErr w:type="spellEnd"/>
      <w:r w:rsidRPr="001F4C34">
        <w:rPr>
          <w:rFonts w:ascii="-webkit-standard" w:hAnsi="-webkit-standard"/>
          <w:color w:val="000000"/>
          <w:sz w:val="22"/>
          <w:szCs w:val="22"/>
        </w:rPr>
        <w:t xml:space="preserve"> GA, </w:t>
      </w:r>
      <w:proofErr w:type="spellStart"/>
      <w:r w:rsidRPr="001F4C34">
        <w:rPr>
          <w:rFonts w:ascii="-webkit-standard" w:hAnsi="-webkit-standard"/>
          <w:color w:val="000000"/>
          <w:sz w:val="22"/>
          <w:szCs w:val="22"/>
        </w:rPr>
        <w:t>Acikalin</w:t>
      </w:r>
      <w:proofErr w:type="spellEnd"/>
      <w:r w:rsidRPr="001F4C34">
        <w:rPr>
          <w:rFonts w:ascii="-webkit-standard" w:hAnsi="-webkit-standard"/>
          <w:color w:val="000000"/>
          <w:sz w:val="22"/>
          <w:szCs w:val="22"/>
        </w:rPr>
        <w:t xml:space="preserve"> MF, </w:t>
      </w:r>
      <w:proofErr w:type="spellStart"/>
      <w:r w:rsidRPr="001F4C34">
        <w:rPr>
          <w:rFonts w:ascii="-webkit-standard" w:hAnsi="-webkit-standard"/>
          <w:color w:val="000000"/>
          <w:sz w:val="22"/>
          <w:szCs w:val="22"/>
        </w:rPr>
        <w:t>Yalcin</w:t>
      </w:r>
      <w:proofErr w:type="spellEnd"/>
      <w:r w:rsidRPr="001F4C34">
        <w:rPr>
          <w:rFonts w:ascii="-webkit-standard" w:hAnsi="-webkit-standard"/>
          <w:color w:val="000000"/>
          <w:sz w:val="22"/>
          <w:szCs w:val="22"/>
        </w:rPr>
        <w:t xml:space="preserve"> AU. Erythropoietin resistance as a result of oxalosis in bone marrow. Clinical nephrology. 2005 May 1;63(5).</w:t>
      </w:r>
    </w:p>
    <w:p w14:paraId="749FA745" w14:textId="027F09CA" w:rsidR="001F4C34" w:rsidRDefault="001F4C34" w:rsidP="003A28F5">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 xml:space="preserve">Bering JL, </w:t>
      </w:r>
      <w:proofErr w:type="spellStart"/>
      <w:r w:rsidRPr="001F4C34">
        <w:rPr>
          <w:rFonts w:ascii="-webkit-standard" w:hAnsi="-webkit-standard"/>
          <w:color w:val="000000"/>
          <w:sz w:val="22"/>
          <w:szCs w:val="22"/>
        </w:rPr>
        <w:t>Wiedmeier‐Nutor</w:t>
      </w:r>
      <w:proofErr w:type="spellEnd"/>
      <w:r w:rsidRPr="001F4C34">
        <w:rPr>
          <w:rFonts w:ascii="-webkit-standard" w:hAnsi="-webkit-standard"/>
          <w:color w:val="000000"/>
          <w:sz w:val="22"/>
          <w:szCs w:val="22"/>
        </w:rPr>
        <w:t xml:space="preserve"> JE, </w:t>
      </w:r>
      <w:proofErr w:type="spellStart"/>
      <w:r w:rsidRPr="001F4C34">
        <w:rPr>
          <w:rFonts w:ascii="-webkit-standard" w:hAnsi="-webkit-standard"/>
          <w:color w:val="000000"/>
          <w:sz w:val="22"/>
          <w:szCs w:val="22"/>
        </w:rPr>
        <w:t>Sproat</w:t>
      </w:r>
      <w:proofErr w:type="spellEnd"/>
      <w:r w:rsidRPr="001F4C34">
        <w:rPr>
          <w:rFonts w:ascii="-webkit-standard" w:hAnsi="-webkit-standard"/>
          <w:color w:val="000000"/>
          <w:sz w:val="22"/>
          <w:szCs w:val="22"/>
        </w:rPr>
        <w:t xml:space="preserve"> L, </w:t>
      </w:r>
      <w:proofErr w:type="spellStart"/>
      <w:r w:rsidRPr="001F4C34">
        <w:rPr>
          <w:rFonts w:ascii="-webkit-standard" w:hAnsi="-webkit-standard"/>
          <w:color w:val="000000"/>
          <w:sz w:val="22"/>
          <w:szCs w:val="22"/>
        </w:rPr>
        <w:t>DiBaise</w:t>
      </w:r>
      <w:proofErr w:type="spellEnd"/>
      <w:r w:rsidRPr="001F4C34">
        <w:rPr>
          <w:rFonts w:ascii="-webkit-standard" w:hAnsi="-webkit-standard"/>
          <w:color w:val="000000"/>
          <w:sz w:val="22"/>
          <w:szCs w:val="22"/>
        </w:rPr>
        <w:t xml:space="preserve"> JK. Bone marrow oxalosis with pancytopenia in a patient with short bowel syndrome: Report of a case and review of the literature. Journal of Parenteral and Enteral Nutrition. 2023 Jan;47(1):165-70.</w:t>
      </w:r>
    </w:p>
    <w:p w14:paraId="5EA74859" w14:textId="00D2546E" w:rsidR="001F4C34" w:rsidRDefault="001F4C34" w:rsidP="003A28F5">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 xml:space="preserve">Sharma S, Rao RN, </w:t>
      </w:r>
      <w:proofErr w:type="spellStart"/>
      <w:r w:rsidRPr="001F4C34">
        <w:rPr>
          <w:rFonts w:ascii="-webkit-standard" w:hAnsi="-webkit-standard"/>
          <w:color w:val="000000"/>
          <w:sz w:val="22"/>
          <w:szCs w:val="22"/>
        </w:rPr>
        <w:t>Pani</w:t>
      </w:r>
      <w:proofErr w:type="spellEnd"/>
      <w:r w:rsidRPr="001F4C34">
        <w:rPr>
          <w:rFonts w:ascii="-webkit-standard" w:hAnsi="-webkit-standard"/>
          <w:color w:val="000000"/>
          <w:sz w:val="22"/>
          <w:szCs w:val="22"/>
        </w:rPr>
        <w:t xml:space="preserve"> KC, Paul P. Bone marrow oxalosis: An unusual cause of cytopenia in end-stage renal disease; report of two cases. Indian Journal of Pathology and Microbiology. 2018 Apr 1;61(2):268-70.</w:t>
      </w:r>
    </w:p>
    <w:p w14:paraId="1FFDAE32" w14:textId="7D366DD1" w:rsidR="001F4C34" w:rsidRDefault="001F4C34" w:rsidP="003A28F5">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 xml:space="preserve">Tapia G, Navarro JT, Navarro M. </w:t>
      </w:r>
      <w:proofErr w:type="spellStart"/>
      <w:r w:rsidRPr="001F4C34">
        <w:rPr>
          <w:rFonts w:ascii="-webkit-standard" w:hAnsi="-webkit-standard"/>
          <w:color w:val="000000"/>
          <w:sz w:val="22"/>
          <w:szCs w:val="22"/>
        </w:rPr>
        <w:t>Leukoerythroblastic</w:t>
      </w:r>
      <w:proofErr w:type="spellEnd"/>
      <w:r w:rsidRPr="001F4C34">
        <w:rPr>
          <w:rFonts w:ascii="-webkit-standard" w:hAnsi="-webkit-standard"/>
          <w:color w:val="000000"/>
          <w:sz w:val="22"/>
          <w:szCs w:val="22"/>
        </w:rPr>
        <w:t xml:space="preserve"> anemia due to oxalosis with extensive bone marrow involvement. American journal of hematology. 2008 Jun;83(6):515-6.</w:t>
      </w:r>
    </w:p>
    <w:p w14:paraId="2C1FD314" w14:textId="6A14D7D8" w:rsidR="001F4C34" w:rsidRPr="00873577" w:rsidRDefault="001F4C34" w:rsidP="003A28F5">
      <w:pPr>
        <w:pStyle w:val="NormalWeb"/>
        <w:numPr>
          <w:ilvl w:val="0"/>
          <w:numId w:val="1"/>
        </w:numPr>
        <w:rPr>
          <w:rFonts w:ascii="-webkit-standard" w:hAnsi="-webkit-standard"/>
          <w:color w:val="000000"/>
          <w:sz w:val="22"/>
          <w:szCs w:val="22"/>
        </w:rPr>
      </w:pPr>
      <w:r w:rsidRPr="001F4C34">
        <w:rPr>
          <w:rFonts w:ascii="-webkit-standard" w:hAnsi="-webkit-standard"/>
          <w:color w:val="000000"/>
          <w:sz w:val="22"/>
          <w:szCs w:val="22"/>
        </w:rPr>
        <w:t xml:space="preserve">Breed A, Chesney R, Friedman A, Gilbert E, Langer L, </w:t>
      </w:r>
      <w:proofErr w:type="spellStart"/>
      <w:r w:rsidRPr="001F4C34">
        <w:rPr>
          <w:rFonts w:ascii="-webkit-standard" w:hAnsi="-webkit-standard"/>
          <w:color w:val="000000"/>
          <w:sz w:val="22"/>
          <w:szCs w:val="22"/>
        </w:rPr>
        <w:t>Lattoraca</w:t>
      </w:r>
      <w:proofErr w:type="spellEnd"/>
      <w:r w:rsidRPr="001F4C34">
        <w:rPr>
          <w:rFonts w:ascii="-webkit-standard" w:hAnsi="-webkit-standard"/>
          <w:color w:val="000000"/>
          <w:sz w:val="22"/>
          <w:szCs w:val="22"/>
        </w:rPr>
        <w:t xml:space="preserve"> R. Oxalosis-induced bone disease: a complication of transplantation and prolonged survival in primary hyperoxaluria. JBJS. 1981 Feb 1;63(2):310-6.</w:t>
      </w:r>
    </w:p>
    <w:p w14:paraId="00331ABB" w14:textId="77777777" w:rsidR="002A46EE" w:rsidRPr="00033373" w:rsidRDefault="002A46EE" w:rsidP="0002113F">
      <w:pPr>
        <w:pStyle w:val="NormalWeb"/>
        <w:ind w:left="720"/>
        <w:rPr>
          <w:rFonts w:ascii="-webkit-standard" w:hAnsi="-webkit-standard"/>
          <w:color w:val="000000"/>
          <w:sz w:val="27"/>
          <w:szCs w:val="27"/>
        </w:rPr>
      </w:pPr>
    </w:p>
    <w:p w14:paraId="39256118" w14:textId="77777777" w:rsidR="00E8453D" w:rsidRDefault="00E8453D"/>
    <w:p w14:paraId="36CCF4D2" w14:textId="77777777" w:rsidR="00E8453D" w:rsidRDefault="00E8453D"/>
    <w:p w14:paraId="33D91CA4" w14:textId="77777777" w:rsidR="00C63834" w:rsidRPr="00E8453D" w:rsidRDefault="00C63834">
      <w:pPr>
        <w:rPr>
          <w:rFonts w:ascii="Times New Roman" w:eastAsia="Times New Roman" w:hAnsi="Times New Roman" w:cs="Times New Roman"/>
          <w:b/>
          <w:bCs/>
          <w:color w:val="000000"/>
          <w:kern w:val="0"/>
          <w14:ligatures w14:val="none"/>
        </w:rPr>
      </w:pPr>
    </w:p>
    <w:sectPr w:rsidR="00C63834" w:rsidRPr="00E845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2FEC5" w14:textId="77777777" w:rsidR="00A63FB9" w:rsidRDefault="00A63FB9" w:rsidP="00E649C6">
      <w:pPr>
        <w:spacing w:after="0" w:line="240" w:lineRule="auto"/>
      </w:pPr>
      <w:r>
        <w:separator/>
      </w:r>
    </w:p>
  </w:endnote>
  <w:endnote w:type="continuationSeparator" w:id="0">
    <w:p w14:paraId="40196A19" w14:textId="77777777" w:rsidR="00A63FB9" w:rsidRDefault="00A63FB9" w:rsidP="00E6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4FF6" w14:textId="77777777" w:rsidR="00E649C6" w:rsidRDefault="00E64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FB3E" w14:textId="77777777" w:rsidR="00E649C6" w:rsidRDefault="00E64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5CF84" w14:textId="77777777" w:rsidR="00E649C6" w:rsidRDefault="00E64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5B11A" w14:textId="77777777" w:rsidR="00A63FB9" w:rsidRDefault="00A63FB9" w:rsidP="00E649C6">
      <w:pPr>
        <w:spacing w:after="0" w:line="240" w:lineRule="auto"/>
      </w:pPr>
      <w:r>
        <w:separator/>
      </w:r>
    </w:p>
  </w:footnote>
  <w:footnote w:type="continuationSeparator" w:id="0">
    <w:p w14:paraId="6CDBFD28" w14:textId="77777777" w:rsidR="00A63FB9" w:rsidRDefault="00A63FB9" w:rsidP="00E64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5E966" w14:textId="0ED92AAA" w:rsidR="00E649C6" w:rsidRDefault="00E649C6">
    <w:pPr>
      <w:pStyle w:val="Header"/>
    </w:pPr>
    <w:r>
      <w:rPr>
        <w:noProof/>
      </w:rPr>
      <w:pict w14:anchorId="136B1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1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808A" w14:textId="598B4CFD" w:rsidR="00E649C6" w:rsidRDefault="00E649C6">
    <w:pPr>
      <w:pStyle w:val="Header"/>
    </w:pPr>
    <w:r>
      <w:rPr>
        <w:noProof/>
      </w:rPr>
      <w:pict w14:anchorId="65250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1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E137" w14:textId="6EA1B35B" w:rsidR="00E649C6" w:rsidRDefault="00E649C6">
    <w:pPr>
      <w:pStyle w:val="Header"/>
    </w:pPr>
    <w:r>
      <w:rPr>
        <w:noProof/>
      </w:rPr>
      <w:pict w14:anchorId="05858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011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B8A"/>
    <w:multiLevelType w:val="hybridMultilevel"/>
    <w:tmpl w:val="A342C358"/>
    <w:lvl w:ilvl="0" w:tplc="FF700E16">
      <w:start w:val="8"/>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221F53"/>
    <w:multiLevelType w:val="multilevel"/>
    <w:tmpl w:val="F2DA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A486B"/>
    <w:multiLevelType w:val="hybridMultilevel"/>
    <w:tmpl w:val="E416D71E"/>
    <w:lvl w:ilvl="0" w:tplc="040C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65405C"/>
    <w:multiLevelType w:val="hybridMultilevel"/>
    <w:tmpl w:val="8B2EF0C6"/>
    <w:lvl w:ilvl="0" w:tplc="1D18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23AFB"/>
    <w:multiLevelType w:val="multilevel"/>
    <w:tmpl w:val="F4E4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DF"/>
    <w:rsid w:val="00016682"/>
    <w:rsid w:val="0002113F"/>
    <w:rsid w:val="00033373"/>
    <w:rsid w:val="00060EBB"/>
    <w:rsid w:val="00085966"/>
    <w:rsid w:val="00086425"/>
    <w:rsid w:val="00153FCC"/>
    <w:rsid w:val="001B015D"/>
    <w:rsid w:val="001C4D41"/>
    <w:rsid w:val="001F4C34"/>
    <w:rsid w:val="002633FA"/>
    <w:rsid w:val="00266062"/>
    <w:rsid w:val="002A46EE"/>
    <w:rsid w:val="002F7B0A"/>
    <w:rsid w:val="00344D42"/>
    <w:rsid w:val="0039130D"/>
    <w:rsid w:val="003A28F5"/>
    <w:rsid w:val="00427095"/>
    <w:rsid w:val="0055516A"/>
    <w:rsid w:val="006D3C10"/>
    <w:rsid w:val="00752BE9"/>
    <w:rsid w:val="00767AFB"/>
    <w:rsid w:val="00780062"/>
    <w:rsid w:val="007903BB"/>
    <w:rsid w:val="0085207C"/>
    <w:rsid w:val="00873577"/>
    <w:rsid w:val="008764BB"/>
    <w:rsid w:val="0088110B"/>
    <w:rsid w:val="00893A5A"/>
    <w:rsid w:val="008A1C58"/>
    <w:rsid w:val="008E7020"/>
    <w:rsid w:val="008F5E25"/>
    <w:rsid w:val="009940F0"/>
    <w:rsid w:val="009D443D"/>
    <w:rsid w:val="00A062D8"/>
    <w:rsid w:val="00A63FB9"/>
    <w:rsid w:val="00A674E4"/>
    <w:rsid w:val="00AB1FDF"/>
    <w:rsid w:val="00AC6D83"/>
    <w:rsid w:val="00AC7A5A"/>
    <w:rsid w:val="00B41EA9"/>
    <w:rsid w:val="00C30F75"/>
    <w:rsid w:val="00C4677E"/>
    <w:rsid w:val="00C63834"/>
    <w:rsid w:val="00C72B5E"/>
    <w:rsid w:val="00C92263"/>
    <w:rsid w:val="00D63930"/>
    <w:rsid w:val="00D7665C"/>
    <w:rsid w:val="00DC61C7"/>
    <w:rsid w:val="00DC622C"/>
    <w:rsid w:val="00DD0EF1"/>
    <w:rsid w:val="00E3523F"/>
    <w:rsid w:val="00E649C6"/>
    <w:rsid w:val="00E81E5F"/>
    <w:rsid w:val="00E8453D"/>
    <w:rsid w:val="00EB1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8C1D8F"/>
  <w15:chartTrackingRefBased/>
  <w15:docId w15:val="{4F4F74CB-B034-4D4D-B153-AF5C34E4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F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F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F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F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F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F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F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F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F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F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F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F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F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F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FDF"/>
    <w:rPr>
      <w:rFonts w:eastAsiaTheme="majorEastAsia" w:cstheme="majorBidi"/>
      <w:color w:val="272727" w:themeColor="text1" w:themeTint="D8"/>
    </w:rPr>
  </w:style>
  <w:style w:type="paragraph" w:styleId="Title">
    <w:name w:val="Title"/>
    <w:basedOn w:val="Normal"/>
    <w:next w:val="Normal"/>
    <w:link w:val="TitleChar"/>
    <w:uiPriority w:val="10"/>
    <w:qFormat/>
    <w:rsid w:val="00AB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F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F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FDF"/>
    <w:pPr>
      <w:spacing w:before="160"/>
      <w:jc w:val="center"/>
    </w:pPr>
    <w:rPr>
      <w:i/>
      <w:iCs/>
      <w:color w:val="404040" w:themeColor="text1" w:themeTint="BF"/>
    </w:rPr>
  </w:style>
  <w:style w:type="character" w:customStyle="1" w:styleId="QuoteChar">
    <w:name w:val="Quote Char"/>
    <w:basedOn w:val="DefaultParagraphFont"/>
    <w:link w:val="Quote"/>
    <w:uiPriority w:val="29"/>
    <w:rsid w:val="00AB1FDF"/>
    <w:rPr>
      <w:i/>
      <w:iCs/>
      <w:color w:val="404040" w:themeColor="text1" w:themeTint="BF"/>
    </w:rPr>
  </w:style>
  <w:style w:type="paragraph" w:styleId="ListParagraph">
    <w:name w:val="List Paragraph"/>
    <w:basedOn w:val="Normal"/>
    <w:uiPriority w:val="34"/>
    <w:qFormat/>
    <w:rsid w:val="00AB1FDF"/>
    <w:pPr>
      <w:ind w:left="720"/>
      <w:contextualSpacing/>
    </w:pPr>
  </w:style>
  <w:style w:type="character" w:styleId="IntenseEmphasis">
    <w:name w:val="Intense Emphasis"/>
    <w:basedOn w:val="DefaultParagraphFont"/>
    <w:uiPriority w:val="21"/>
    <w:qFormat/>
    <w:rsid w:val="00AB1FDF"/>
    <w:rPr>
      <w:i/>
      <w:iCs/>
      <w:color w:val="0F4761" w:themeColor="accent1" w:themeShade="BF"/>
    </w:rPr>
  </w:style>
  <w:style w:type="paragraph" w:styleId="IntenseQuote">
    <w:name w:val="Intense Quote"/>
    <w:basedOn w:val="Normal"/>
    <w:next w:val="Normal"/>
    <w:link w:val="IntenseQuoteChar"/>
    <w:uiPriority w:val="30"/>
    <w:qFormat/>
    <w:rsid w:val="00AB1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FDF"/>
    <w:rPr>
      <w:i/>
      <w:iCs/>
      <w:color w:val="0F4761" w:themeColor="accent1" w:themeShade="BF"/>
    </w:rPr>
  </w:style>
  <w:style w:type="character" w:styleId="IntenseReference">
    <w:name w:val="Intense Reference"/>
    <w:basedOn w:val="DefaultParagraphFont"/>
    <w:uiPriority w:val="32"/>
    <w:qFormat/>
    <w:rsid w:val="00AB1FDF"/>
    <w:rPr>
      <w:b/>
      <w:bCs/>
      <w:smallCaps/>
      <w:color w:val="0F4761" w:themeColor="accent1" w:themeShade="BF"/>
      <w:spacing w:val="5"/>
    </w:rPr>
  </w:style>
  <w:style w:type="paragraph" w:styleId="NormalWeb">
    <w:name w:val="Normal (Web)"/>
    <w:basedOn w:val="Normal"/>
    <w:uiPriority w:val="99"/>
    <w:semiHidden/>
    <w:unhideWhenUsed/>
    <w:rsid w:val="00AB1FD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E8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E8453D"/>
    <w:rPr>
      <w:rFonts w:ascii="Courier New" w:eastAsia="Times New Roman" w:hAnsi="Courier New" w:cs="Courier New"/>
      <w:kern w:val="0"/>
      <w:sz w:val="20"/>
      <w:szCs w:val="20"/>
      <w14:ligatures w14:val="none"/>
    </w:rPr>
  </w:style>
  <w:style w:type="character" w:customStyle="1" w:styleId="y2iqfc">
    <w:name w:val="y2iqfc"/>
    <w:basedOn w:val="DefaultParagraphFont"/>
    <w:rsid w:val="00E8453D"/>
  </w:style>
  <w:style w:type="character" w:styleId="Hyperlink">
    <w:name w:val="Hyperlink"/>
    <w:basedOn w:val="DefaultParagraphFont"/>
    <w:uiPriority w:val="99"/>
    <w:unhideWhenUsed/>
    <w:rsid w:val="00DC61C7"/>
    <w:rPr>
      <w:color w:val="467886" w:themeColor="hyperlink"/>
      <w:u w:val="single"/>
    </w:rPr>
  </w:style>
  <w:style w:type="paragraph" w:styleId="Header">
    <w:name w:val="header"/>
    <w:basedOn w:val="Normal"/>
    <w:link w:val="HeaderChar"/>
    <w:uiPriority w:val="99"/>
    <w:unhideWhenUsed/>
    <w:rsid w:val="00EB14E9"/>
    <w:pPr>
      <w:tabs>
        <w:tab w:val="center" w:pos="4536"/>
        <w:tab w:val="right" w:pos="9072"/>
      </w:tabs>
      <w:spacing w:after="0" w:line="240" w:lineRule="auto"/>
    </w:pPr>
    <w:rPr>
      <w:kern w:val="0"/>
      <w:lang w:val="fr-MA"/>
      <w14:ligatures w14:val="none"/>
    </w:rPr>
  </w:style>
  <w:style w:type="character" w:customStyle="1" w:styleId="HeaderChar">
    <w:name w:val="Header Char"/>
    <w:basedOn w:val="DefaultParagraphFont"/>
    <w:link w:val="Header"/>
    <w:uiPriority w:val="99"/>
    <w:rsid w:val="00EB14E9"/>
    <w:rPr>
      <w:kern w:val="0"/>
      <w:lang w:val="fr-MA"/>
      <w14:ligatures w14:val="none"/>
    </w:rPr>
  </w:style>
  <w:style w:type="character" w:styleId="UnresolvedMention">
    <w:name w:val="Unresolved Mention"/>
    <w:basedOn w:val="DefaultParagraphFont"/>
    <w:uiPriority w:val="99"/>
    <w:semiHidden/>
    <w:unhideWhenUsed/>
    <w:rsid w:val="00893A5A"/>
    <w:rPr>
      <w:color w:val="605E5C"/>
      <w:shd w:val="clear" w:color="auto" w:fill="E1DFDD"/>
    </w:rPr>
  </w:style>
  <w:style w:type="paragraph" w:styleId="Footer">
    <w:name w:val="footer"/>
    <w:basedOn w:val="Normal"/>
    <w:link w:val="FooterChar"/>
    <w:uiPriority w:val="99"/>
    <w:unhideWhenUsed/>
    <w:rsid w:val="00E64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64933">
      <w:bodyDiv w:val="1"/>
      <w:marLeft w:val="0"/>
      <w:marRight w:val="0"/>
      <w:marTop w:val="0"/>
      <w:marBottom w:val="0"/>
      <w:divBdr>
        <w:top w:val="none" w:sz="0" w:space="0" w:color="auto"/>
        <w:left w:val="none" w:sz="0" w:space="0" w:color="auto"/>
        <w:bottom w:val="none" w:sz="0" w:space="0" w:color="auto"/>
        <w:right w:val="none" w:sz="0" w:space="0" w:color="auto"/>
      </w:divBdr>
    </w:div>
    <w:div w:id="567299750">
      <w:bodyDiv w:val="1"/>
      <w:marLeft w:val="0"/>
      <w:marRight w:val="0"/>
      <w:marTop w:val="0"/>
      <w:marBottom w:val="0"/>
      <w:divBdr>
        <w:top w:val="none" w:sz="0" w:space="0" w:color="auto"/>
        <w:left w:val="none" w:sz="0" w:space="0" w:color="auto"/>
        <w:bottom w:val="none" w:sz="0" w:space="0" w:color="auto"/>
        <w:right w:val="none" w:sz="0" w:space="0" w:color="auto"/>
      </w:divBdr>
      <w:divsChild>
        <w:div w:id="583613321">
          <w:marLeft w:val="0"/>
          <w:marRight w:val="0"/>
          <w:marTop w:val="0"/>
          <w:marBottom w:val="0"/>
          <w:divBdr>
            <w:top w:val="none" w:sz="0" w:space="0" w:color="auto"/>
            <w:left w:val="none" w:sz="0" w:space="0" w:color="auto"/>
            <w:bottom w:val="none" w:sz="0" w:space="0" w:color="auto"/>
            <w:right w:val="none" w:sz="0" w:space="0" w:color="auto"/>
          </w:divBdr>
          <w:divsChild>
            <w:div w:id="664939344">
              <w:marLeft w:val="0"/>
              <w:marRight w:val="0"/>
              <w:marTop w:val="0"/>
              <w:marBottom w:val="0"/>
              <w:divBdr>
                <w:top w:val="none" w:sz="0" w:space="0" w:color="auto"/>
                <w:left w:val="none" w:sz="0" w:space="0" w:color="auto"/>
                <w:bottom w:val="none" w:sz="0" w:space="0" w:color="auto"/>
                <w:right w:val="none" w:sz="0" w:space="0" w:color="auto"/>
              </w:divBdr>
              <w:divsChild>
                <w:div w:id="20954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1067">
      <w:bodyDiv w:val="1"/>
      <w:marLeft w:val="0"/>
      <w:marRight w:val="0"/>
      <w:marTop w:val="0"/>
      <w:marBottom w:val="0"/>
      <w:divBdr>
        <w:top w:val="none" w:sz="0" w:space="0" w:color="auto"/>
        <w:left w:val="none" w:sz="0" w:space="0" w:color="auto"/>
        <w:bottom w:val="none" w:sz="0" w:space="0" w:color="auto"/>
        <w:right w:val="none" w:sz="0" w:space="0" w:color="auto"/>
      </w:divBdr>
      <w:divsChild>
        <w:div w:id="1835298791">
          <w:marLeft w:val="0"/>
          <w:marRight w:val="0"/>
          <w:marTop w:val="0"/>
          <w:marBottom w:val="0"/>
          <w:divBdr>
            <w:top w:val="none" w:sz="0" w:space="0" w:color="auto"/>
            <w:left w:val="none" w:sz="0" w:space="0" w:color="auto"/>
            <w:bottom w:val="none" w:sz="0" w:space="0" w:color="auto"/>
            <w:right w:val="none" w:sz="0" w:space="0" w:color="auto"/>
          </w:divBdr>
          <w:divsChild>
            <w:div w:id="428081255">
              <w:marLeft w:val="0"/>
              <w:marRight w:val="0"/>
              <w:marTop w:val="0"/>
              <w:marBottom w:val="0"/>
              <w:divBdr>
                <w:top w:val="none" w:sz="0" w:space="0" w:color="auto"/>
                <w:left w:val="none" w:sz="0" w:space="0" w:color="auto"/>
                <w:bottom w:val="none" w:sz="0" w:space="0" w:color="auto"/>
                <w:right w:val="none" w:sz="0" w:space="0" w:color="auto"/>
              </w:divBdr>
              <w:divsChild>
                <w:div w:id="18303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9702">
      <w:bodyDiv w:val="1"/>
      <w:marLeft w:val="0"/>
      <w:marRight w:val="0"/>
      <w:marTop w:val="0"/>
      <w:marBottom w:val="0"/>
      <w:divBdr>
        <w:top w:val="none" w:sz="0" w:space="0" w:color="auto"/>
        <w:left w:val="none" w:sz="0" w:space="0" w:color="auto"/>
        <w:bottom w:val="none" w:sz="0" w:space="0" w:color="auto"/>
        <w:right w:val="none" w:sz="0" w:space="0" w:color="auto"/>
      </w:divBdr>
      <w:divsChild>
        <w:div w:id="1566259993">
          <w:marLeft w:val="0"/>
          <w:marRight w:val="0"/>
          <w:marTop w:val="0"/>
          <w:marBottom w:val="0"/>
          <w:divBdr>
            <w:top w:val="none" w:sz="0" w:space="0" w:color="auto"/>
            <w:left w:val="none" w:sz="0" w:space="0" w:color="auto"/>
            <w:bottom w:val="none" w:sz="0" w:space="0" w:color="auto"/>
            <w:right w:val="none" w:sz="0" w:space="0" w:color="auto"/>
          </w:divBdr>
          <w:divsChild>
            <w:div w:id="1973749669">
              <w:marLeft w:val="0"/>
              <w:marRight w:val="0"/>
              <w:marTop w:val="0"/>
              <w:marBottom w:val="0"/>
              <w:divBdr>
                <w:top w:val="none" w:sz="0" w:space="0" w:color="auto"/>
                <w:left w:val="none" w:sz="0" w:space="0" w:color="auto"/>
                <w:bottom w:val="none" w:sz="0" w:space="0" w:color="auto"/>
                <w:right w:val="none" w:sz="0" w:space="0" w:color="auto"/>
              </w:divBdr>
              <w:divsChild>
                <w:div w:id="1697845886">
                  <w:marLeft w:val="0"/>
                  <w:marRight w:val="0"/>
                  <w:marTop w:val="0"/>
                  <w:marBottom w:val="0"/>
                  <w:divBdr>
                    <w:top w:val="none" w:sz="0" w:space="0" w:color="auto"/>
                    <w:left w:val="none" w:sz="0" w:space="0" w:color="auto"/>
                    <w:bottom w:val="none" w:sz="0" w:space="0" w:color="auto"/>
                    <w:right w:val="none" w:sz="0" w:space="0" w:color="auto"/>
                  </w:divBdr>
                  <w:divsChild>
                    <w:div w:id="6047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40580">
      <w:bodyDiv w:val="1"/>
      <w:marLeft w:val="0"/>
      <w:marRight w:val="0"/>
      <w:marTop w:val="0"/>
      <w:marBottom w:val="0"/>
      <w:divBdr>
        <w:top w:val="none" w:sz="0" w:space="0" w:color="auto"/>
        <w:left w:val="none" w:sz="0" w:space="0" w:color="auto"/>
        <w:bottom w:val="none" w:sz="0" w:space="0" w:color="auto"/>
        <w:right w:val="none" w:sz="0" w:space="0" w:color="auto"/>
      </w:divBdr>
      <w:divsChild>
        <w:div w:id="1330325268">
          <w:marLeft w:val="0"/>
          <w:marRight w:val="0"/>
          <w:marTop w:val="0"/>
          <w:marBottom w:val="0"/>
          <w:divBdr>
            <w:top w:val="none" w:sz="0" w:space="0" w:color="auto"/>
            <w:left w:val="none" w:sz="0" w:space="0" w:color="auto"/>
            <w:bottom w:val="none" w:sz="0" w:space="0" w:color="auto"/>
            <w:right w:val="none" w:sz="0" w:space="0" w:color="auto"/>
          </w:divBdr>
          <w:divsChild>
            <w:div w:id="1078360088">
              <w:marLeft w:val="0"/>
              <w:marRight w:val="0"/>
              <w:marTop w:val="0"/>
              <w:marBottom w:val="0"/>
              <w:divBdr>
                <w:top w:val="none" w:sz="0" w:space="0" w:color="auto"/>
                <w:left w:val="none" w:sz="0" w:space="0" w:color="auto"/>
                <w:bottom w:val="none" w:sz="0" w:space="0" w:color="auto"/>
                <w:right w:val="none" w:sz="0" w:space="0" w:color="auto"/>
              </w:divBdr>
              <w:divsChild>
                <w:div w:id="18895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1773">
      <w:bodyDiv w:val="1"/>
      <w:marLeft w:val="0"/>
      <w:marRight w:val="0"/>
      <w:marTop w:val="0"/>
      <w:marBottom w:val="0"/>
      <w:divBdr>
        <w:top w:val="none" w:sz="0" w:space="0" w:color="auto"/>
        <w:left w:val="none" w:sz="0" w:space="0" w:color="auto"/>
        <w:bottom w:val="none" w:sz="0" w:space="0" w:color="auto"/>
        <w:right w:val="none" w:sz="0" w:space="0" w:color="auto"/>
      </w:divBdr>
    </w:div>
    <w:div w:id="1501000398">
      <w:bodyDiv w:val="1"/>
      <w:marLeft w:val="0"/>
      <w:marRight w:val="0"/>
      <w:marTop w:val="0"/>
      <w:marBottom w:val="0"/>
      <w:divBdr>
        <w:top w:val="none" w:sz="0" w:space="0" w:color="auto"/>
        <w:left w:val="none" w:sz="0" w:space="0" w:color="auto"/>
        <w:bottom w:val="none" w:sz="0" w:space="0" w:color="auto"/>
        <w:right w:val="none" w:sz="0" w:space="0" w:color="auto"/>
      </w:divBdr>
    </w:div>
    <w:div w:id="1643003435">
      <w:bodyDiv w:val="1"/>
      <w:marLeft w:val="0"/>
      <w:marRight w:val="0"/>
      <w:marTop w:val="0"/>
      <w:marBottom w:val="0"/>
      <w:divBdr>
        <w:top w:val="none" w:sz="0" w:space="0" w:color="auto"/>
        <w:left w:val="none" w:sz="0" w:space="0" w:color="auto"/>
        <w:bottom w:val="none" w:sz="0" w:space="0" w:color="auto"/>
        <w:right w:val="none" w:sz="0" w:space="0" w:color="auto"/>
      </w:divBdr>
      <w:divsChild>
        <w:div w:id="721754183">
          <w:marLeft w:val="0"/>
          <w:marRight w:val="0"/>
          <w:marTop w:val="0"/>
          <w:marBottom w:val="0"/>
          <w:divBdr>
            <w:top w:val="none" w:sz="0" w:space="0" w:color="auto"/>
            <w:left w:val="none" w:sz="0" w:space="0" w:color="auto"/>
            <w:bottom w:val="none" w:sz="0" w:space="0" w:color="auto"/>
            <w:right w:val="none" w:sz="0" w:space="0" w:color="auto"/>
          </w:divBdr>
          <w:divsChild>
            <w:div w:id="1719164565">
              <w:marLeft w:val="0"/>
              <w:marRight w:val="0"/>
              <w:marTop w:val="0"/>
              <w:marBottom w:val="0"/>
              <w:divBdr>
                <w:top w:val="none" w:sz="0" w:space="0" w:color="auto"/>
                <w:left w:val="none" w:sz="0" w:space="0" w:color="auto"/>
                <w:bottom w:val="none" w:sz="0" w:space="0" w:color="auto"/>
                <w:right w:val="none" w:sz="0" w:space="0" w:color="auto"/>
              </w:divBdr>
              <w:divsChild>
                <w:div w:id="2119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1205">
      <w:bodyDiv w:val="1"/>
      <w:marLeft w:val="0"/>
      <w:marRight w:val="0"/>
      <w:marTop w:val="0"/>
      <w:marBottom w:val="0"/>
      <w:divBdr>
        <w:top w:val="none" w:sz="0" w:space="0" w:color="auto"/>
        <w:left w:val="none" w:sz="0" w:space="0" w:color="auto"/>
        <w:bottom w:val="none" w:sz="0" w:space="0" w:color="auto"/>
        <w:right w:val="none" w:sz="0" w:space="0" w:color="auto"/>
      </w:divBdr>
      <w:divsChild>
        <w:div w:id="706637905">
          <w:marLeft w:val="0"/>
          <w:marRight w:val="0"/>
          <w:marTop w:val="0"/>
          <w:marBottom w:val="0"/>
          <w:divBdr>
            <w:top w:val="none" w:sz="0" w:space="0" w:color="auto"/>
            <w:left w:val="none" w:sz="0" w:space="0" w:color="auto"/>
            <w:bottom w:val="none" w:sz="0" w:space="0" w:color="auto"/>
            <w:right w:val="none" w:sz="0" w:space="0" w:color="auto"/>
          </w:divBdr>
          <w:divsChild>
            <w:div w:id="1111170568">
              <w:marLeft w:val="0"/>
              <w:marRight w:val="0"/>
              <w:marTop w:val="0"/>
              <w:marBottom w:val="0"/>
              <w:divBdr>
                <w:top w:val="none" w:sz="0" w:space="0" w:color="auto"/>
                <w:left w:val="none" w:sz="0" w:space="0" w:color="auto"/>
                <w:bottom w:val="none" w:sz="0" w:space="0" w:color="auto"/>
                <w:right w:val="none" w:sz="0" w:space="0" w:color="auto"/>
              </w:divBdr>
              <w:divsChild>
                <w:div w:id="14308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Nassima MOUFID</dc:creator>
  <cp:keywords/>
  <dc:description/>
  <cp:lastModifiedBy>SDI 1084</cp:lastModifiedBy>
  <cp:revision>61</cp:revision>
  <dcterms:created xsi:type="dcterms:W3CDTF">2024-07-10T18:31:00Z</dcterms:created>
  <dcterms:modified xsi:type="dcterms:W3CDTF">2025-01-28T07:31:00Z</dcterms:modified>
</cp:coreProperties>
</file>