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2E48E" w14:textId="06A015A4" w:rsidR="0057261B" w:rsidRDefault="00F072D9" w:rsidP="001468D9">
      <w:pPr>
        <w:spacing w:after="0" w:line="360" w:lineRule="auto"/>
        <w:jc w:val="center"/>
        <w:rPr>
          <w:rFonts w:ascii="Times New Roman" w:hAnsi="Times New Roman" w:cs="Times New Roman"/>
          <w:b/>
          <w:bCs/>
          <w:sz w:val="24"/>
          <w:szCs w:val="24"/>
        </w:rPr>
      </w:pPr>
      <w:r w:rsidRPr="00AF2787">
        <w:rPr>
          <w:rFonts w:ascii="Times New Roman" w:hAnsi="Times New Roman" w:cs="Times New Roman"/>
          <w:b/>
          <w:bCs/>
          <w:sz w:val="24"/>
          <w:szCs w:val="24"/>
        </w:rPr>
        <w:t>Pattern and management of</w:t>
      </w:r>
      <w:r w:rsidR="0057261B" w:rsidRPr="00AF2787">
        <w:rPr>
          <w:rFonts w:ascii="Times New Roman" w:hAnsi="Times New Roman" w:cs="Times New Roman"/>
          <w:b/>
          <w:bCs/>
          <w:sz w:val="24"/>
          <w:szCs w:val="24"/>
        </w:rPr>
        <w:t xml:space="preserve"> Peripheral ulcerative keratitis (PUK)</w:t>
      </w:r>
      <w:r w:rsidRPr="00AF2787">
        <w:rPr>
          <w:rFonts w:ascii="Times New Roman" w:hAnsi="Times New Roman" w:cs="Times New Roman"/>
          <w:b/>
          <w:bCs/>
          <w:sz w:val="24"/>
          <w:szCs w:val="24"/>
        </w:rPr>
        <w:t xml:space="preserve"> in Bangladeshi patients</w:t>
      </w:r>
    </w:p>
    <w:p w14:paraId="20C8E174" w14:textId="4CD43255" w:rsidR="00402F5F" w:rsidRDefault="00402F5F" w:rsidP="00402F5F">
      <w:pPr>
        <w:spacing w:after="0" w:line="360" w:lineRule="auto"/>
        <w:rPr>
          <w:rFonts w:ascii="Times New Roman" w:hAnsi="Times New Roman" w:cs="Times New Roman"/>
          <w:sz w:val="24"/>
          <w:szCs w:val="24"/>
        </w:rPr>
      </w:pPr>
    </w:p>
    <w:p w14:paraId="039BBAE1" w14:textId="77777777" w:rsidR="00475079" w:rsidRPr="00402F5F" w:rsidRDefault="00475079" w:rsidP="00402F5F">
      <w:pPr>
        <w:spacing w:after="0" w:line="360" w:lineRule="auto"/>
        <w:rPr>
          <w:rFonts w:ascii="Times New Roman" w:hAnsi="Times New Roman" w:cs="Times New Roman"/>
          <w:sz w:val="24"/>
          <w:szCs w:val="24"/>
        </w:rPr>
      </w:pPr>
      <w:bookmarkStart w:id="0" w:name="_GoBack"/>
      <w:bookmarkEnd w:id="0"/>
    </w:p>
    <w:p w14:paraId="117F5F38" w14:textId="5E4D3916" w:rsidR="00CB0F88" w:rsidRPr="00AF2787" w:rsidRDefault="00715E0C" w:rsidP="00AF2787">
      <w:pPr>
        <w:spacing w:after="0" w:line="360" w:lineRule="auto"/>
        <w:jc w:val="both"/>
        <w:rPr>
          <w:rFonts w:ascii="Times New Roman" w:hAnsi="Times New Roman" w:cs="Times New Roman"/>
          <w:b/>
          <w:sz w:val="24"/>
          <w:szCs w:val="24"/>
        </w:rPr>
      </w:pPr>
      <w:bookmarkStart w:id="1" w:name="_Hlk34200439"/>
      <w:r w:rsidRPr="00AF2787">
        <w:rPr>
          <w:rFonts w:ascii="Times New Roman" w:hAnsi="Times New Roman" w:cs="Times New Roman"/>
          <w:b/>
          <w:sz w:val="24"/>
          <w:szCs w:val="24"/>
        </w:rPr>
        <w:t>Abstract:</w:t>
      </w:r>
    </w:p>
    <w:p w14:paraId="7F7C06E8" w14:textId="77777777" w:rsidR="00DD43C4" w:rsidRDefault="005676ED" w:rsidP="00DD43C4">
      <w:pPr>
        <w:pStyle w:val="NormalWeb"/>
        <w:spacing w:line="360" w:lineRule="auto"/>
        <w:jc w:val="both"/>
      </w:pPr>
      <w:r w:rsidRPr="00AF2787">
        <w:rPr>
          <w:b/>
        </w:rPr>
        <w:t>Background:</w:t>
      </w:r>
      <w:r w:rsidRPr="00AF2787">
        <w:t xml:space="preserve"> </w:t>
      </w:r>
      <w:r w:rsidR="00BF2E01" w:rsidRPr="00BF2E01">
        <w:t xml:space="preserve">Peripheral Ulcerative Keratitis (PUK) is a severe, vision-threatening condition characterized by progressive corneal thinning, ulceration, and inflammation. In Bangladesh, PUK is commonly associated with infections, autoimmune disorders, and </w:t>
      </w:r>
      <w:proofErr w:type="spellStart"/>
      <w:r w:rsidR="00BF2E01" w:rsidRPr="00BF2E01">
        <w:t>Mooren’s</w:t>
      </w:r>
      <w:proofErr w:type="spellEnd"/>
      <w:r w:rsidR="00BF2E01" w:rsidRPr="00BF2E01">
        <w:t xml:space="preserve"> ulcer, with microbial infections being the leading cause. Limited access to specialized ophthalmic care often results in delayed diagnosis and treatment, increasing the risk of complications. Management strategies include medical therapy with antibiotics, corticosteroids, and immunosuppressants, while severe cases require surgical intervention. Understanding the pattern and treatment outcomes of PUK in Bangladeshi patients is crucial for improving early detection, optimizing management strategies, and reducing the burden of vision loss.</w:t>
      </w:r>
    </w:p>
    <w:p w14:paraId="0A79B738" w14:textId="232C8F23" w:rsidR="00715E0C" w:rsidRPr="00AF2787" w:rsidRDefault="00715E0C" w:rsidP="00DD43C4">
      <w:pPr>
        <w:pStyle w:val="NormalWeb"/>
        <w:spacing w:line="360" w:lineRule="auto"/>
        <w:jc w:val="both"/>
      </w:pPr>
      <w:r w:rsidRPr="00AF2787">
        <w:rPr>
          <w:b/>
          <w:bCs/>
        </w:rPr>
        <w:t>Objective:</w:t>
      </w:r>
      <w:r w:rsidRPr="00AF2787">
        <w:t xml:space="preserve"> In this study our main goal is to evaluate the</w:t>
      </w:r>
      <w:r w:rsidR="00F072D9" w:rsidRPr="00AF2787">
        <w:t xml:space="preserve"> pattern </w:t>
      </w:r>
      <w:r w:rsidR="00F66208" w:rsidRPr="00AF2787">
        <w:t>and management</w:t>
      </w:r>
      <w:r w:rsidR="00D950A7" w:rsidRPr="00AF2787">
        <w:t xml:space="preserve"> of </w:t>
      </w:r>
      <w:r w:rsidR="00F072D9" w:rsidRPr="00AF2787">
        <w:t>p</w:t>
      </w:r>
      <w:r w:rsidRPr="00AF2787">
        <w:t xml:space="preserve">eripheral ulcerative keratitis (PUK)in </w:t>
      </w:r>
      <w:r w:rsidR="00F072D9" w:rsidRPr="00AF2787">
        <w:t xml:space="preserve">Bangladeshi patients. </w:t>
      </w:r>
    </w:p>
    <w:p w14:paraId="7A76869A" w14:textId="0953427F" w:rsidR="00715E0C" w:rsidRPr="00AF2787" w:rsidRDefault="00715E0C"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Method:</w:t>
      </w:r>
      <w:r w:rsidRPr="00AF2787">
        <w:rPr>
          <w:rFonts w:ascii="Times New Roman" w:hAnsi="Times New Roman" w:cs="Times New Roman"/>
          <w:sz w:val="24"/>
          <w:szCs w:val="24"/>
        </w:rPr>
        <w:t xml:space="preserve"> This observational study was done in the </w:t>
      </w:r>
      <w:r w:rsidR="005676ED" w:rsidRPr="00AF2787">
        <w:rPr>
          <w:rFonts w:ascii="Times New Roman" w:hAnsi="Times New Roman" w:cs="Times New Roman"/>
          <w:bCs/>
          <w:sz w:val="24"/>
          <w:szCs w:val="24"/>
        </w:rPr>
        <w:t xml:space="preserve">Tertiary </w:t>
      </w:r>
      <w:r w:rsidR="00F53DC0" w:rsidRPr="00AF2787">
        <w:rPr>
          <w:rFonts w:ascii="Times New Roman" w:hAnsi="Times New Roman" w:cs="Times New Roman"/>
          <w:sz w:val="24"/>
          <w:szCs w:val="24"/>
        </w:rPr>
        <w:t>Hospital</w:t>
      </w:r>
      <w:r w:rsidRPr="00AF2787">
        <w:rPr>
          <w:rFonts w:ascii="Times New Roman" w:hAnsi="Times New Roman" w:cs="Times New Roman"/>
          <w:bCs/>
          <w:sz w:val="24"/>
          <w:szCs w:val="24"/>
        </w:rPr>
        <w:t xml:space="preserve"> from </w:t>
      </w:r>
      <w:r w:rsidR="00F66208" w:rsidRPr="00AF2787">
        <w:rPr>
          <w:rFonts w:ascii="Times New Roman" w:hAnsi="Times New Roman" w:cs="Times New Roman"/>
          <w:bCs/>
          <w:sz w:val="24"/>
          <w:szCs w:val="24"/>
        </w:rPr>
        <w:t>January 2</w:t>
      </w:r>
      <w:r w:rsidR="005676ED" w:rsidRPr="00AF2787">
        <w:rPr>
          <w:rFonts w:ascii="Times New Roman" w:hAnsi="Times New Roman" w:cs="Times New Roman"/>
          <w:bCs/>
          <w:sz w:val="24"/>
          <w:szCs w:val="24"/>
        </w:rPr>
        <w:t>022</w:t>
      </w:r>
      <w:r w:rsidR="00F66208" w:rsidRPr="00AF2787">
        <w:rPr>
          <w:rFonts w:ascii="Times New Roman" w:hAnsi="Times New Roman" w:cs="Times New Roman"/>
          <w:bCs/>
          <w:sz w:val="24"/>
          <w:szCs w:val="24"/>
        </w:rPr>
        <w:t xml:space="preserve"> to January 20</w:t>
      </w:r>
      <w:r w:rsidR="005676ED" w:rsidRPr="00AF2787">
        <w:rPr>
          <w:rFonts w:ascii="Times New Roman" w:hAnsi="Times New Roman" w:cs="Times New Roman"/>
          <w:bCs/>
          <w:sz w:val="24"/>
          <w:szCs w:val="24"/>
        </w:rPr>
        <w:t>23</w:t>
      </w:r>
      <w:r w:rsidRPr="00AF2787">
        <w:rPr>
          <w:rFonts w:ascii="Times New Roman" w:hAnsi="Times New Roman" w:cs="Times New Roman"/>
          <w:sz w:val="24"/>
          <w:szCs w:val="24"/>
        </w:rPr>
        <w:t>. A total of 1</w:t>
      </w:r>
      <w:r w:rsidR="00F66208" w:rsidRPr="00AF2787">
        <w:rPr>
          <w:rFonts w:ascii="Times New Roman" w:hAnsi="Times New Roman" w:cs="Times New Roman"/>
          <w:sz w:val="24"/>
          <w:szCs w:val="24"/>
        </w:rPr>
        <w:t>50</w:t>
      </w:r>
      <w:r w:rsidRPr="00AF2787">
        <w:rPr>
          <w:rFonts w:ascii="Times New Roman" w:hAnsi="Times New Roman" w:cs="Times New Roman"/>
          <w:sz w:val="24"/>
          <w:szCs w:val="24"/>
        </w:rPr>
        <w:t xml:space="preserve"> consecutive patients were included. The diagnosis PUK was made on the basis of presence of crescent-shaped destructive inflammation within at least 2 mm of limbus associated with epithelial defect, stromal inflammatory cells and possibly stromal degradation.</w:t>
      </w:r>
    </w:p>
    <w:p w14:paraId="3016C90B" w14:textId="5CA7399E" w:rsidR="00715E0C" w:rsidRPr="00DD43C4" w:rsidRDefault="00715E0C"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Result</w:t>
      </w:r>
      <w:r w:rsidR="00DD43C4" w:rsidRPr="00DD43C4">
        <w:t xml:space="preserve"> </w:t>
      </w:r>
      <w:r w:rsidR="00DD43C4" w:rsidRPr="00DD43C4">
        <w:rPr>
          <w:rFonts w:ascii="Times New Roman" w:hAnsi="Times New Roman" w:cs="Times New Roman"/>
          <w:bCs/>
          <w:sz w:val="24"/>
          <w:szCs w:val="24"/>
        </w:rPr>
        <w:t xml:space="preserve">The study found that PUK was more prevalent among males (60%) and most common in the 50–60 age group (35%). The leading cause was microbiological infection (39%), followed by </w:t>
      </w:r>
      <w:proofErr w:type="spellStart"/>
      <w:r w:rsidR="00DD43C4" w:rsidRPr="00DD43C4">
        <w:rPr>
          <w:rFonts w:ascii="Times New Roman" w:hAnsi="Times New Roman" w:cs="Times New Roman"/>
          <w:bCs/>
          <w:sz w:val="24"/>
          <w:szCs w:val="24"/>
        </w:rPr>
        <w:t>Mooren’s</w:t>
      </w:r>
      <w:proofErr w:type="spellEnd"/>
      <w:r w:rsidR="00DD43C4" w:rsidRPr="00DD43C4">
        <w:rPr>
          <w:rFonts w:ascii="Times New Roman" w:hAnsi="Times New Roman" w:cs="Times New Roman"/>
          <w:bCs/>
          <w:sz w:val="24"/>
          <w:szCs w:val="24"/>
        </w:rPr>
        <w:t xml:space="preserve"> ulcer (32%) and systemic collagen vascular disease (29%). The most frequent symptoms were foreign body sensation (39%) and blurred vision (37%). Visual acuity assessment showed variable improvement post-treatment, with some patients experiencing deterioration, particularly in severe cases. Healing time and medical treatment failure rates increased with disease severity, with 46% of severe cases requiring surgery. While surgical intervention significantly improved BCVA, medical treatment alone showed limited efficacy in advanced cases.</w:t>
      </w:r>
    </w:p>
    <w:p w14:paraId="360AFBB1" w14:textId="77777777" w:rsidR="00B802D5" w:rsidRDefault="00715E0C"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Conclusion:</w:t>
      </w:r>
      <w:bookmarkStart w:id="2" w:name="_Hlk20865720"/>
      <w:r w:rsidRPr="00AF2787">
        <w:rPr>
          <w:rFonts w:ascii="Times New Roman" w:hAnsi="Times New Roman" w:cs="Times New Roman"/>
          <w:sz w:val="24"/>
          <w:szCs w:val="24"/>
        </w:rPr>
        <w:t xml:space="preserve"> </w:t>
      </w:r>
      <w:bookmarkEnd w:id="2"/>
      <w:r w:rsidR="00B802D5" w:rsidRPr="00B802D5">
        <w:rPr>
          <w:rFonts w:ascii="Times New Roman" w:hAnsi="Times New Roman" w:cs="Times New Roman"/>
          <w:sz w:val="24"/>
          <w:szCs w:val="24"/>
        </w:rPr>
        <w:t xml:space="preserve">In conclusion, this study offers valuable insights into the demographic profile, clinical presentation, and management of peripheral ulcerative keratitis (PUK) among </w:t>
      </w:r>
      <w:r w:rsidR="00B802D5" w:rsidRPr="00B802D5">
        <w:rPr>
          <w:rFonts w:ascii="Times New Roman" w:hAnsi="Times New Roman" w:cs="Times New Roman"/>
          <w:sz w:val="24"/>
          <w:szCs w:val="24"/>
        </w:rPr>
        <w:lastRenderedPageBreak/>
        <w:t xml:space="preserve">Bangladeshi patients. The findings indicate that PUK predominantly affects middle-aged individuals, particularly those in the 50–60 age group, with a higher prevalence in males. Visual impairment is more pronounced in severe cases, highlighting the importance of early diagnosis and timely intervention. The study also reveals a range of etiological factors, with microbiological infections, </w:t>
      </w:r>
      <w:proofErr w:type="spellStart"/>
      <w:r w:rsidR="00B802D5" w:rsidRPr="00B802D5">
        <w:rPr>
          <w:rFonts w:ascii="Times New Roman" w:hAnsi="Times New Roman" w:cs="Times New Roman"/>
          <w:sz w:val="24"/>
          <w:szCs w:val="24"/>
        </w:rPr>
        <w:t>Mooren’s</w:t>
      </w:r>
      <w:proofErr w:type="spellEnd"/>
      <w:r w:rsidR="00B802D5" w:rsidRPr="00B802D5">
        <w:rPr>
          <w:rFonts w:ascii="Times New Roman" w:hAnsi="Times New Roman" w:cs="Times New Roman"/>
          <w:sz w:val="24"/>
          <w:szCs w:val="24"/>
        </w:rPr>
        <w:t xml:space="preserve"> ulcer, and systemic collagen vascular diseases being the most common causes. While medical treatment proved effective for mild to moderate cases, severe cases showed prolonged healing times, and surgical management led to significant visual improvement, especially after medical treatment failure. Overall, these results emphasize the need for a comprehensive, multidisciplinary approach to managing PUK, with surgical intervention playing a critical role in improving visual outcomes in severe cases.</w:t>
      </w:r>
    </w:p>
    <w:p w14:paraId="1A10D0EA" w14:textId="5568F1A4" w:rsidR="00715E0C" w:rsidRPr="00AF2787" w:rsidRDefault="00715E0C"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Keyword:</w:t>
      </w:r>
      <w:r w:rsidRPr="00AF2787">
        <w:rPr>
          <w:rFonts w:ascii="Times New Roman" w:hAnsi="Times New Roman" w:cs="Times New Roman"/>
          <w:sz w:val="24"/>
          <w:szCs w:val="24"/>
        </w:rPr>
        <w:t xml:space="preserve"> </w:t>
      </w:r>
      <w:r w:rsidR="004D3D3A" w:rsidRPr="00AF2787">
        <w:rPr>
          <w:rFonts w:ascii="Times New Roman" w:hAnsi="Times New Roman" w:cs="Times New Roman"/>
          <w:sz w:val="24"/>
          <w:szCs w:val="24"/>
        </w:rPr>
        <w:t xml:space="preserve">Peripheral ulcerative keratitis (PUK), crescent-shaped destructive inflammation, ocular and systemic pattern. </w:t>
      </w:r>
    </w:p>
    <w:bookmarkEnd w:id="1"/>
    <w:p w14:paraId="5C18C49C" w14:textId="1F2D2D8A" w:rsidR="00715E0C" w:rsidRPr="00AF2787" w:rsidRDefault="00715E0C" w:rsidP="00AF2787">
      <w:pPr>
        <w:spacing w:after="0" w:line="360" w:lineRule="auto"/>
        <w:jc w:val="both"/>
        <w:rPr>
          <w:rFonts w:ascii="Times New Roman" w:hAnsi="Times New Roman" w:cs="Times New Roman"/>
          <w:sz w:val="24"/>
          <w:szCs w:val="24"/>
        </w:rPr>
      </w:pPr>
    </w:p>
    <w:p w14:paraId="2338C314" w14:textId="09AF88F2" w:rsidR="0057261B" w:rsidRPr="00AF2787" w:rsidRDefault="0057261B" w:rsidP="00AF2787">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Introduction</w:t>
      </w:r>
    </w:p>
    <w:p w14:paraId="3331D00D" w14:textId="77777777" w:rsidR="00DD43C4" w:rsidRPr="00DD43C4" w:rsidRDefault="00DD43C4" w:rsidP="00DD43C4">
      <w:pPr>
        <w:spacing w:after="0" w:line="360" w:lineRule="auto"/>
        <w:jc w:val="both"/>
        <w:rPr>
          <w:rFonts w:ascii="Times New Roman" w:hAnsi="Times New Roman" w:cs="Times New Roman"/>
          <w:sz w:val="24"/>
          <w:szCs w:val="24"/>
        </w:rPr>
      </w:pPr>
    </w:p>
    <w:p w14:paraId="1907475C" w14:textId="382542D2" w:rsidR="00DD43C4" w:rsidRPr="00DD43C4" w:rsidRDefault="00DD43C4" w:rsidP="00DD43C4">
      <w:pPr>
        <w:spacing w:after="0" w:line="360" w:lineRule="auto"/>
        <w:jc w:val="both"/>
        <w:rPr>
          <w:rFonts w:ascii="Times New Roman" w:hAnsi="Times New Roman" w:cs="Times New Roman"/>
          <w:sz w:val="24"/>
          <w:szCs w:val="24"/>
        </w:rPr>
      </w:pPr>
      <w:r w:rsidRPr="00DD43C4">
        <w:rPr>
          <w:rFonts w:ascii="Times New Roman" w:hAnsi="Times New Roman" w:cs="Times New Roman"/>
          <w:sz w:val="24"/>
          <w:szCs w:val="24"/>
        </w:rPr>
        <w:t>Peripheral Ulcerative Keratitis (PUK) is a serious inflammatory condition of the cornea characterized by progressive stromal thinning, epithelial loss, and an overlying immune-mediated or infectious process.</w:t>
      </w:r>
      <w:r>
        <w:rPr>
          <w:rFonts w:ascii="Times New Roman" w:hAnsi="Times New Roman" w:cs="Times New Roman"/>
          <w:sz w:val="24"/>
          <w:szCs w:val="24"/>
        </w:rPr>
        <w:t xml:space="preserve"> </w:t>
      </w:r>
      <w:r w:rsidRPr="00DD43C4">
        <w:rPr>
          <w:rFonts w:ascii="Times New Roman" w:hAnsi="Times New Roman" w:cs="Times New Roman"/>
          <w:sz w:val="24"/>
          <w:szCs w:val="24"/>
          <w:vertAlign w:val="superscript"/>
        </w:rPr>
        <w:t>1-</w:t>
      </w:r>
      <w:proofErr w:type="gramStart"/>
      <w:r w:rsidRPr="00DD43C4">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DD43C4">
        <w:rPr>
          <w:rFonts w:ascii="Times New Roman" w:hAnsi="Times New Roman" w:cs="Times New Roman"/>
          <w:sz w:val="24"/>
          <w:szCs w:val="24"/>
        </w:rPr>
        <w:t xml:space="preserve"> It</w:t>
      </w:r>
      <w:proofErr w:type="gramEnd"/>
      <w:r w:rsidRPr="00DD43C4">
        <w:rPr>
          <w:rFonts w:ascii="Times New Roman" w:hAnsi="Times New Roman" w:cs="Times New Roman"/>
          <w:sz w:val="24"/>
          <w:szCs w:val="24"/>
        </w:rPr>
        <w:t xml:space="preserve"> often occurs in association with systemic autoimmune diseases such as rheumatoid arthritis, systemic lupus erythematosus, and Wegener’s granulomatosis. PUK can also result from infectious causes, including bacterial, viral, fungal, and parasitic pathogens. </w:t>
      </w:r>
      <w:r w:rsidRPr="00DD43C4">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DD43C4">
        <w:rPr>
          <w:rFonts w:ascii="Times New Roman" w:hAnsi="Times New Roman" w:cs="Times New Roman"/>
          <w:sz w:val="24"/>
          <w:szCs w:val="24"/>
        </w:rPr>
        <w:t xml:space="preserve">If left untreated, it can lead to corneal perforation, severe visual impairment, or even blindness. Despite its global prevalence, regional variations in etiology, clinical presentation, and management outcomes make it essential to study the disease in specific populations, including Bangladesh.  </w:t>
      </w:r>
    </w:p>
    <w:p w14:paraId="47495695" w14:textId="77777777" w:rsidR="00DD43C4" w:rsidRPr="00DD43C4" w:rsidRDefault="00DD43C4" w:rsidP="00DD43C4">
      <w:pPr>
        <w:spacing w:after="0" w:line="360" w:lineRule="auto"/>
        <w:jc w:val="both"/>
        <w:rPr>
          <w:rFonts w:ascii="Times New Roman" w:hAnsi="Times New Roman" w:cs="Times New Roman"/>
          <w:sz w:val="24"/>
          <w:szCs w:val="24"/>
        </w:rPr>
      </w:pPr>
    </w:p>
    <w:p w14:paraId="638B7AE0" w14:textId="77777777" w:rsidR="00DD43C4" w:rsidRPr="00DD43C4" w:rsidRDefault="00DD43C4" w:rsidP="00DD43C4">
      <w:pPr>
        <w:spacing w:after="0" w:line="360" w:lineRule="auto"/>
        <w:jc w:val="both"/>
        <w:rPr>
          <w:rFonts w:ascii="Times New Roman" w:hAnsi="Times New Roman" w:cs="Times New Roman"/>
          <w:sz w:val="24"/>
          <w:szCs w:val="24"/>
        </w:rPr>
      </w:pPr>
      <w:r w:rsidRPr="00DD43C4">
        <w:rPr>
          <w:rFonts w:ascii="Times New Roman" w:hAnsi="Times New Roman" w:cs="Times New Roman"/>
          <w:sz w:val="24"/>
          <w:szCs w:val="24"/>
        </w:rPr>
        <w:t xml:space="preserve">In Bangladesh, where ocular infections and autoimmune diseases remain significant public health concerns, PUK is a major cause of vision-threatening complications. Socioeconomic factors, limited access to specialized ophthalmic care, and delays in diagnosis contribute to poor outcomes in many patients. Additionally, environmental and occupational exposures, such as air pollution, prolonged sunlight exposure, and unhygienic practices, may increase the risk of corneal infections and inflammation in this region. However, data on the pattern, risk factors, and treatment outcomes of PUK among Bangladeshi patients remain limited, necessitating further investigation.  </w:t>
      </w:r>
    </w:p>
    <w:p w14:paraId="78F5E107" w14:textId="77777777" w:rsidR="00DD43C4" w:rsidRPr="00DD43C4" w:rsidRDefault="00DD43C4" w:rsidP="00DD43C4">
      <w:pPr>
        <w:spacing w:after="0" w:line="360" w:lineRule="auto"/>
        <w:jc w:val="both"/>
        <w:rPr>
          <w:rFonts w:ascii="Times New Roman" w:hAnsi="Times New Roman" w:cs="Times New Roman"/>
          <w:sz w:val="24"/>
          <w:szCs w:val="24"/>
        </w:rPr>
      </w:pPr>
    </w:p>
    <w:p w14:paraId="0BC6BAD7" w14:textId="4212FF89" w:rsidR="00DD43C4" w:rsidRPr="00DD43C4" w:rsidRDefault="00DD43C4" w:rsidP="00DD43C4">
      <w:pPr>
        <w:spacing w:after="0" w:line="360" w:lineRule="auto"/>
        <w:jc w:val="both"/>
        <w:rPr>
          <w:rFonts w:ascii="Times New Roman" w:hAnsi="Times New Roman" w:cs="Times New Roman"/>
          <w:sz w:val="24"/>
          <w:szCs w:val="24"/>
        </w:rPr>
      </w:pPr>
      <w:r w:rsidRPr="00DD43C4">
        <w:rPr>
          <w:rFonts w:ascii="Times New Roman" w:hAnsi="Times New Roman" w:cs="Times New Roman"/>
          <w:sz w:val="24"/>
          <w:szCs w:val="24"/>
        </w:rPr>
        <w:lastRenderedPageBreak/>
        <w:t>Management of PUK requires a multifaceted approach, including aggressive medical therapy, surgical intervention in severe cases, and treatment of any underlying systemic conditions. Corticosteroids, immunosuppressive agents, and antibiotics are commonly used to control inflammation and infection, while surgical procedures like corneal transplantation or amniotic membrane grafting may be required in advanced cases.</w:t>
      </w:r>
      <w:r>
        <w:rPr>
          <w:rFonts w:ascii="Times New Roman" w:hAnsi="Times New Roman" w:cs="Times New Roman"/>
          <w:sz w:val="24"/>
          <w:szCs w:val="24"/>
        </w:rPr>
        <w:t xml:space="preserve"> </w:t>
      </w:r>
      <w:r w:rsidRPr="00DD43C4">
        <w:rPr>
          <w:rFonts w:ascii="Times New Roman" w:hAnsi="Times New Roman" w:cs="Times New Roman"/>
          <w:sz w:val="24"/>
          <w:szCs w:val="24"/>
          <w:vertAlign w:val="superscript"/>
        </w:rPr>
        <w:t>6-9</w:t>
      </w:r>
      <w:r>
        <w:rPr>
          <w:rFonts w:ascii="Times New Roman" w:hAnsi="Times New Roman" w:cs="Times New Roman"/>
          <w:sz w:val="24"/>
          <w:szCs w:val="24"/>
        </w:rPr>
        <w:t xml:space="preserve"> </w:t>
      </w:r>
      <w:r w:rsidRPr="00DD43C4">
        <w:rPr>
          <w:rFonts w:ascii="Times New Roman" w:hAnsi="Times New Roman" w:cs="Times New Roman"/>
          <w:sz w:val="24"/>
          <w:szCs w:val="24"/>
        </w:rPr>
        <w:t xml:space="preserve">However, the choice of treatment often depends on disease severity, access to healthcare, and patient compliance, which vary significantly across different populations. Understanding the effectiveness of various management strategies in Bangladeshi patients is crucial for optimizing treatment protocols and improving patient outcomes.  </w:t>
      </w:r>
    </w:p>
    <w:p w14:paraId="61FA6FCB" w14:textId="77777777" w:rsidR="00DD43C4" w:rsidRPr="00DD43C4" w:rsidRDefault="00DD43C4" w:rsidP="00DD43C4">
      <w:pPr>
        <w:spacing w:after="0" w:line="360" w:lineRule="auto"/>
        <w:jc w:val="both"/>
        <w:rPr>
          <w:rFonts w:ascii="Times New Roman" w:hAnsi="Times New Roman" w:cs="Times New Roman"/>
          <w:sz w:val="24"/>
          <w:szCs w:val="24"/>
        </w:rPr>
      </w:pPr>
    </w:p>
    <w:p w14:paraId="5F9FA698" w14:textId="4EF1F1E1" w:rsidR="00DD43C4" w:rsidRPr="00DD43C4" w:rsidRDefault="00DD43C4" w:rsidP="00DD43C4">
      <w:pPr>
        <w:spacing w:after="0" w:line="360" w:lineRule="auto"/>
        <w:jc w:val="both"/>
        <w:rPr>
          <w:rFonts w:ascii="Times New Roman" w:hAnsi="Times New Roman" w:cs="Times New Roman"/>
          <w:sz w:val="24"/>
          <w:szCs w:val="24"/>
        </w:rPr>
      </w:pPr>
      <w:r w:rsidRPr="00DD43C4">
        <w:rPr>
          <w:rFonts w:ascii="Times New Roman" w:hAnsi="Times New Roman" w:cs="Times New Roman"/>
          <w:sz w:val="24"/>
          <w:szCs w:val="24"/>
        </w:rPr>
        <w:t>The prognosis of PUK largely depends on early diagnosis and appropriate intervention. Studies from other countries have demonstrated that a combination of medical and surgical management can significantly improve visual outcomes and reduce disease recurrence.</w:t>
      </w:r>
      <w:r>
        <w:rPr>
          <w:rFonts w:ascii="Times New Roman" w:hAnsi="Times New Roman" w:cs="Times New Roman"/>
          <w:sz w:val="24"/>
          <w:szCs w:val="24"/>
        </w:rPr>
        <w:t xml:space="preserve"> </w:t>
      </w:r>
      <w:r w:rsidRPr="00DD43C4">
        <w:rPr>
          <w:rFonts w:ascii="Times New Roman" w:hAnsi="Times New Roman" w:cs="Times New Roman"/>
          <w:sz w:val="24"/>
          <w:szCs w:val="24"/>
          <w:vertAlign w:val="superscript"/>
        </w:rPr>
        <w:t>10</w:t>
      </w:r>
      <w:r w:rsidRPr="00DD43C4">
        <w:rPr>
          <w:rFonts w:ascii="Times New Roman" w:hAnsi="Times New Roman" w:cs="Times New Roman"/>
          <w:sz w:val="24"/>
          <w:szCs w:val="24"/>
        </w:rPr>
        <w:t xml:space="preserve"> However, in Bangladesh, where ophthalmic healthcare resources may be limited in rural areas, the accessibility of specialized treatments remains a challenge. Identifying the primary causes, risk factors, and response to treatment in local patients can help develop targeted strategies for more effective management.  </w:t>
      </w:r>
    </w:p>
    <w:p w14:paraId="0AC70BFC" w14:textId="77777777" w:rsidR="00DD43C4" w:rsidRPr="00DD43C4" w:rsidRDefault="00DD43C4" w:rsidP="00DD43C4">
      <w:pPr>
        <w:spacing w:after="0" w:line="360" w:lineRule="auto"/>
        <w:jc w:val="both"/>
        <w:rPr>
          <w:rFonts w:ascii="Times New Roman" w:hAnsi="Times New Roman" w:cs="Times New Roman"/>
          <w:sz w:val="24"/>
          <w:szCs w:val="24"/>
        </w:rPr>
      </w:pPr>
    </w:p>
    <w:p w14:paraId="28A8EC8D" w14:textId="32A5D025" w:rsidR="005676ED" w:rsidRPr="00AF2787" w:rsidRDefault="00DD43C4" w:rsidP="00DD43C4">
      <w:pPr>
        <w:spacing w:after="0" w:line="360" w:lineRule="auto"/>
        <w:jc w:val="both"/>
        <w:rPr>
          <w:rFonts w:ascii="Times New Roman" w:hAnsi="Times New Roman" w:cs="Times New Roman"/>
          <w:sz w:val="24"/>
          <w:szCs w:val="24"/>
        </w:rPr>
      </w:pPr>
      <w:r w:rsidRPr="00DD43C4">
        <w:rPr>
          <w:rFonts w:ascii="Times New Roman" w:hAnsi="Times New Roman" w:cs="Times New Roman"/>
          <w:sz w:val="24"/>
          <w:szCs w:val="24"/>
        </w:rPr>
        <w:t>This study aims to explore the clinical patterns, risk factors, and management outcomes of PUK in Bangladeshi patients. By analyzing demographic data, clinical characteristics, treatment responses, and visual outcomes, we seek to provide valuable insights into the current trends of PUK in Bangladesh. The findings may help inform clinical guidelines and public health policies to improve early detection and treatment approaches, ultimately reducing the burden of this sight-threatening condition.</w:t>
      </w:r>
    </w:p>
    <w:p w14:paraId="73879EC8" w14:textId="77777777" w:rsidR="005676ED" w:rsidRPr="00AF2787" w:rsidRDefault="005676ED" w:rsidP="00AF2787">
      <w:pPr>
        <w:spacing w:after="0" w:line="360" w:lineRule="auto"/>
        <w:jc w:val="both"/>
        <w:rPr>
          <w:rFonts w:ascii="Times New Roman" w:hAnsi="Times New Roman" w:cs="Times New Roman"/>
          <w:sz w:val="24"/>
          <w:szCs w:val="24"/>
        </w:rPr>
      </w:pPr>
    </w:p>
    <w:p w14:paraId="2CEE2441" w14:textId="6FC472FC" w:rsidR="00CB0F88" w:rsidRPr="00AF2787" w:rsidRDefault="00CB0F88" w:rsidP="00AF2787">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Objective</w:t>
      </w:r>
    </w:p>
    <w:p w14:paraId="1166071E" w14:textId="58148CAD" w:rsidR="001A78E2" w:rsidRPr="00BF2E01" w:rsidRDefault="00BF2E01" w:rsidP="00AF2787">
      <w:pPr>
        <w:spacing w:after="0" w:line="360" w:lineRule="auto"/>
        <w:rPr>
          <w:rFonts w:ascii="Times New Roman" w:hAnsi="Times New Roman" w:cs="Times New Roman"/>
          <w:bCs/>
          <w:sz w:val="24"/>
          <w:szCs w:val="24"/>
        </w:rPr>
      </w:pPr>
      <w:r w:rsidRPr="00BF2E01">
        <w:rPr>
          <w:rFonts w:ascii="Times New Roman" w:hAnsi="Times New Roman" w:cs="Times New Roman"/>
          <w:bCs/>
          <w:sz w:val="24"/>
          <w:szCs w:val="24"/>
        </w:rPr>
        <w:t>To analyze the pattern, clinical presentation, and management outcomes of Peripheral Ulcerative Keratitis (PUK) in Bangladeshi patients.</w:t>
      </w:r>
    </w:p>
    <w:p w14:paraId="33B675EB" w14:textId="77777777" w:rsidR="001A78E2" w:rsidRDefault="001A78E2" w:rsidP="00AF2787">
      <w:pPr>
        <w:spacing w:after="0" w:line="360" w:lineRule="auto"/>
        <w:rPr>
          <w:rFonts w:ascii="Times New Roman" w:hAnsi="Times New Roman" w:cs="Times New Roman"/>
          <w:b/>
          <w:bCs/>
          <w:sz w:val="24"/>
          <w:szCs w:val="24"/>
        </w:rPr>
      </w:pPr>
    </w:p>
    <w:p w14:paraId="766FC30B" w14:textId="122BC1CC" w:rsidR="00CB0F88" w:rsidRPr="00AF2787" w:rsidRDefault="00CB0F88" w:rsidP="00AF2787">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Methodology</w:t>
      </w:r>
    </w:p>
    <w:p w14:paraId="3FA96CC5" w14:textId="6DE210D2" w:rsidR="001A78E2" w:rsidRPr="001A78E2" w:rsidRDefault="001A78E2" w:rsidP="001A78E2">
      <w:pPr>
        <w:spacing w:after="0" w:line="360" w:lineRule="auto"/>
        <w:jc w:val="both"/>
        <w:rPr>
          <w:rFonts w:ascii="Times New Roman" w:hAnsi="Times New Roman" w:cs="Times New Roman"/>
          <w:sz w:val="24"/>
          <w:szCs w:val="24"/>
        </w:rPr>
      </w:pPr>
      <w:r w:rsidRPr="001A78E2">
        <w:rPr>
          <w:rFonts w:ascii="Times New Roman" w:hAnsi="Times New Roman" w:cs="Times New Roman"/>
          <w:sz w:val="24"/>
          <w:szCs w:val="24"/>
        </w:rPr>
        <w:t xml:space="preserve">This observational study was conducted at a tertiary hospital over a one-year period, from January 2022 to January 2023, and focused on 150 consecutive patients diagnosed with peripheral ulcerative keratitis (PUK. Participants were selected through purposive sampling, </w:t>
      </w:r>
      <w:r w:rsidRPr="001A78E2">
        <w:rPr>
          <w:rFonts w:ascii="Times New Roman" w:hAnsi="Times New Roman" w:cs="Times New Roman"/>
          <w:sz w:val="24"/>
          <w:szCs w:val="24"/>
        </w:rPr>
        <w:lastRenderedPageBreak/>
        <w:t>ensuring inclusion based on specific clinical presentations and disease characteristics observed at the hospital.</w:t>
      </w:r>
    </w:p>
    <w:p w14:paraId="61BEAA50" w14:textId="77777777" w:rsidR="001A78E2" w:rsidRPr="001A78E2" w:rsidRDefault="001A78E2" w:rsidP="001A78E2">
      <w:pPr>
        <w:spacing w:after="0" w:line="360" w:lineRule="auto"/>
        <w:jc w:val="both"/>
        <w:rPr>
          <w:rFonts w:ascii="Times New Roman" w:hAnsi="Times New Roman" w:cs="Times New Roman"/>
          <w:sz w:val="24"/>
          <w:szCs w:val="24"/>
        </w:rPr>
      </w:pPr>
      <w:r w:rsidRPr="001A78E2">
        <w:rPr>
          <w:rFonts w:ascii="Times New Roman" w:hAnsi="Times New Roman" w:cs="Times New Roman"/>
          <w:sz w:val="24"/>
          <w:szCs w:val="24"/>
        </w:rPr>
        <w:t>The diagnosis of PUK was established by identifying crescent-shaped destructive inflammation within at least 2 mm of the limbus, accompanied by an epithelial defect, stromal inflammatory cell infiltration, and potential stromal degradation. In addition to these clinical findings, a detailed patient profile—including demographic variables such as age, sex, and socioeconomic status—was documented. A thorough medical history was obtained, encompassing the duration and nature of symptoms, systemic associations, and any prior treatments received.</w:t>
      </w:r>
    </w:p>
    <w:p w14:paraId="6A98BCB7" w14:textId="77777777" w:rsidR="001A78E2" w:rsidRPr="001A78E2" w:rsidRDefault="001A78E2" w:rsidP="001A78E2">
      <w:pPr>
        <w:spacing w:after="0" w:line="360" w:lineRule="auto"/>
        <w:jc w:val="both"/>
        <w:rPr>
          <w:rFonts w:ascii="Times New Roman" w:hAnsi="Times New Roman" w:cs="Times New Roman"/>
          <w:sz w:val="24"/>
          <w:szCs w:val="24"/>
        </w:rPr>
      </w:pPr>
      <w:r w:rsidRPr="001A78E2">
        <w:rPr>
          <w:rFonts w:ascii="Times New Roman" w:hAnsi="Times New Roman" w:cs="Times New Roman"/>
          <w:sz w:val="24"/>
          <w:szCs w:val="24"/>
        </w:rPr>
        <w:t>Comprehensive ocular examinations were performed, with a primary focus on best corrected visual acuity (BCVA) assessment and meticulous slit-lamp evaluation. The affected quadrant of the cornea (nasal, temporal, superior, or inferior) was noted, along with the extent of the epithelial defect, infiltration, and stromal thinning. Measurements were recorded in clock hours, both in the largest and smallest meridians, to assess the depth of corneal involvement accurately.</w:t>
      </w:r>
    </w:p>
    <w:p w14:paraId="008CA9C7" w14:textId="77777777" w:rsidR="001A78E2" w:rsidRPr="001A78E2" w:rsidRDefault="001A78E2" w:rsidP="001A78E2">
      <w:pPr>
        <w:spacing w:after="0" w:line="360" w:lineRule="auto"/>
        <w:jc w:val="both"/>
        <w:rPr>
          <w:rFonts w:ascii="Times New Roman" w:hAnsi="Times New Roman" w:cs="Times New Roman"/>
          <w:sz w:val="24"/>
          <w:szCs w:val="24"/>
        </w:rPr>
      </w:pPr>
      <w:r w:rsidRPr="001A78E2">
        <w:rPr>
          <w:rFonts w:ascii="Times New Roman" w:hAnsi="Times New Roman" w:cs="Times New Roman"/>
          <w:sz w:val="24"/>
          <w:szCs w:val="24"/>
        </w:rPr>
        <w:t>For statistical analysis, data were processed using SPSS (Statistical Package for Social Sciences) version 22 for Windows. Quantitative variables were compared using an unpaired t-test, with results expressed as ranges and mean ± standard deviation (SD), considering a p-value of &lt;0.05 statistically significant. Where applicable, advanced statistical methods—including the Student’s t-test, Pearson’s correlation coefficient test, multivariate logistic regression analysis, and Fisher’s exact test—were employed to ensure a robust and comprehensive evaluation of the data.</w:t>
      </w:r>
    </w:p>
    <w:p w14:paraId="58E0E343" w14:textId="77777777" w:rsidR="001468D9" w:rsidRDefault="001468D9" w:rsidP="00AF2787">
      <w:pPr>
        <w:spacing w:after="0" w:line="360" w:lineRule="auto"/>
        <w:rPr>
          <w:rFonts w:ascii="Times New Roman" w:hAnsi="Times New Roman" w:cs="Times New Roman"/>
          <w:b/>
          <w:bCs/>
          <w:sz w:val="24"/>
          <w:szCs w:val="24"/>
        </w:rPr>
      </w:pPr>
    </w:p>
    <w:p w14:paraId="0D925EAF" w14:textId="29C3D576" w:rsidR="00CB0F88" w:rsidRPr="00AF2787" w:rsidRDefault="0057261B" w:rsidP="00AF2787">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Result</w:t>
      </w:r>
    </w:p>
    <w:p w14:paraId="01CDF31F" w14:textId="175BEB2D" w:rsidR="00466551" w:rsidRDefault="00393371" w:rsidP="00466551">
      <w:pPr>
        <w:spacing w:after="0" w:line="360" w:lineRule="auto"/>
        <w:jc w:val="both"/>
        <w:rPr>
          <w:rFonts w:ascii="Times New Roman" w:hAnsi="Times New Roman" w:cs="Times New Roman"/>
          <w:sz w:val="24"/>
          <w:szCs w:val="24"/>
        </w:rPr>
      </w:pPr>
      <w:r w:rsidRPr="00393371">
        <w:rPr>
          <w:rFonts w:ascii="Times New Roman" w:hAnsi="Times New Roman" w:cs="Times New Roman"/>
          <w:sz w:val="24"/>
          <w:szCs w:val="24"/>
        </w:rPr>
        <w:t xml:space="preserve">The study included patients aged 30 to 70 years, with the highest proportion (35%) in the 50–60 age group. Males accounted for 60% of the cases, indicating a higher prevalence of PUK among men. Baseline investigations revealed a mean random blood sugar level of 12.5 ± 5.5 mmol/L, serum creatinine of 1.0 ± 0.5 mg/dL, total cholesterol of 209.0 ± 48.7 mg/dL, and LDL-C of 115.6 ± 23.3 mg/dL. The most commonly reported symptom was blurred vision (37%), followed by foreign body sensation (39%) and sensitivity to bright light (24%). Regarding etiology, microbiological infection was the leading cause (39%), followed by </w:t>
      </w:r>
      <w:proofErr w:type="spellStart"/>
      <w:r w:rsidRPr="00393371">
        <w:rPr>
          <w:rFonts w:ascii="Times New Roman" w:hAnsi="Times New Roman" w:cs="Times New Roman"/>
          <w:sz w:val="24"/>
          <w:szCs w:val="24"/>
        </w:rPr>
        <w:t>Mooren’s</w:t>
      </w:r>
      <w:proofErr w:type="spellEnd"/>
      <w:r w:rsidRPr="00393371">
        <w:rPr>
          <w:rFonts w:ascii="Times New Roman" w:hAnsi="Times New Roman" w:cs="Times New Roman"/>
          <w:sz w:val="24"/>
          <w:szCs w:val="24"/>
        </w:rPr>
        <w:t xml:space="preserve"> ulcer (32%) and systemic collagen vascular disease (29%).</w:t>
      </w:r>
    </w:p>
    <w:p w14:paraId="6DFAD2B3" w14:textId="77777777" w:rsidR="00A77D9B" w:rsidRDefault="00A77D9B" w:rsidP="00466551">
      <w:pPr>
        <w:spacing w:after="0" w:line="360" w:lineRule="auto"/>
        <w:jc w:val="both"/>
        <w:rPr>
          <w:rFonts w:ascii="Times New Roman" w:hAnsi="Times New Roman" w:cs="Times New Roman"/>
          <w:b/>
          <w:sz w:val="24"/>
          <w:szCs w:val="24"/>
        </w:rPr>
      </w:pPr>
    </w:p>
    <w:p w14:paraId="452B63A8" w14:textId="131AFD53" w:rsidR="00466551" w:rsidRPr="00466551" w:rsidRDefault="00A77D9B" w:rsidP="0046655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1</w:t>
      </w:r>
      <w:r w:rsidR="00466551" w:rsidRPr="00466551">
        <w:rPr>
          <w:rFonts w:ascii="Times New Roman" w:hAnsi="Times New Roman" w:cs="Times New Roman"/>
          <w:b/>
          <w:sz w:val="24"/>
          <w:szCs w:val="24"/>
        </w:rPr>
        <w:t>: Demographic, Clinical, and Etiological Characteristics of Patients with Peripheral Ulcerative Keratitis (PUK)</w:t>
      </w:r>
    </w:p>
    <w:tbl>
      <w:tblPr>
        <w:tblStyle w:val="TableGrid"/>
        <w:tblW w:w="6923" w:type="dxa"/>
        <w:tblLook w:val="04A0" w:firstRow="1" w:lastRow="0" w:firstColumn="1" w:lastColumn="0" w:noHBand="0" w:noVBand="1"/>
      </w:tblPr>
      <w:tblGrid>
        <w:gridCol w:w="5182"/>
        <w:gridCol w:w="1741"/>
      </w:tblGrid>
      <w:tr w:rsidR="00466551" w:rsidRPr="00466551" w14:paraId="1B0E654F" w14:textId="77777777" w:rsidTr="005B6F17">
        <w:trPr>
          <w:trHeight w:val="404"/>
        </w:trPr>
        <w:tc>
          <w:tcPr>
            <w:tcW w:w="0" w:type="auto"/>
            <w:shd w:val="clear" w:color="auto" w:fill="E7E6E6" w:themeFill="background2"/>
            <w:hideMark/>
          </w:tcPr>
          <w:p w14:paraId="4A1563C6"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lastRenderedPageBreak/>
              <w:t>Parameter</w:t>
            </w:r>
          </w:p>
        </w:tc>
        <w:tc>
          <w:tcPr>
            <w:tcW w:w="0" w:type="auto"/>
            <w:shd w:val="clear" w:color="auto" w:fill="E7E6E6" w:themeFill="background2"/>
            <w:hideMark/>
          </w:tcPr>
          <w:p w14:paraId="31A17B92"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Data</w:t>
            </w:r>
          </w:p>
        </w:tc>
      </w:tr>
      <w:tr w:rsidR="00466551" w:rsidRPr="00466551" w14:paraId="2770F8A1" w14:textId="77777777" w:rsidTr="00DE69CF">
        <w:trPr>
          <w:trHeight w:val="602"/>
        </w:trPr>
        <w:tc>
          <w:tcPr>
            <w:tcW w:w="0" w:type="auto"/>
            <w:hideMark/>
          </w:tcPr>
          <w:p w14:paraId="1251564D" w14:textId="30A1C1B3"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xml:space="preserve">Age Distribution </w:t>
            </w:r>
          </w:p>
        </w:tc>
        <w:tc>
          <w:tcPr>
            <w:tcW w:w="0" w:type="auto"/>
            <w:hideMark/>
          </w:tcPr>
          <w:p w14:paraId="2B3A9B1B" w14:textId="6258D186" w:rsidR="00466551" w:rsidRDefault="00DE69CF"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Years</w:t>
            </w:r>
          </w:p>
          <w:p w14:paraId="55689034" w14:textId="13482B76" w:rsidR="00466551" w:rsidRPr="00466551" w:rsidRDefault="00466551" w:rsidP="00466551">
            <w:pPr>
              <w:spacing w:line="360" w:lineRule="auto"/>
              <w:jc w:val="both"/>
              <w:rPr>
                <w:rFonts w:ascii="Times New Roman" w:hAnsi="Times New Roman" w:cs="Times New Roman"/>
                <w:b/>
                <w:bCs/>
                <w:sz w:val="24"/>
                <w:szCs w:val="24"/>
              </w:rPr>
            </w:pPr>
          </w:p>
        </w:tc>
      </w:tr>
      <w:tr w:rsidR="003D5F29" w:rsidRPr="00466551" w14:paraId="7B82215A" w14:textId="77777777" w:rsidTr="00DE69CF">
        <w:trPr>
          <w:trHeight w:val="440"/>
        </w:trPr>
        <w:tc>
          <w:tcPr>
            <w:tcW w:w="0" w:type="auto"/>
          </w:tcPr>
          <w:p w14:paraId="7ACEC95C" w14:textId="742D3ED8" w:rsidR="003D5F29" w:rsidRPr="00466551" w:rsidRDefault="003D5F29" w:rsidP="00DE69CF">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30-40</w:t>
            </w:r>
          </w:p>
        </w:tc>
        <w:tc>
          <w:tcPr>
            <w:tcW w:w="0" w:type="auto"/>
          </w:tcPr>
          <w:p w14:paraId="6A0FCEEC" w14:textId="3BC18B0F" w:rsidR="003D5F29" w:rsidRDefault="000B62A7"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12</w:t>
            </w:r>
          </w:p>
        </w:tc>
      </w:tr>
      <w:tr w:rsidR="003D5F29" w:rsidRPr="00466551" w14:paraId="0B037AF5" w14:textId="77777777" w:rsidTr="005B6F17">
        <w:trPr>
          <w:trHeight w:val="404"/>
        </w:trPr>
        <w:tc>
          <w:tcPr>
            <w:tcW w:w="0" w:type="auto"/>
          </w:tcPr>
          <w:p w14:paraId="69B10523" w14:textId="2A33C0E3" w:rsidR="003D5F29" w:rsidRPr="00466551" w:rsidRDefault="003D5F29"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40-50</w:t>
            </w:r>
          </w:p>
        </w:tc>
        <w:tc>
          <w:tcPr>
            <w:tcW w:w="0" w:type="auto"/>
          </w:tcPr>
          <w:p w14:paraId="471EFE02" w14:textId="48F0859B" w:rsidR="003D5F29" w:rsidRDefault="00DE69CF"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30</w:t>
            </w:r>
          </w:p>
        </w:tc>
      </w:tr>
      <w:tr w:rsidR="003D5F29" w:rsidRPr="00466551" w14:paraId="346F7E68" w14:textId="77777777" w:rsidTr="005B6F17">
        <w:trPr>
          <w:trHeight w:val="404"/>
        </w:trPr>
        <w:tc>
          <w:tcPr>
            <w:tcW w:w="0" w:type="auto"/>
          </w:tcPr>
          <w:p w14:paraId="1B9998C4" w14:textId="10916A42" w:rsidR="003D5F29" w:rsidRPr="00466551" w:rsidRDefault="000B62A7"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50-60</w:t>
            </w:r>
          </w:p>
        </w:tc>
        <w:tc>
          <w:tcPr>
            <w:tcW w:w="0" w:type="auto"/>
          </w:tcPr>
          <w:p w14:paraId="6E866221" w14:textId="64DA1737" w:rsidR="003D5F29" w:rsidRDefault="00DE69CF"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35</w:t>
            </w:r>
          </w:p>
        </w:tc>
      </w:tr>
      <w:tr w:rsidR="003D5F29" w:rsidRPr="00466551" w14:paraId="658958E7" w14:textId="77777777" w:rsidTr="005B6F17">
        <w:trPr>
          <w:trHeight w:val="404"/>
        </w:trPr>
        <w:tc>
          <w:tcPr>
            <w:tcW w:w="0" w:type="auto"/>
          </w:tcPr>
          <w:p w14:paraId="32BFD86C" w14:textId="183FC729" w:rsidR="003D5F29" w:rsidRPr="00466551" w:rsidRDefault="000B62A7"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60-70</w:t>
            </w:r>
          </w:p>
        </w:tc>
        <w:tc>
          <w:tcPr>
            <w:tcW w:w="0" w:type="auto"/>
          </w:tcPr>
          <w:p w14:paraId="04DE7709" w14:textId="52B804DD" w:rsidR="003D5F29" w:rsidRDefault="00DE69CF"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23</w:t>
            </w:r>
          </w:p>
        </w:tc>
      </w:tr>
      <w:tr w:rsidR="00466551" w:rsidRPr="00466551" w14:paraId="003565CD" w14:textId="77777777" w:rsidTr="005B6F17">
        <w:trPr>
          <w:trHeight w:val="404"/>
        </w:trPr>
        <w:tc>
          <w:tcPr>
            <w:tcW w:w="0" w:type="auto"/>
            <w:hideMark/>
          </w:tcPr>
          <w:p w14:paraId="33FEF4E2"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Gender Distribution</w:t>
            </w:r>
          </w:p>
        </w:tc>
        <w:tc>
          <w:tcPr>
            <w:tcW w:w="0" w:type="auto"/>
            <w:hideMark/>
          </w:tcPr>
          <w:p w14:paraId="57054503" w14:textId="0657DEC4" w:rsidR="00466551" w:rsidRPr="00466551" w:rsidRDefault="003D5F29" w:rsidP="0046655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1D560E" w:rsidRPr="00466551" w14:paraId="3FD52483" w14:textId="77777777" w:rsidTr="005B6F17">
        <w:trPr>
          <w:trHeight w:val="404"/>
        </w:trPr>
        <w:tc>
          <w:tcPr>
            <w:tcW w:w="0" w:type="auto"/>
          </w:tcPr>
          <w:p w14:paraId="5B2DB865" w14:textId="50EE08F9" w:rsidR="001D560E" w:rsidRPr="00466551" w:rsidRDefault="001D560E"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Male:</w:t>
            </w:r>
          </w:p>
        </w:tc>
        <w:tc>
          <w:tcPr>
            <w:tcW w:w="0" w:type="auto"/>
          </w:tcPr>
          <w:p w14:paraId="0407F1D5" w14:textId="20085EF5" w:rsidR="001D560E" w:rsidRPr="00466551" w:rsidRDefault="001D560E" w:rsidP="001D560E">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40%</w:t>
            </w:r>
          </w:p>
        </w:tc>
      </w:tr>
      <w:tr w:rsidR="001D560E" w:rsidRPr="00466551" w14:paraId="365A5A7C" w14:textId="77777777" w:rsidTr="005B6F17">
        <w:trPr>
          <w:trHeight w:val="416"/>
        </w:trPr>
        <w:tc>
          <w:tcPr>
            <w:tcW w:w="0" w:type="auto"/>
          </w:tcPr>
          <w:p w14:paraId="13DA5AF3" w14:textId="6344DC58" w:rsidR="001D560E" w:rsidRPr="00466551" w:rsidRDefault="001D560E"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Female</w:t>
            </w:r>
          </w:p>
        </w:tc>
        <w:tc>
          <w:tcPr>
            <w:tcW w:w="0" w:type="auto"/>
          </w:tcPr>
          <w:p w14:paraId="3ADFCA22" w14:textId="0C588C76" w:rsidR="001D560E" w:rsidRPr="00466551" w:rsidRDefault="001D560E"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60%</w:t>
            </w:r>
          </w:p>
        </w:tc>
      </w:tr>
      <w:tr w:rsidR="00466551" w:rsidRPr="00466551" w14:paraId="7610F4EC" w14:textId="77777777" w:rsidTr="005B6F17">
        <w:trPr>
          <w:trHeight w:val="404"/>
        </w:trPr>
        <w:tc>
          <w:tcPr>
            <w:tcW w:w="0" w:type="auto"/>
            <w:hideMark/>
          </w:tcPr>
          <w:p w14:paraId="1B8F178E"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Baseline Investigations (n=100)</w:t>
            </w:r>
          </w:p>
        </w:tc>
        <w:tc>
          <w:tcPr>
            <w:tcW w:w="0" w:type="auto"/>
            <w:hideMark/>
          </w:tcPr>
          <w:p w14:paraId="5B877143" w14:textId="77777777" w:rsidR="00466551" w:rsidRPr="00466551" w:rsidRDefault="00466551" w:rsidP="00466551">
            <w:pPr>
              <w:spacing w:line="360" w:lineRule="auto"/>
              <w:jc w:val="both"/>
              <w:rPr>
                <w:rFonts w:ascii="Times New Roman" w:hAnsi="Times New Roman" w:cs="Times New Roman"/>
                <w:b/>
                <w:bCs/>
                <w:sz w:val="24"/>
                <w:szCs w:val="24"/>
              </w:rPr>
            </w:pPr>
          </w:p>
        </w:tc>
      </w:tr>
      <w:tr w:rsidR="00466551" w:rsidRPr="00466551" w14:paraId="76BF8BA2" w14:textId="77777777" w:rsidTr="005B6F17">
        <w:trPr>
          <w:trHeight w:val="404"/>
        </w:trPr>
        <w:tc>
          <w:tcPr>
            <w:tcW w:w="0" w:type="auto"/>
            <w:hideMark/>
          </w:tcPr>
          <w:p w14:paraId="0390FCEC"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Mean Random Blood Sugar (mmol/L)</w:t>
            </w:r>
          </w:p>
        </w:tc>
        <w:tc>
          <w:tcPr>
            <w:tcW w:w="0" w:type="auto"/>
            <w:hideMark/>
          </w:tcPr>
          <w:p w14:paraId="6C438E86"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12.5 ± 5.5</w:t>
            </w:r>
          </w:p>
        </w:tc>
      </w:tr>
      <w:tr w:rsidR="00466551" w:rsidRPr="00466551" w14:paraId="52F3311D" w14:textId="77777777" w:rsidTr="005B6F17">
        <w:trPr>
          <w:trHeight w:val="416"/>
        </w:trPr>
        <w:tc>
          <w:tcPr>
            <w:tcW w:w="0" w:type="auto"/>
            <w:hideMark/>
          </w:tcPr>
          <w:p w14:paraId="2D5CC7DB"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Serum Creatinine (mg/dl)</w:t>
            </w:r>
          </w:p>
        </w:tc>
        <w:tc>
          <w:tcPr>
            <w:tcW w:w="0" w:type="auto"/>
            <w:hideMark/>
          </w:tcPr>
          <w:p w14:paraId="5B6BD5BA"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1.0 ± 0.5</w:t>
            </w:r>
          </w:p>
        </w:tc>
      </w:tr>
      <w:tr w:rsidR="00466551" w:rsidRPr="00466551" w14:paraId="796CB516" w14:textId="77777777" w:rsidTr="005B6F17">
        <w:trPr>
          <w:trHeight w:val="404"/>
        </w:trPr>
        <w:tc>
          <w:tcPr>
            <w:tcW w:w="0" w:type="auto"/>
            <w:hideMark/>
          </w:tcPr>
          <w:p w14:paraId="56AFF8A1"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Total Cholesterol (mg/dl)</w:t>
            </w:r>
          </w:p>
        </w:tc>
        <w:tc>
          <w:tcPr>
            <w:tcW w:w="0" w:type="auto"/>
            <w:hideMark/>
          </w:tcPr>
          <w:p w14:paraId="37E22330"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209.0 ± 48.7</w:t>
            </w:r>
          </w:p>
        </w:tc>
      </w:tr>
      <w:tr w:rsidR="00466551" w:rsidRPr="00466551" w14:paraId="5D281B0A" w14:textId="77777777" w:rsidTr="005B6F17">
        <w:trPr>
          <w:trHeight w:val="404"/>
        </w:trPr>
        <w:tc>
          <w:tcPr>
            <w:tcW w:w="0" w:type="auto"/>
            <w:hideMark/>
          </w:tcPr>
          <w:p w14:paraId="5A6C063A"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LDL-C (mg/dl)</w:t>
            </w:r>
          </w:p>
        </w:tc>
        <w:tc>
          <w:tcPr>
            <w:tcW w:w="0" w:type="auto"/>
            <w:hideMark/>
          </w:tcPr>
          <w:p w14:paraId="7D37B502"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115.6 ± 23.3</w:t>
            </w:r>
          </w:p>
        </w:tc>
      </w:tr>
      <w:tr w:rsidR="00466551" w:rsidRPr="00466551" w14:paraId="33B91884" w14:textId="77777777" w:rsidTr="005B6F17">
        <w:trPr>
          <w:trHeight w:val="416"/>
        </w:trPr>
        <w:tc>
          <w:tcPr>
            <w:tcW w:w="0" w:type="auto"/>
            <w:hideMark/>
          </w:tcPr>
          <w:p w14:paraId="66A23EA6"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Symptoms of PUK</w:t>
            </w:r>
          </w:p>
        </w:tc>
        <w:tc>
          <w:tcPr>
            <w:tcW w:w="0" w:type="auto"/>
            <w:hideMark/>
          </w:tcPr>
          <w:p w14:paraId="794A5558" w14:textId="77777777" w:rsidR="00466551" w:rsidRPr="00466551" w:rsidRDefault="00466551" w:rsidP="00466551">
            <w:pPr>
              <w:spacing w:line="360" w:lineRule="auto"/>
              <w:jc w:val="both"/>
              <w:rPr>
                <w:rFonts w:ascii="Times New Roman" w:hAnsi="Times New Roman" w:cs="Times New Roman"/>
                <w:b/>
                <w:bCs/>
                <w:sz w:val="24"/>
                <w:szCs w:val="24"/>
              </w:rPr>
            </w:pPr>
          </w:p>
        </w:tc>
      </w:tr>
      <w:tr w:rsidR="00466551" w:rsidRPr="00466551" w14:paraId="56F60F38" w14:textId="77777777" w:rsidTr="005B6F17">
        <w:trPr>
          <w:trHeight w:val="404"/>
        </w:trPr>
        <w:tc>
          <w:tcPr>
            <w:tcW w:w="0" w:type="auto"/>
            <w:hideMark/>
          </w:tcPr>
          <w:p w14:paraId="5EEE4A0E"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Blurred vision</w:t>
            </w:r>
          </w:p>
        </w:tc>
        <w:tc>
          <w:tcPr>
            <w:tcW w:w="0" w:type="auto"/>
            <w:hideMark/>
          </w:tcPr>
          <w:p w14:paraId="769BED93"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37%</w:t>
            </w:r>
          </w:p>
        </w:tc>
      </w:tr>
      <w:tr w:rsidR="00466551" w:rsidRPr="00466551" w14:paraId="6753B179" w14:textId="77777777" w:rsidTr="005B6F17">
        <w:trPr>
          <w:trHeight w:val="404"/>
        </w:trPr>
        <w:tc>
          <w:tcPr>
            <w:tcW w:w="0" w:type="auto"/>
            <w:hideMark/>
          </w:tcPr>
          <w:p w14:paraId="38B2CA0F"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Sensitivity to bright light</w:t>
            </w:r>
          </w:p>
        </w:tc>
        <w:tc>
          <w:tcPr>
            <w:tcW w:w="0" w:type="auto"/>
            <w:hideMark/>
          </w:tcPr>
          <w:p w14:paraId="3DFE7ECF"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24%</w:t>
            </w:r>
          </w:p>
        </w:tc>
      </w:tr>
      <w:tr w:rsidR="00466551" w:rsidRPr="00466551" w14:paraId="56794674" w14:textId="77777777" w:rsidTr="005B6F17">
        <w:trPr>
          <w:trHeight w:val="416"/>
        </w:trPr>
        <w:tc>
          <w:tcPr>
            <w:tcW w:w="0" w:type="auto"/>
            <w:hideMark/>
          </w:tcPr>
          <w:p w14:paraId="10CC6CD7"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Foreign body sensation</w:t>
            </w:r>
          </w:p>
        </w:tc>
        <w:tc>
          <w:tcPr>
            <w:tcW w:w="0" w:type="auto"/>
            <w:hideMark/>
          </w:tcPr>
          <w:p w14:paraId="0D782D94"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39%</w:t>
            </w:r>
          </w:p>
        </w:tc>
      </w:tr>
      <w:tr w:rsidR="00466551" w:rsidRPr="00466551" w14:paraId="3EBCDFDD" w14:textId="77777777" w:rsidTr="005B6F17">
        <w:trPr>
          <w:trHeight w:val="404"/>
        </w:trPr>
        <w:tc>
          <w:tcPr>
            <w:tcW w:w="0" w:type="auto"/>
            <w:hideMark/>
          </w:tcPr>
          <w:p w14:paraId="0590B91E"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Common Etiology of PUK</w:t>
            </w:r>
          </w:p>
        </w:tc>
        <w:tc>
          <w:tcPr>
            <w:tcW w:w="0" w:type="auto"/>
            <w:hideMark/>
          </w:tcPr>
          <w:p w14:paraId="1C1A79BC" w14:textId="77777777" w:rsidR="00466551" w:rsidRPr="00466551" w:rsidRDefault="00466551" w:rsidP="00466551">
            <w:pPr>
              <w:spacing w:line="360" w:lineRule="auto"/>
              <w:jc w:val="both"/>
              <w:rPr>
                <w:rFonts w:ascii="Times New Roman" w:hAnsi="Times New Roman" w:cs="Times New Roman"/>
                <w:b/>
                <w:bCs/>
                <w:sz w:val="24"/>
                <w:szCs w:val="24"/>
              </w:rPr>
            </w:pPr>
          </w:p>
        </w:tc>
      </w:tr>
      <w:tr w:rsidR="00466551" w:rsidRPr="00466551" w14:paraId="2568718E" w14:textId="77777777" w:rsidTr="005B6F17">
        <w:trPr>
          <w:trHeight w:val="404"/>
        </w:trPr>
        <w:tc>
          <w:tcPr>
            <w:tcW w:w="0" w:type="auto"/>
            <w:hideMark/>
          </w:tcPr>
          <w:p w14:paraId="6EE4EE75"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Microbiological Infection</w:t>
            </w:r>
          </w:p>
        </w:tc>
        <w:tc>
          <w:tcPr>
            <w:tcW w:w="0" w:type="auto"/>
            <w:hideMark/>
          </w:tcPr>
          <w:p w14:paraId="5F9D0227"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39%</w:t>
            </w:r>
          </w:p>
        </w:tc>
      </w:tr>
      <w:tr w:rsidR="00466551" w:rsidRPr="00466551" w14:paraId="374E16A5" w14:textId="77777777" w:rsidTr="005B6F17">
        <w:trPr>
          <w:trHeight w:val="416"/>
        </w:trPr>
        <w:tc>
          <w:tcPr>
            <w:tcW w:w="0" w:type="auto"/>
            <w:hideMark/>
          </w:tcPr>
          <w:p w14:paraId="32D910D4"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xml:space="preserve">- </w:t>
            </w:r>
            <w:proofErr w:type="spellStart"/>
            <w:r w:rsidRPr="00466551">
              <w:rPr>
                <w:rFonts w:ascii="Times New Roman" w:hAnsi="Times New Roman" w:cs="Times New Roman"/>
                <w:b/>
                <w:bCs/>
                <w:sz w:val="24"/>
                <w:szCs w:val="24"/>
              </w:rPr>
              <w:t>Mooren’s</w:t>
            </w:r>
            <w:proofErr w:type="spellEnd"/>
            <w:r w:rsidRPr="00466551">
              <w:rPr>
                <w:rFonts w:ascii="Times New Roman" w:hAnsi="Times New Roman" w:cs="Times New Roman"/>
                <w:b/>
                <w:bCs/>
                <w:sz w:val="24"/>
                <w:szCs w:val="24"/>
              </w:rPr>
              <w:t xml:space="preserve"> Ulcer</w:t>
            </w:r>
          </w:p>
        </w:tc>
        <w:tc>
          <w:tcPr>
            <w:tcW w:w="0" w:type="auto"/>
            <w:hideMark/>
          </w:tcPr>
          <w:p w14:paraId="4C67705A"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32%</w:t>
            </w:r>
          </w:p>
        </w:tc>
      </w:tr>
      <w:tr w:rsidR="00466551" w:rsidRPr="00466551" w14:paraId="73D0BFDE" w14:textId="77777777" w:rsidTr="005B6F17">
        <w:trPr>
          <w:trHeight w:val="404"/>
        </w:trPr>
        <w:tc>
          <w:tcPr>
            <w:tcW w:w="0" w:type="auto"/>
            <w:hideMark/>
          </w:tcPr>
          <w:p w14:paraId="49C78BA3"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 Systemic Collagen Vascular Disease</w:t>
            </w:r>
          </w:p>
        </w:tc>
        <w:tc>
          <w:tcPr>
            <w:tcW w:w="0" w:type="auto"/>
            <w:hideMark/>
          </w:tcPr>
          <w:p w14:paraId="0744C1F0" w14:textId="77777777" w:rsidR="00466551" w:rsidRPr="00466551" w:rsidRDefault="00466551" w:rsidP="00466551">
            <w:pPr>
              <w:spacing w:line="360" w:lineRule="auto"/>
              <w:jc w:val="both"/>
              <w:rPr>
                <w:rFonts w:ascii="Times New Roman" w:hAnsi="Times New Roman" w:cs="Times New Roman"/>
                <w:b/>
                <w:bCs/>
                <w:sz w:val="24"/>
                <w:szCs w:val="24"/>
              </w:rPr>
            </w:pPr>
            <w:r w:rsidRPr="00466551">
              <w:rPr>
                <w:rFonts w:ascii="Times New Roman" w:hAnsi="Times New Roman" w:cs="Times New Roman"/>
                <w:b/>
                <w:bCs/>
                <w:sz w:val="24"/>
                <w:szCs w:val="24"/>
              </w:rPr>
              <w:t>29%</w:t>
            </w:r>
          </w:p>
        </w:tc>
      </w:tr>
    </w:tbl>
    <w:p w14:paraId="47831EB7" w14:textId="77777777" w:rsidR="006C40C8" w:rsidRDefault="006C40C8" w:rsidP="00AF2787">
      <w:pPr>
        <w:spacing w:after="0" w:line="360" w:lineRule="auto"/>
        <w:jc w:val="both"/>
        <w:rPr>
          <w:rFonts w:ascii="Times New Roman" w:hAnsi="Times New Roman" w:cs="Times New Roman"/>
          <w:b/>
          <w:bCs/>
          <w:sz w:val="24"/>
          <w:szCs w:val="24"/>
        </w:rPr>
      </w:pPr>
    </w:p>
    <w:p w14:paraId="019A7FBC" w14:textId="77777777" w:rsidR="00466551" w:rsidRDefault="00466551" w:rsidP="00AF2787">
      <w:pPr>
        <w:spacing w:after="0" w:line="360" w:lineRule="auto"/>
        <w:jc w:val="both"/>
        <w:rPr>
          <w:rFonts w:ascii="Times New Roman" w:hAnsi="Times New Roman" w:cs="Times New Roman"/>
          <w:sz w:val="24"/>
          <w:szCs w:val="24"/>
        </w:rPr>
      </w:pPr>
      <w:r w:rsidRPr="00466551">
        <w:rPr>
          <w:rFonts w:ascii="Times New Roman" w:hAnsi="Times New Roman" w:cs="Times New Roman"/>
          <w:sz w:val="24"/>
          <w:szCs w:val="24"/>
        </w:rPr>
        <w:t xml:space="preserve">The results indicate variations in visual acuity before and after treatment in Group 1, as well as the baseline visual acuity in Group 2. In Group 1, before treatment, 14 patients had BCVA ≥6/18, which reduced to 8 after treatment. Patients with BCVA &lt;6/18 to ≥6/60 increased from 4 to 7, and those with BCVA &lt;6/60 to ≥3/6 increased from 1 to 6, suggesting some improvement in moderate visual impairment. However, the number of patients with severe visual impairment (BCVA &lt;3/60) also increased from 3 to 6 post-treatment, indicating that while some patients showed improvement, others experienced deterioration. In Group 2, before treatment, only 4 patients had BCVA ≥6/18, while 3 had BCVA &lt;6/18 to ≥6/60, 12 had BCVA </w:t>
      </w:r>
      <w:r w:rsidRPr="00466551">
        <w:rPr>
          <w:rFonts w:ascii="Times New Roman" w:hAnsi="Times New Roman" w:cs="Times New Roman"/>
          <w:sz w:val="24"/>
          <w:szCs w:val="24"/>
        </w:rPr>
        <w:lastRenderedPageBreak/>
        <w:t>&lt;6/60 to ≥3/6, and 20 had BCVA &lt;3/60, suggesting that this group started with a higher proportion of severe visual impairment compared to Group 1.</w:t>
      </w:r>
    </w:p>
    <w:p w14:paraId="1E4ACACD" w14:textId="77777777" w:rsidR="00466551" w:rsidRDefault="00466551" w:rsidP="00AF2787">
      <w:pPr>
        <w:spacing w:after="0" w:line="360" w:lineRule="auto"/>
        <w:jc w:val="both"/>
        <w:rPr>
          <w:rFonts w:ascii="Times New Roman" w:hAnsi="Times New Roman" w:cs="Times New Roman"/>
          <w:b/>
          <w:bCs/>
          <w:sz w:val="24"/>
          <w:szCs w:val="24"/>
        </w:rPr>
      </w:pPr>
    </w:p>
    <w:p w14:paraId="003264F0" w14:textId="5347A5AB" w:rsidR="0041286E" w:rsidRPr="00AF2787" w:rsidRDefault="00A77CD1" w:rsidP="00AF278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4</w:t>
      </w:r>
      <w:r w:rsidR="00C80A6E" w:rsidRPr="00AF2787">
        <w:rPr>
          <w:rFonts w:ascii="Times New Roman" w:hAnsi="Times New Roman" w:cs="Times New Roman"/>
          <w:b/>
          <w:bCs/>
          <w:sz w:val="24"/>
          <w:szCs w:val="24"/>
        </w:rPr>
        <w:t>: Visual</w:t>
      </w:r>
      <w:r w:rsidR="0041286E" w:rsidRPr="00AF2787">
        <w:rPr>
          <w:rFonts w:ascii="Times New Roman" w:hAnsi="Times New Roman" w:cs="Times New Roman"/>
          <w:b/>
          <w:bCs/>
          <w:sz w:val="24"/>
          <w:szCs w:val="24"/>
        </w:rPr>
        <w:t xml:space="preserve"> acuity of patients </w:t>
      </w:r>
    </w:p>
    <w:tbl>
      <w:tblPr>
        <w:tblW w:w="874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03"/>
        <w:gridCol w:w="2298"/>
        <w:gridCol w:w="1846"/>
      </w:tblGrid>
      <w:tr w:rsidR="0041286E" w:rsidRPr="00AF2787" w14:paraId="7BA3993E" w14:textId="77777777" w:rsidTr="00A77CD1">
        <w:trPr>
          <w:trHeight w:val="555"/>
        </w:trPr>
        <w:tc>
          <w:tcPr>
            <w:tcW w:w="2296" w:type="dxa"/>
            <w:tcBorders>
              <w:top w:val="single" w:sz="4" w:space="0" w:color="auto"/>
              <w:left w:val="single" w:sz="4" w:space="0" w:color="auto"/>
              <w:bottom w:val="single" w:sz="4" w:space="0" w:color="auto"/>
              <w:right w:val="single" w:sz="4" w:space="0" w:color="auto"/>
            </w:tcBorders>
            <w:shd w:val="clear" w:color="auto" w:fill="E7E6E6" w:themeFill="background2"/>
          </w:tcPr>
          <w:p w14:paraId="2FF25F65" w14:textId="468FC316" w:rsidR="0041286E" w:rsidRPr="00AF2787" w:rsidRDefault="0041286E"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Visual acuity</w:t>
            </w:r>
          </w:p>
        </w:tc>
        <w:tc>
          <w:tcPr>
            <w:tcW w:w="2303" w:type="dxa"/>
            <w:tcBorders>
              <w:top w:val="single" w:sz="4" w:space="0" w:color="auto"/>
              <w:left w:val="single" w:sz="4" w:space="0" w:color="auto"/>
              <w:bottom w:val="single" w:sz="4" w:space="0" w:color="auto"/>
              <w:right w:val="single" w:sz="4" w:space="0" w:color="auto"/>
            </w:tcBorders>
            <w:shd w:val="clear" w:color="auto" w:fill="E7E6E6" w:themeFill="background2"/>
          </w:tcPr>
          <w:p w14:paraId="004283A8" w14:textId="24173564" w:rsidR="0041286E" w:rsidRPr="00AF2787" w:rsidRDefault="0041286E"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 xml:space="preserve">Before treatment Group -1 </w:t>
            </w:r>
          </w:p>
        </w:tc>
        <w:tc>
          <w:tcPr>
            <w:tcW w:w="2298" w:type="dxa"/>
            <w:tcBorders>
              <w:top w:val="single" w:sz="4" w:space="0" w:color="auto"/>
              <w:left w:val="single" w:sz="4" w:space="0" w:color="auto"/>
              <w:bottom w:val="single" w:sz="4" w:space="0" w:color="auto"/>
              <w:right w:val="single" w:sz="4" w:space="0" w:color="auto"/>
            </w:tcBorders>
            <w:shd w:val="clear" w:color="auto" w:fill="E7E6E6" w:themeFill="background2"/>
          </w:tcPr>
          <w:p w14:paraId="12C16EF8" w14:textId="2967F9A6" w:rsidR="0041286E" w:rsidRPr="00AF2787" w:rsidRDefault="0041286E"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 xml:space="preserve">After treatment, Group -1 </w:t>
            </w:r>
          </w:p>
        </w:tc>
        <w:tc>
          <w:tcPr>
            <w:tcW w:w="1846" w:type="dxa"/>
            <w:tcBorders>
              <w:top w:val="single" w:sz="4" w:space="0" w:color="auto"/>
              <w:left w:val="single" w:sz="4" w:space="0" w:color="auto"/>
              <w:bottom w:val="single" w:sz="4" w:space="0" w:color="auto"/>
              <w:right w:val="single" w:sz="4" w:space="0" w:color="auto"/>
            </w:tcBorders>
            <w:shd w:val="clear" w:color="auto" w:fill="E7E6E6" w:themeFill="background2"/>
          </w:tcPr>
          <w:p w14:paraId="21CAD6A5" w14:textId="14E11140" w:rsidR="0041286E" w:rsidRPr="00AF2787" w:rsidRDefault="0041286E"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 xml:space="preserve">Before treatment, Group-2 </w:t>
            </w:r>
          </w:p>
        </w:tc>
      </w:tr>
      <w:tr w:rsidR="0041286E" w:rsidRPr="00AF2787" w14:paraId="3A89E146" w14:textId="77777777" w:rsidTr="000108AD">
        <w:trPr>
          <w:trHeight w:val="555"/>
        </w:trPr>
        <w:tc>
          <w:tcPr>
            <w:tcW w:w="2296" w:type="dxa"/>
            <w:tcBorders>
              <w:top w:val="single" w:sz="4" w:space="0" w:color="auto"/>
              <w:left w:val="single" w:sz="4" w:space="0" w:color="auto"/>
              <w:bottom w:val="single" w:sz="4" w:space="0" w:color="auto"/>
              <w:right w:val="single" w:sz="4" w:space="0" w:color="auto"/>
            </w:tcBorders>
          </w:tcPr>
          <w:p w14:paraId="4E3ACE58" w14:textId="5C595A45"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BCVA≥6/18</w:t>
            </w:r>
          </w:p>
        </w:tc>
        <w:tc>
          <w:tcPr>
            <w:tcW w:w="2303" w:type="dxa"/>
            <w:tcBorders>
              <w:top w:val="single" w:sz="4" w:space="0" w:color="auto"/>
              <w:left w:val="single" w:sz="4" w:space="0" w:color="auto"/>
              <w:bottom w:val="single" w:sz="4" w:space="0" w:color="auto"/>
              <w:right w:val="single" w:sz="4" w:space="0" w:color="auto"/>
            </w:tcBorders>
          </w:tcPr>
          <w:p w14:paraId="410AD252" w14:textId="118C6342"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1</w:t>
            </w:r>
            <w:r w:rsidR="00450515">
              <w:rPr>
                <w:rFonts w:ascii="Times New Roman" w:hAnsi="Times New Roman" w:cs="Times New Roman"/>
                <w:sz w:val="24"/>
                <w:szCs w:val="24"/>
              </w:rPr>
              <w:t>4</w:t>
            </w:r>
          </w:p>
        </w:tc>
        <w:tc>
          <w:tcPr>
            <w:tcW w:w="2298" w:type="dxa"/>
            <w:tcBorders>
              <w:top w:val="single" w:sz="4" w:space="0" w:color="auto"/>
              <w:left w:val="single" w:sz="4" w:space="0" w:color="auto"/>
              <w:bottom w:val="single" w:sz="4" w:space="0" w:color="auto"/>
              <w:right w:val="single" w:sz="4" w:space="0" w:color="auto"/>
            </w:tcBorders>
          </w:tcPr>
          <w:p w14:paraId="57337126" w14:textId="08B20E88"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846" w:type="dxa"/>
            <w:tcBorders>
              <w:top w:val="single" w:sz="4" w:space="0" w:color="auto"/>
              <w:left w:val="single" w:sz="4" w:space="0" w:color="auto"/>
              <w:bottom w:val="single" w:sz="4" w:space="0" w:color="auto"/>
              <w:right w:val="single" w:sz="4" w:space="0" w:color="auto"/>
            </w:tcBorders>
          </w:tcPr>
          <w:p w14:paraId="6B88A514" w14:textId="21708441"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41286E" w:rsidRPr="00AF2787" w14:paraId="70BE418A" w14:textId="77777777" w:rsidTr="000108AD">
        <w:trPr>
          <w:trHeight w:val="555"/>
        </w:trPr>
        <w:tc>
          <w:tcPr>
            <w:tcW w:w="2296" w:type="dxa"/>
            <w:tcBorders>
              <w:top w:val="single" w:sz="4" w:space="0" w:color="auto"/>
              <w:left w:val="single" w:sz="4" w:space="0" w:color="auto"/>
              <w:bottom w:val="single" w:sz="4" w:space="0" w:color="auto"/>
              <w:right w:val="single" w:sz="4" w:space="0" w:color="auto"/>
            </w:tcBorders>
          </w:tcPr>
          <w:p w14:paraId="5694208E" w14:textId="64B583DB"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BCVA &lt;6/18 to≥6/60</w:t>
            </w:r>
          </w:p>
        </w:tc>
        <w:tc>
          <w:tcPr>
            <w:tcW w:w="2303" w:type="dxa"/>
            <w:tcBorders>
              <w:top w:val="single" w:sz="4" w:space="0" w:color="auto"/>
              <w:left w:val="single" w:sz="4" w:space="0" w:color="auto"/>
              <w:bottom w:val="single" w:sz="4" w:space="0" w:color="auto"/>
              <w:right w:val="single" w:sz="4" w:space="0" w:color="auto"/>
            </w:tcBorders>
          </w:tcPr>
          <w:p w14:paraId="0BB1D788" w14:textId="530E71E0"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98" w:type="dxa"/>
            <w:tcBorders>
              <w:top w:val="single" w:sz="4" w:space="0" w:color="auto"/>
              <w:left w:val="single" w:sz="4" w:space="0" w:color="auto"/>
              <w:bottom w:val="single" w:sz="4" w:space="0" w:color="auto"/>
              <w:right w:val="single" w:sz="4" w:space="0" w:color="auto"/>
            </w:tcBorders>
          </w:tcPr>
          <w:p w14:paraId="40A63E1E" w14:textId="1967D09D"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46" w:type="dxa"/>
            <w:tcBorders>
              <w:top w:val="single" w:sz="4" w:space="0" w:color="auto"/>
              <w:left w:val="single" w:sz="4" w:space="0" w:color="auto"/>
              <w:bottom w:val="single" w:sz="4" w:space="0" w:color="auto"/>
              <w:right w:val="single" w:sz="4" w:space="0" w:color="auto"/>
            </w:tcBorders>
          </w:tcPr>
          <w:p w14:paraId="44A9EA34" w14:textId="19EDA54F"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41286E" w:rsidRPr="00AF2787" w14:paraId="59AA7FB9" w14:textId="77777777" w:rsidTr="000108AD">
        <w:trPr>
          <w:trHeight w:val="555"/>
        </w:trPr>
        <w:tc>
          <w:tcPr>
            <w:tcW w:w="2296" w:type="dxa"/>
            <w:tcBorders>
              <w:top w:val="single" w:sz="4" w:space="0" w:color="auto"/>
              <w:left w:val="single" w:sz="4" w:space="0" w:color="auto"/>
              <w:bottom w:val="single" w:sz="4" w:space="0" w:color="auto"/>
              <w:right w:val="single" w:sz="4" w:space="0" w:color="auto"/>
            </w:tcBorders>
          </w:tcPr>
          <w:p w14:paraId="4DE52C50" w14:textId="6BA6D308"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BCVA &lt;6/60 to≥3/6</w:t>
            </w:r>
          </w:p>
        </w:tc>
        <w:tc>
          <w:tcPr>
            <w:tcW w:w="2303" w:type="dxa"/>
            <w:tcBorders>
              <w:top w:val="single" w:sz="4" w:space="0" w:color="auto"/>
              <w:left w:val="single" w:sz="4" w:space="0" w:color="auto"/>
              <w:bottom w:val="single" w:sz="4" w:space="0" w:color="auto"/>
              <w:right w:val="single" w:sz="4" w:space="0" w:color="auto"/>
            </w:tcBorders>
          </w:tcPr>
          <w:p w14:paraId="6BE1E987" w14:textId="70820D57"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Borders>
              <w:top w:val="single" w:sz="4" w:space="0" w:color="auto"/>
              <w:left w:val="single" w:sz="4" w:space="0" w:color="auto"/>
              <w:bottom w:val="single" w:sz="4" w:space="0" w:color="auto"/>
              <w:right w:val="single" w:sz="4" w:space="0" w:color="auto"/>
            </w:tcBorders>
          </w:tcPr>
          <w:p w14:paraId="54C8D288" w14:textId="1F1773D7"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846" w:type="dxa"/>
            <w:tcBorders>
              <w:top w:val="single" w:sz="4" w:space="0" w:color="auto"/>
              <w:left w:val="single" w:sz="4" w:space="0" w:color="auto"/>
              <w:bottom w:val="single" w:sz="4" w:space="0" w:color="auto"/>
              <w:right w:val="single" w:sz="4" w:space="0" w:color="auto"/>
            </w:tcBorders>
          </w:tcPr>
          <w:p w14:paraId="37419A3A" w14:textId="02E6A7BF"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1</w:t>
            </w:r>
            <w:r w:rsidR="00450515">
              <w:rPr>
                <w:rFonts w:ascii="Times New Roman" w:hAnsi="Times New Roman" w:cs="Times New Roman"/>
                <w:sz w:val="24"/>
                <w:szCs w:val="24"/>
              </w:rPr>
              <w:t>2</w:t>
            </w:r>
          </w:p>
        </w:tc>
      </w:tr>
      <w:tr w:rsidR="0041286E" w:rsidRPr="00AF2787" w14:paraId="1C39C025" w14:textId="77777777" w:rsidTr="000108AD">
        <w:trPr>
          <w:trHeight w:val="555"/>
        </w:trPr>
        <w:tc>
          <w:tcPr>
            <w:tcW w:w="2296" w:type="dxa"/>
            <w:tcBorders>
              <w:top w:val="single" w:sz="4" w:space="0" w:color="auto"/>
              <w:left w:val="single" w:sz="4" w:space="0" w:color="auto"/>
              <w:bottom w:val="single" w:sz="4" w:space="0" w:color="auto"/>
              <w:right w:val="single" w:sz="4" w:space="0" w:color="auto"/>
            </w:tcBorders>
          </w:tcPr>
          <w:p w14:paraId="5B1E33D5" w14:textId="05D1592F"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BCVA &lt;3/60</w:t>
            </w:r>
          </w:p>
        </w:tc>
        <w:tc>
          <w:tcPr>
            <w:tcW w:w="2303" w:type="dxa"/>
            <w:tcBorders>
              <w:top w:val="single" w:sz="4" w:space="0" w:color="auto"/>
              <w:left w:val="single" w:sz="4" w:space="0" w:color="auto"/>
              <w:bottom w:val="single" w:sz="4" w:space="0" w:color="auto"/>
              <w:right w:val="single" w:sz="4" w:space="0" w:color="auto"/>
            </w:tcBorders>
          </w:tcPr>
          <w:p w14:paraId="30B75F40" w14:textId="59F4DBAD"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98" w:type="dxa"/>
            <w:tcBorders>
              <w:top w:val="single" w:sz="4" w:space="0" w:color="auto"/>
              <w:left w:val="single" w:sz="4" w:space="0" w:color="auto"/>
              <w:bottom w:val="single" w:sz="4" w:space="0" w:color="auto"/>
              <w:right w:val="single" w:sz="4" w:space="0" w:color="auto"/>
            </w:tcBorders>
          </w:tcPr>
          <w:p w14:paraId="05CDF12C" w14:textId="3049FA64" w:rsidR="0041286E"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846" w:type="dxa"/>
            <w:tcBorders>
              <w:top w:val="single" w:sz="4" w:space="0" w:color="auto"/>
              <w:left w:val="single" w:sz="4" w:space="0" w:color="auto"/>
              <w:bottom w:val="single" w:sz="4" w:space="0" w:color="auto"/>
              <w:right w:val="single" w:sz="4" w:space="0" w:color="auto"/>
            </w:tcBorders>
          </w:tcPr>
          <w:p w14:paraId="48A9CD12" w14:textId="42C12FFB" w:rsidR="0041286E" w:rsidRPr="00AF2787" w:rsidRDefault="0041286E"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2</w:t>
            </w:r>
            <w:r w:rsidR="00450515">
              <w:rPr>
                <w:rFonts w:ascii="Times New Roman" w:hAnsi="Times New Roman" w:cs="Times New Roman"/>
                <w:sz w:val="24"/>
                <w:szCs w:val="24"/>
              </w:rPr>
              <w:t>0</w:t>
            </w:r>
          </w:p>
        </w:tc>
      </w:tr>
    </w:tbl>
    <w:p w14:paraId="4DE0033B" w14:textId="77777777" w:rsidR="00715E0C" w:rsidRPr="00AF2787" w:rsidRDefault="00715E0C" w:rsidP="00AF2787">
      <w:pPr>
        <w:spacing w:after="0" w:line="360" w:lineRule="auto"/>
        <w:jc w:val="both"/>
        <w:rPr>
          <w:rFonts w:ascii="Times New Roman" w:hAnsi="Times New Roman" w:cs="Times New Roman"/>
          <w:sz w:val="24"/>
          <w:szCs w:val="24"/>
        </w:rPr>
      </w:pPr>
    </w:p>
    <w:p w14:paraId="10AF4744" w14:textId="2F3DFB0B" w:rsidR="0041286E" w:rsidRPr="00AF2787" w:rsidRDefault="00A65152" w:rsidP="00AF2787">
      <w:pPr>
        <w:spacing w:after="0" w:line="360" w:lineRule="auto"/>
        <w:jc w:val="both"/>
        <w:rPr>
          <w:rFonts w:ascii="Times New Roman" w:hAnsi="Times New Roman" w:cs="Times New Roman"/>
          <w:sz w:val="24"/>
          <w:szCs w:val="24"/>
        </w:rPr>
      </w:pPr>
      <w:r w:rsidRPr="00A65152">
        <w:rPr>
          <w:rFonts w:ascii="Times New Roman" w:hAnsi="Times New Roman" w:cs="Times New Roman"/>
          <w:sz w:val="24"/>
          <w:szCs w:val="24"/>
        </w:rPr>
        <w:t>The study results indicate that the mean duration of healing increased with disease severity, with mild cases healing in approximately 7.89±2.13 days, moderate cases in 17.39±5.65 days, and severe cases in 34.78±11.68 days. Medical treatment failure rates were highest in severe cases (51%), followed by moderate (30%) and mild (7%) cases. While no mild or moderate cases required primary surgical intervention, 46% of severe cases underwent surgery. Anatomical success rates were highest in mild cases (90%), slightly lower in moderate cases (87%), and lowest in severe cases (80%). Recurrence rates increased with severity, recorded at 0.3% in mild, 5% in moderate, and 9% in severe cases. In terms of visual outcomes, the mean Best Corrected Visual Acuity (BCVA) improved slightly across all groups post-treatment. Severe cases had the lowest baseline BCVA (0.03±0.008), improving to 0.13±0.04 post-treatment. Moderate cases improved from 0.27±0.06 to 0.31±0.11, while mild cases showed the best improvement, from 0.48±0.13 to 0.54±0.21. When comparing treatment approaches, primary surgical cases demonstrated significant BCVA improvement (0.03±0.03 to 0.14±0.04, p=0.001), as did medical cases followed by surgery (0.10±0.07 to 0.21±0.09, p=0.0012). However, cases managed only medically in the severe and moderate groups showed no significant improvement (0.19±0.10 to 0.19±0.06, p=0.360). These findings highlight the greater need for surgical intervention in severe cases and the limited efficacy of medical treatment alone in advanced stages.</w:t>
      </w:r>
    </w:p>
    <w:p w14:paraId="17DCD670" w14:textId="77777777" w:rsidR="00A77CD1" w:rsidRDefault="00A77CD1" w:rsidP="00AF2787">
      <w:pPr>
        <w:spacing w:after="0" w:line="360" w:lineRule="auto"/>
        <w:jc w:val="both"/>
        <w:rPr>
          <w:rFonts w:ascii="Times New Roman" w:hAnsi="Times New Roman" w:cs="Times New Roman"/>
          <w:b/>
          <w:bCs/>
          <w:sz w:val="24"/>
          <w:szCs w:val="24"/>
        </w:rPr>
      </w:pPr>
    </w:p>
    <w:p w14:paraId="339E339C" w14:textId="05B8A69F" w:rsidR="001648CF" w:rsidRPr="00AF2787" w:rsidRDefault="00715E0C"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 xml:space="preserve">Table </w:t>
      </w:r>
      <w:r w:rsidR="00C80A6E" w:rsidRPr="00AF2787">
        <w:rPr>
          <w:rFonts w:ascii="Times New Roman" w:hAnsi="Times New Roman" w:cs="Times New Roman"/>
          <w:b/>
          <w:bCs/>
          <w:sz w:val="24"/>
          <w:szCs w:val="24"/>
        </w:rPr>
        <w:t>5</w:t>
      </w:r>
      <w:r w:rsidRPr="00AF2787">
        <w:rPr>
          <w:rFonts w:ascii="Times New Roman" w:hAnsi="Times New Roman" w:cs="Times New Roman"/>
          <w:b/>
          <w:bCs/>
          <w:sz w:val="24"/>
          <w:szCs w:val="24"/>
        </w:rPr>
        <w:t xml:space="preserve">: </w:t>
      </w:r>
      <w:r w:rsidR="00A65152" w:rsidRPr="00A65152">
        <w:rPr>
          <w:rFonts w:ascii="Times New Roman" w:hAnsi="Times New Roman" w:cs="Times New Roman"/>
          <w:b/>
          <w:bCs/>
          <w:sz w:val="24"/>
          <w:szCs w:val="24"/>
        </w:rPr>
        <w:t>Management, Outcome, and Visual Acuity in Patients with PUK</w:t>
      </w:r>
    </w:p>
    <w:p w14:paraId="35304DE1" w14:textId="77777777" w:rsidR="001648CF" w:rsidRPr="00AF2787" w:rsidRDefault="001648CF" w:rsidP="00AF2787">
      <w:pPr>
        <w:spacing w:after="0" w:line="360" w:lineRule="auto"/>
        <w:jc w:val="both"/>
        <w:rPr>
          <w:rFonts w:ascii="Times New Roman" w:hAnsi="Times New Roman" w:cs="Times New Roman"/>
          <w:sz w:val="24"/>
          <w:szCs w:val="24"/>
        </w:rPr>
      </w:pPr>
    </w:p>
    <w:tbl>
      <w:tblPr>
        <w:tblW w:w="88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8"/>
        <w:gridCol w:w="2323"/>
        <w:gridCol w:w="1866"/>
      </w:tblGrid>
      <w:tr w:rsidR="001648CF" w:rsidRPr="00AF2787" w14:paraId="6D251BC6"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shd w:val="clear" w:color="auto" w:fill="E7E6E6" w:themeFill="background2"/>
          </w:tcPr>
          <w:p w14:paraId="3A20B600" w14:textId="1434D9A7" w:rsidR="001648CF" w:rsidRPr="00AF2787" w:rsidRDefault="005A7050"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 xml:space="preserve">Outcome </w:t>
            </w:r>
          </w:p>
        </w:tc>
        <w:tc>
          <w:tcPr>
            <w:tcW w:w="2328" w:type="dxa"/>
            <w:tcBorders>
              <w:top w:val="single" w:sz="4" w:space="0" w:color="auto"/>
              <w:left w:val="single" w:sz="4" w:space="0" w:color="auto"/>
              <w:bottom w:val="single" w:sz="4" w:space="0" w:color="auto"/>
              <w:right w:val="single" w:sz="4" w:space="0" w:color="auto"/>
            </w:tcBorders>
            <w:shd w:val="clear" w:color="auto" w:fill="E7E6E6" w:themeFill="background2"/>
          </w:tcPr>
          <w:p w14:paraId="13F2EC61" w14:textId="03263B31" w:rsidR="001648CF" w:rsidRPr="00AF2787" w:rsidRDefault="005A7050"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 xml:space="preserve">Mild diseases </w:t>
            </w:r>
          </w:p>
        </w:tc>
        <w:tc>
          <w:tcPr>
            <w:tcW w:w="2323" w:type="dxa"/>
            <w:tcBorders>
              <w:top w:val="single" w:sz="4" w:space="0" w:color="auto"/>
              <w:left w:val="single" w:sz="4" w:space="0" w:color="auto"/>
              <w:bottom w:val="single" w:sz="4" w:space="0" w:color="auto"/>
              <w:right w:val="single" w:sz="4" w:space="0" w:color="auto"/>
            </w:tcBorders>
            <w:shd w:val="clear" w:color="auto" w:fill="E7E6E6" w:themeFill="background2"/>
          </w:tcPr>
          <w:p w14:paraId="6962F890" w14:textId="08577939" w:rsidR="001648CF" w:rsidRPr="00AF2787" w:rsidRDefault="005A7050"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Moderate diseases</w:t>
            </w:r>
          </w:p>
        </w:tc>
        <w:tc>
          <w:tcPr>
            <w:tcW w:w="1866" w:type="dxa"/>
            <w:tcBorders>
              <w:top w:val="single" w:sz="4" w:space="0" w:color="auto"/>
              <w:left w:val="single" w:sz="4" w:space="0" w:color="auto"/>
              <w:bottom w:val="single" w:sz="4" w:space="0" w:color="auto"/>
              <w:right w:val="single" w:sz="4" w:space="0" w:color="auto"/>
            </w:tcBorders>
            <w:shd w:val="clear" w:color="auto" w:fill="E7E6E6" w:themeFill="background2"/>
          </w:tcPr>
          <w:p w14:paraId="14E6966A" w14:textId="7C106C3C" w:rsidR="001648CF" w:rsidRPr="00AF2787" w:rsidRDefault="005A7050"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Severe diseases</w:t>
            </w:r>
          </w:p>
        </w:tc>
      </w:tr>
      <w:tr w:rsidR="005A7050" w:rsidRPr="00AF2787" w14:paraId="24C853FB"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43A76EC5" w14:textId="73903E44" w:rsidR="005A7050"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Mean duration of healing (days)</w:t>
            </w:r>
          </w:p>
        </w:tc>
        <w:tc>
          <w:tcPr>
            <w:tcW w:w="2328" w:type="dxa"/>
            <w:tcBorders>
              <w:top w:val="single" w:sz="4" w:space="0" w:color="auto"/>
              <w:left w:val="single" w:sz="4" w:space="0" w:color="auto"/>
              <w:bottom w:val="single" w:sz="4" w:space="0" w:color="auto"/>
              <w:right w:val="single" w:sz="4" w:space="0" w:color="auto"/>
            </w:tcBorders>
          </w:tcPr>
          <w:p w14:paraId="09514E84" w14:textId="57EA0D9D"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7.8</w:t>
            </w:r>
            <w:r w:rsidR="00450515">
              <w:rPr>
                <w:rFonts w:ascii="Times New Roman" w:hAnsi="Times New Roman" w:cs="Times New Roman"/>
                <w:sz w:val="24"/>
                <w:szCs w:val="24"/>
              </w:rPr>
              <w:t>9</w:t>
            </w:r>
            <w:r w:rsidRPr="00AF2787">
              <w:rPr>
                <w:rFonts w:ascii="Times New Roman" w:hAnsi="Times New Roman" w:cs="Times New Roman"/>
                <w:sz w:val="24"/>
                <w:szCs w:val="24"/>
              </w:rPr>
              <w:t>±2.1</w:t>
            </w:r>
            <w:r w:rsidR="00450515">
              <w:rPr>
                <w:rFonts w:ascii="Times New Roman" w:hAnsi="Times New Roman" w:cs="Times New Roman"/>
                <w:sz w:val="24"/>
                <w:szCs w:val="24"/>
              </w:rPr>
              <w:t>3</w:t>
            </w:r>
          </w:p>
        </w:tc>
        <w:tc>
          <w:tcPr>
            <w:tcW w:w="2323" w:type="dxa"/>
            <w:tcBorders>
              <w:top w:val="single" w:sz="4" w:space="0" w:color="auto"/>
              <w:left w:val="single" w:sz="4" w:space="0" w:color="auto"/>
              <w:bottom w:val="single" w:sz="4" w:space="0" w:color="auto"/>
              <w:right w:val="single" w:sz="4" w:space="0" w:color="auto"/>
            </w:tcBorders>
          </w:tcPr>
          <w:p w14:paraId="0F3DD45B" w14:textId="132CA36D"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17.3</w:t>
            </w:r>
            <w:r w:rsidR="00450515">
              <w:rPr>
                <w:rFonts w:ascii="Times New Roman" w:hAnsi="Times New Roman" w:cs="Times New Roman"/>
                <w:sz w:val="24"/>
                <w:szCs w:val="24"/>
              </w:rPr>
              <w:t>9</w:t>
            </w:r>
            <w:r w:rsidRPr="00AF2787">
              <w:rPr>
                <w:rFonts w:ascii="Times New Roman" w:hAnsi="Times New Roman" w:cs="Times New Roman"/>
                <w:sz w:val="24"/>
                <w:szCs w:val="24"/>
              </w:rPr>
              <w:t>±5.6</w:t>
            </w:r>
            <w:r w:rsidR="00DB6FA7" w:rsidRPr="00AF2787">
              <w:rPr>
                <w:rFonts w:ascii="Times New Roman" w:hAnsi="Times New Roman" w:cs="Times New Roman"/>
                <w:sz w:val="24"/>
                <w:szCs w:val="24"/>
              </w:rPr>
              <w:t>5</w:t>
            </w:r>
            <w:r w:rsidRPr="00AF2787">
              <w:rPr>
                <w:rFonts w:ascii="Times New Roman" w:hAnsi="Times New Roman" w:cs="Times New Roman"/>
                <w:sz w:val="24"/>
                <w:szCs w:val="24"/>
              </w:rPr>
              <w:t xml:space="preserve"> </w:t>
            </w:r>
          </w:p>
        </w:tc>
        <w:tc>
          <w:tcPr>
            <w:tcW w:w="1866" w:type="dxa"/>
            <w:tcBorders>
              <w:top w:val="single" w:sz="4" w:space="0" w:color="auto"/>
              <w:left w:val="single" w:sz="4" w:space="0" w:color="auto"/>
              <w:bottom w:val="single" w:sz="4" w:space="0" w:color="auto"/>
              <w:right w:val="single" w:sz="4" w:space="0" w:color="auto"/>
            </w:tcBorders>
          </w:tcPr>
          <w:p w14:paraId="52085597" w14:textId="7CD2CA17"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3</w:t>
            </w:r>
            <w:r w:rsidR="00450515">
              <w:rPr>
                <w:rFonts w:ascii="Times New Roman" w:hAnsi="Times New Roman" w:cs="Times New Roman"/>
                <w:sz w:val="24"/>
                <w:szCs w:val="24"/>
              </w:rPr>
              <w:t>4</w:t>
            </w:r>
            <w:r w:rsidRPr="00AF2787">
              <w:rPr>
                <w:rFonts w:ascii="Times New Roman" w:hAnsi="Times New Roman" w:cs="Times New Roman"/>
                <w:sz w:val="24"/>
                <w:szCs w:val="24"/>
              </w:rPr>
              <w:t>.7</w:t>
            </w:r>
            <w:r w:rsidR="00450515">
              <w:rPr>
                <w:rFonts w:ascii="Times New Roman" w:hAnsi="Times New Roman" w:cs="Times New Roman"/>
                <w:sz w:val="24"/>
                <w:szCs w:val="24"/>
              </w:rPr>
              <w:t>8</w:t>
            </w:r>
            <w:r w:rsidRPr="00AF2787">
              <w:rPr>
                <w:rFonts w:ascii="Times New Roman" w:hAnsi="Times New Roman" w:cs="Times New Roman"/>
                <w:sz w:val="24"/>
                <w:szCs w:val="24"/>
              </w:rPr>
              <w:t>±11.6</w:t>
            </w:r>
            <w:r w:rsidR="00DB6FA7" w:rsidRPr="00AF2787">
              <w:rPr>
                <w:rFonts w:ascii="Times New Roman" w:hAnsi="Times New Roman" w:cs="Times New Roman"/>
                <w:sz w:val="24"/>
                <w:szCs w:val="24"/>
              </w:rPr>
              <w:t>8</w:t>
            </w:r>
          </w:p>
        </w:tc>
      </w:tr>
      <w:tr w:rsidR="001648CF" w:rsidRPr="00AF2787" w14:paraId="7206A56D"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344A7AA8" w14:textId="1FF7C70D" w:rsidR="001648CF"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Medical treatment failure</w:t>
            </w:r>
          </w:p>
        </w:tc>
        <w:tc>
          <w:tcPr>
            <w:tcW w:w="2328" w:type="dxa"/>
            <w:tcBorders>
              <w:top w:val="single" w:sz="4" w:space="0" w:color="auto"/>
              <w:left w:val="single" w:sz="4" w:space="0" w:color="auto"/>
              <w:bottom w:val="single" w:sz="4" w:space="0" w:color="auto"/>
              <w:right w:val="single" w:sz="4" w:space="0" w:color="auto"/>
            </w:tcBorders>
          </w:tcPr>
          <w:p w14:paraId="28505AE5" w14:textId="66D98BD1" w:rsidR="001648CF"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5A7050" w:rsidRPr="00AF2787">
              <w:rPr>
                <w:rFonts w:ascii="Times New Roman" w:hAnsi="Times New Roman" w:cs="Times New Roman"/>
                <w:sz w:val="24"/>
                <w:szCs w:val="24"/>
              </w:rPr>
              <w:t>%</w:t>
            </w:r>
          </w:p>
        </w:tc>
        <w:tc>
          <w:tcPr>
            <w:tcW w:w="2323" w:type="dxa"/>
            <w:tcBorders>
              <w:top w:val="single" w:sz="4" w:space="0" w:color="auto"/>
              <w:left w:val="single" w:sz="4" w:space="0" w:color="auto"/>
              <w:bottom w:val="single" w:sz="4" w:space="0" w:color="auto"/>
              <w:right w:val="single" w:sz="4" w:space="0" w:color="auto"/>
            </w:tcBorders>
          </w:tcPr>
          <w:p w14:paraId="2DBBD131" w14:textId="3A95004D" w:rsidR="001648CF"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3</w:t>
            </w:r>
            <w:r w:rsidR="00450515">
              <w:rPr>
                <w:rFonts w:ascii="Times New Roman" w:hAnsi="Times New Roman" w:cs="Times New Roman"/>
                <w:sz w:val="24"/>
                <w:szCs w:val="24"/>
              </w:rPr>
              <w:t>0</w:t>
            </w:r>
            <w:r w:rsidRPr="00AF2787">
              <w:rPr>
                <w:rFonts w:ascii="Times New Roman" w:hAnsi="Times New Roman" w:cs="Times New Roman"/>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19552204" w14:textId="2F5094A9" w:rsidR="001648CF"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5</w:t>
            </w:r>
            <w:r w:rsidR="00450515">
              <w:rPr>
                <w:rFonts w:ascii="Times New Roman" w:hAnsi="Times New Roman" w:cs="Times New Roman"/>
                <w:sz w:val="24"/>
                <w:szCs w:val="24"/>
              </w:rPr>
              <w:t>1</w:t>
            </w:r>
            <w:r w:rsidRPr="00AF2787">
              <w:rPr>
                <w:rFonts w:ascii="Times New Roman" w:hAnsi="Times New Roman" w:cs="Times New Roman"/>
                <w:sz w:val="24"/>
                <w:szCs w:val="24"/>
              </w:rPr>
              <w:t>%</w:t>
            </w:r>
          </w:p>
        </w:tc>
      </w:tr>
      <w:tr w:rsidR="001648CF" w:rsidRPr="00AF2787" w14:paraId="127AAD9F"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04054CB9" w14:textId="30AB3944" w:rsidR="001648CF"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Primary surgical management</w:t>
            </w:r>
          </w:p>
        </w:tc>
        <w:tc>
          <w:tcPr>
            <w:tcW w:w="2328" w:type="dxa"/>
            <w:tcBorders>
              <w:top w:val="single" w:sz="4" w:space="0" w:color="auto"/>
              <w:left w:val="single" w:sz="4" w:space="0" w:color="auto"/>
              <w:bottom w:val="single" w:sz="4" w:space="0" w:color="auto"/>
              <w:right w:val="single" w:sz="4" w:space="0" w:color="auto"/>
            </w:tcBorders>
          </w:tcPr>
          <w:p w14:paraId="5A5D0E14" w14:textId="469D337A" w:rsidR="001648CF"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w:t>
            </w:r>
          </w:p>
        </w:tc>
        <w:tc>
          <w:tcPr>
            <w:tcW w:w="2323" w:type="dxa"/>
            <w:tcBorders>
              <w:top w:val="single" w:sz="4" w:space="0" w:color="auto"/>
              <w:left w:val="single" w:sz="4" w:space="0" w:color="auto"/>
              <w:bottom w:val="single" w:sz="4" w:space="0" w:color="auto"/>
              <w:right w:val="single" w:sz="4" w:space="0" w:color="auto"/>
            </w:tcBorders>
          </w:tcPr>
          <w:p w14:paraId="3EF1E9EF" w14:textId="3F661123" w:rsidR="001648CF"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w:t>
            </w:r>
          </w:p>
        </w:tc>
        <w:tc>
          <w:tcPr>
            <w:tcW w:w="1866" w:type="dxa"/>
            <w:tcBorders>
              <w:top w:val="single" w:sz="4" w:space="0" w:color="auto"/>
              <w:left w:val="single" w:sz="4" w:space="0" w:color="auto"/>
              <w:bottom w:val="single" w:sz="4" w:space="0" w:color="auto"/>
              <w:right w:val="single" w:sz="4" w:space="0" w:color="auto"/>
            </w:tcBorders>
          </w:tcPr>
          <w:p w14:paraId="61A85967" w14:textId="3002754D" w:rsidR="001648CF"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4</w:t>
            </w:r>
            <w:r w:rsidR="00450515">
              <w:rPr>
                <w:rFonts w:ascii="Times New Roman" w:hAnsi="Times New Roman" w:cs="Times New Roman"/>
                <w:sz w:val="24"/>
                <w:szCs w:val="24"/>
              </w:rPr>
              <w:t>6</w:t>
            </w:r>
            <w:r w:rsidRPr="00AF2787">
              <w:rPr>
                <w:rFonts w:ascii="Times New Roman" w:hAnsi="Times New Roman" w:cs="Times New Roman"/>
                <w:sz w:val="24"/>
                <w:szCs w:val="24"/>
              </w:rPr>
              <w:t>%</w:t>
            </w:r>
          </w:p>
        </w:tc>
      </w:tr>
      <w:tr w:rsidR="005A7050" w:rsidRPr="00AF2787" w14:paraId="0CC4A9AC"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5E921C99" w14:textId="170498D7" w:rsidR="005A7050"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Anatomical success</w:t>
            </w:r>
          </w:p>
        </w:tc>
        <w:tc>
          <w:tcPr>
            <w:tcW w:w="2328" w:type="dxa"/>
            <w:tcBorders>
              <w:top w:val="single" w:sz="4" w:space="0" w:color="auto"/>
              <w:left w:val="single" w:sz="4" w:space="0" w:color="auto"/>
              <w:bottom w:val="single" w:sz="4" w:space="0" w:color="auto"/>
              <w:right w:val="single" w:sz="4" w:space="0" w:color="auto"/>
            </w:tcBorders>
          </w:tcPr>
          <w:p w14:paraId="265FF24D" w14:textId="1B74E253"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9</w:t>
            </w:r>
            <w:r w:rsidR="00450515">
              <w:rPr>
                <w:rFonts w:ascii="Times New Roman" w:hAnsi="Times New Roman" w:cs="Times New Roman"/>
                <w:sz w:val="24"/>
                <w:szCs w:val="24"/>
              </w:rPr>
              <w:t>0</w:t>
            </w:r>
            <w:r w:rsidRPr="00AF2787">
              <w:rPr>
                <w:rFonts w:ascii="Times New Roman" w:hAnsi="Times New Roman" w:cs="Times New Roman"/>
                <w:sz w:val="24"/>
                <w:szCs w:val="24"/>
              </w:rPr>
              <w:t>%</w:t>
            </w:r>
          </w:p>
        </w:tc>
        <w:tc>
          <w:tcPr>
            <w:tcW w:w="2323" w:type="dxa"/>
            <w:tcBorders>
              <w:top w:val="single" w:sz="4" w:space="0" w:color="auto"/>
              <w:left w:val="single" w:sz="4" w:space="0" w:color="auto"/>
              <w:bottom w:val="single" w:sz="4" w:space="0" w:color="auto"/>
              <w:right w:val="single" w:sz="4" w:space="0" w:color="auto"/>
            </w:tcBorders>
          </w:tcPr>
          <w:p w14:paraId="49DF29D9" w14:textId="0BE1F9B1"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8</w:t>
            </w:r>
            <w:r w:rsidR="00450515">
              <w:rPr>
                <w:rFonts w:ascii="Times New Roman" w:hAnsi="Times New Roman" w:cs="Times New Roman"/>
                <w:sz w:val="24"/>
                <w:szCs w:val="24"/>
              </w:rPr>
              <w:t>7</w:t>
            </w:r>
            <w:r w:rsidRPr="00AF2787">
              <w:rPr>
                <w:rFonts w:ascii="Times New Roman" w:hAnsi="Times New Roman" w:cs="Times New Roman"/>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11553450" w14:textId="5CCFAAD7"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8</w:t>
            </w:r>
            <w:r w:rsidR="00450515">
              <w:rPr>
                <w:rFonts w:ascii="Times New Roman" w:hAnsi="Times New Roman" w:cs="Times New Roman"/>
                <w:sz w:val="24"/>
                <w:szCs w:val="24"/>
              </w:rPr>
              <w:t>0</w:t>
            </w:r>
            <w:r w:rsidRPr="00AF2787">
              <w:rPr>
                <w:rFonts w:ascii="Times New Roman" w:hAnsi="Times New Roman" w:cs="Times New Roman"/>
                <w:sz w:val="24"/>
                <w:szCs w:val="24"/>
              </w:rPr>
              <w:t>%</w:t>
            </w:r>
          </w:p>
        </w:tc>
      </w:tr>
      <w:tr w:rsidR="005A7050" w:rsidRPr="00AF2787" w14:paraId="77B7CBD1"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13EF902E" w14:textId="442D2842" w:rsidR="005A7050"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Recurrence</w:t>
            </w:r>
          </w:p>
        </w:tc>
        <w:tc>
          <w:tcPr>
            <w:tcW w:w="2328" w:type="dxa"/>
            <w:tcBorders>
              <w:top w:val="single" w:sz="4" w:space="0" w:color="auto"/>
              <w:left w:val="single" w:sz="4" w:space="0" w:color="auto"/>
              <w:bottom w:val="single" w:sz="4" w:space="0" w:color="auto"/>
              <w:right w:val="single" w:sz="4" w:space="0" w:color="auto"/>
            </w:tcBorders>
          </w:tcPr>
          <w:p w14:paraId="687AE4F6" w14:textId="2776CB62"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w:t>
            </w:r>
            <w:r w:rsidR="00450515">
              <w:rPr>
                <w:rFonts w:ascii="Times New Roman" w:hAnsi="Times New Roman" w:cs="Times New Roman"/>
                <w:sz w:val="24"/>
                <w:szCs w:val="24"/>
              </w:rPr>
              <w:t>3</w:t>
            </w:r>
            <w:r w:rsidRPr="00AF2787">
              <w:rPr>
                <w:rFonts w:ascii="Times New Roman" w:hAnsi="Times New Roman" w:cs="Times New Roman"/>
                <w:sz w:val="24"/>
                <w:szCs w:val="24"/>
              </w:rPr>
              <w:t>%</w:t>
            </w:r>
          </w:p>
        </w:tc>
        <w:tc>
          <w:tcPr>
            <w:tcW w:w="2323" w:type="dxa"/>
            <w:tcBorders>
              <w:top w:val="single" w:sz="4" w:space="0" w:color="auto"/>
              <w:left w:val="single" w:sz="4" w:space="0" w:color="auto"/>
              <w:bottom w:val="single" w:sz="4" w:space="0" w:color="auto"/>
              <w:right w:val="single" w:sz="4" w:space="0" w:color="auto"/>
            </w:tcBorders>
          </w:tcPr>
          <w:p w14:paraId="4DAEB0AB" w14:textId="7CACDF66" w:rsidR="005A7050"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5A7050" w:rsidRPr="00AF2787">
              <w:rPr>
                <w:rFonts w:ascii="Times New Roman" w:hAnsi="Times New Roman" w:cs="Times New Roman"/>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41BC8143" w14:textId="32202B84" w:rsidR="005A7050" w:rsidRPr="00AF2787" w:rsidRDefault="00450515" w:rsidP="00AF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5A7050" w:rsidRPr="00AF2787">
              <w:rPr>
                <w:rFonts w:ascii="Times New Roman" w:hAnsi="Times New Roman" w:cs="Times New Roman"/>
                <w:sz w:val="24"/>
                <w:szCs w:val="24"/>
              </w:rPr>
              <w:t>%</w:t>
            </w:r>
          </w:p>
        </w:tc>
      </w:tr>
      <w:tr w:rsidR="005A7050" w:rsidRPr="00AF2787" w14:paraId="661DB2F8"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54FD575D" w14:textId="77777777" w:rsidR="005A7050" w:rsidRPr="00AF2787" w:rsidRDefault="005A7050" w:rsidP="00A77CD1">
            <w:pPr>
              <w:spacing w:after="0" w:line="360" w:lineRule="auto"/>
              <w:rPr>
                <w:rFonts w:ascii="Times New Roman" w:hAnsi="Times New Roman" w:cs="Times New Roman"/>
                <w:sz w:val="24"/>
                <w:szCs w:val="24"/>
                <w:u w:val="single"/>
              </w:rPr>
            </w:pPr>
            <w:r w:rsidRPr="00AF2787">
              <w:rPr>
                <w:rFonts w:ascii="Times New Roman" w:hAnsi="Times New Roman" w:cs="Times New Roman"/>
                <w:sz w:val="24"/>
                <w:szCs w:val="24"/>
                <w:u w:val="single"/>
              </w:rPr>
              <w:t>Visual outcome</w:t>
            </w:r>
          </w:p>
          <w:p w14:paraId="4E0CBAE4" w14:textId="2C818FD3" w:rsidR="005A7050"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Mean pretreatment BCVA</w:t>
            </w:r>
            <w:r w:rsidR="00C80A6E" w:rsidRPr="00AF2787">
              <w:rPr>
                <w:rFonts w:ascii="Times New Roman" w:hAnsi="Times New Roman" w:cs="Times New Roman"/>
                <w:sz w:val="24"/>
                <w:szCs w:val="24"/>
              </w:rPr>
              <w:t>:</w:t>
            </w:r>
          </w:p>
          <w:p w14:paraId="38722208" w14:textId="01776A26" w:rsidR="005A7050" w:rsidRPr="00AF2787" w:rsidRDefault="005A7050" w:rsidP="00A77CD1">
            <w:pPr>
              <w:spacing w:after="0" w:line="360" w:lineRule="auto"/>
              <w:rPr>
                <w:rFonts w:ascii="Times New Roman" w:hAnsi="Times New Roman" w:cs="Times New Roman"/>
                <w:sz w:val="24"/>
                <w:szCs w:val="24"/>
              </w:rPr>
            </w:pPr>
            <w:r w:rsidRPr="00AF2787">
              <w:rPr>
                <w:rFonts w:ascii="Times New Roman" w:hAnsi="Times New Roman" w:cs="Times New Roman"/>
                <w:sz w:val="24"/>
                <w:szCs w:val="24"/>
              </w:rPr>
              <w:t>Mean post-treatment BCVA</w:t>
            </w:r>
            <w:r w:rsidR="00C80A6E" w:rsidRPr="00AF2787">
              <w:rPr>
                <w:rFonts w:ascii="Times New Roman" w:hAnsi="Times New Roman" w:cs="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14:paraId="7BB53067" w14:textId="77777777" w:rsidR="005A7050" w:rsidRPr="00AF2787" w:rsidRDefault="005A7050" w:rsidP="00AF2787">
            <w:pPr>
              <w:spacing w:after="0" w:line="360" w:lineRule="auto"/>
              <w:jc w:val="both"/>
              <w:rPr>
                <w:rFonts w:ascii="Times New Roman" w:hAnsi="Times New Roman" w:cs="Times New Roman"/>
                <w:sz w:val="24"/>
                <w:szCs w:val="24"/>
              </w:rPr>
            </w:pPr>
          </w:p>
          <w:p w14:paraId="05EA83F9" w14:textId="2EEC707C"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0.4</w:t>
            </w:r>
            <w:r w:rsidR="00450515">
              <w:rPr>
                <w:rFonts w:ascii="Times New Roman" w:hAnsi="Times New Roman" w:cs="Times New Roman"/>
                <w:sz w:val="24"/>
                <w:szCs w:val="24"/>
              </w:rPr>
              <w:t>8</w:t>
            </w:r>
            <w:r w:rsidRPr="00AF2787">
              <w:rPr>
                <w:rFonts w:ascii="Times New Roman" w:hAnsi="Times New Roman" w:cs="Times New Roman"/>
                <w:sz w:val="24"/>
                <w:szCs w:val="24"/>
              </w:rPr>
              <w:t>±0.1</w:t>
            </w:r>
            <w:r w:rsidR="00DB6FA7" w:rsidRPr="00AF2787">
              <w:rPr>
                <w:rFonts w:ascii="Times New Roman" w:hAnsi="Times New Roman" w:cs="Times New Roman"/>
                <w:sz w:val="24"/>
                <w:szCs w:val="24"/>
              </w:rPr>
              <w:t>3</w:t>
            </w:r>
            <w:r w:rsidRPr="00AF2787">
              <w:rPr>
                <w:rFonts w:ascii="Times New Roman" w:hAnsi="Times New Roman" w:cs="Times New Roman"/>
                <w:sz w:val="24"/>
                <w:szCs w:val="24"/>
              </w:rPr>
              <w:t xml:space="preserve"> </w:t>
            </w:r>
          </w:p>
          <w:p w14:paraId="2A47150E" w14:textId="77777777" w:rsidR="005A7050" w:rsidRPr="00AF2787" w:rsidRDefault="005A7050" w:rsidP="00AF2787">
            <w:pPr>
              <w:spacing w:after="0" w:line="360" w:lineRule="auto"/>
              <w:jc w:val="both"/>
              <w:rPr>
                <w:rFonts w:ascii="Times New Roman" w:hAnsi="Times New Roman" w:cs="Times New Roman"/>
                <w:sz w:val="24"/>
                <w:szCs w:val="24"/>
              </w:rPr>
            </w:pPr>
          </w:p>
          <w:p w14:paraId="0F0286C7" w14:textId="77777777" w:rsidR="00C80A6E" w:rsidRPr="00AF2787" w:rsidRDefault="00C80A6E" w:rsidP="00AF2787">
            <w:pPr>
              <w:spacing w:after="0" w:line="360" w:lineRule="auto"/>
              <w:jc w:val="both"/>
              <w:rPr>
                <w:rFonts w:ascii="Times New Roman" w:hAnsi="Times New Roman" w:cs="Times New Roman"/>
                <w:sz w:val="24"/>
                <w:szCs w:val="24"/>
              </w:rPr>
            </w:pPr>
          </w:p>
          <w:p w14:paraId="0D9065D9" w14:textId="130021A5"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0.5</w:t>
            </w:r>
            <w:r w:rsidR="00450515">
              <w:rPr>
                <w:rFonts w:ascii="Times New Roman" w:hAnsi="Times New Roman" w:cs="Times New Roman"/>
                <w:sz w:val="24"/>
                <w:szCs w:val="24"/>
              </w:rPr>
              <w:t>4</w:t>
            </w:r>
            <w:r w:rsidRPr="00AF2787">
              <w:rPr>
                <w:rFonts w:ascii="Times New Roman" w:hAnsi="Times New Roman" w:cs="Times New Roman"/>
                <w:sz w:val="24"/>
                <w:szCs w:val="24"/>
              </w:rPr>
              <w:t>±0.2</w:t>
            </w:r>
            <w:r w:rsidR="00DB6FA7" w:rsidRPr="00AF2787">
              <w:rPr>
                <w:rFonts w:ascii="Times New Roman" w:hAnsi="Times New Roman" w:cs="Times New Roman"/>
                <w:sz w:val="24"/>
                <w:szCs w:val="24"/>
              </w:rPr>
              <w:t>1</w:t>
            </w:r>
          </w:p>
        </w:tc>
        <w:tc>
          <w:tcPr>
            <w:tcW w:w="2323" w:type="dxa"/>
            <w:tcBorders>
              <w:top w:val="single" w:sz="4" w:space="0" w:color="auto"/>
              <w:left w:val="single" w:sz="4" w:space="0" w:color="auto"/>
              <w:bottom w:val="single" w:sz="4" w:space="0" w:color="auto"/>
              <w:right w:val="single" w:sz="4" w:space="0" w:color="auto"/>
            </w:tcBorders>
          </w:tcPr>
          <w:p w14:paraId="1C6C360E" w14:textId="77777777" w:rsidR="005A7050" w:rsidRPr="00AF2787" w:rsidRDefault="005A7050" w:rsidP="00AF2787">
            <w:pPr>
              <w:spacing w:after="0" w:line="360" w:lineRule="auto"/>
              <w:jc w:val="both"/>
              <w:rPr>
                <w:rFonts w:ascii="Times New Roman" w:hAnsi="Times New Roman" w:cs="Times New Roman"/>
                <w:sz w:val="24"/>
                <w:szCs w:val="24"/>
              </w:rPr>
            </w:pPr>
          </w:p>
          <w:p w14:paraId="247CE478" w14:textId="6C6D7649"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0.2</w:t>
            </w:r>
            <w:r w:rsidR="00450515">
              <w:rPr>
                <w:rFonts w:ascii="Times New Roman" w:hAnsi="Times New Roman" w:cs="Times New Roman"/>
                <w:sz w:val="24"/>
                <w:szCs w:val="24"/>
              </w:rPr>
              <w:t>7</w:t>
            </w:r>
            <w:r w:rsidRPr="00AF2787">
              <w:rPr>
                <w:rFonts w:ascii="Times New Roman" w:hAnsi="Times New Roman" w:cs="Times New Roman"/>
                <w:sz w:val="24"/>
                <w:szCs w:val="24"/>
              </w:rPr>
              <w:t>±0.0</w:t>
            </w:r>
            <w:r w:rsidR="00DB6FA7" w:rsidRPr="00AF2787">
              <w:rPr>
                <w:rFonts w:ascii="Times New Roman" w:hAnsi="Times New Roman" w:cs="Times New Roman"/>
                <w:sz w:val="24"/>
                <w:szCs w:val="24"/>
              </w:rPr>
              <w:t>6</w:t>
            </w:r>
            <w:r w:rsidRPr="00AF2787">
              <w:rPr>
                <w:rFonts w:ascii="Times New Roman" w:hAnsi="Times New Roman" w:cs="Times New Roman"/>
                <w:sz w:val="24"/>
                <w:szCs w:val="24"/>
              </w:rPr>
              <w:t xml:space="preserve"> </w:t>
            </w:r>
          </w:p>
          <w:p w14:paraId="7A27947C" w14:textId="77777777" w:rsidR="005A7050" w:rsidRPr="00AF2787" w:rsidRDefault="005A7050" w:rsidP="00AF2787">
            <w:pPr>
              <w:spacing w:after="0" w:line="360" w:lineRule="auto"/>
              <w:jc w:val="both"/>
              <w:rPr>
                <w:rFonts w:ascii="Times New Roman" w:hAnsi="Times New Roman" w:cs="Times New Roman"/>
                <w:sz w:val="24"/>
                <w:szCs w:val="24"/>
              </w:rPr>
            </w:pPr>
          </w:p>
          <w:p w14:paraId="683B6A22" w14:textId="77777777" w:rsidR="00C80A6E" w:rsidRPr="00AF2787" w:rsidRDefault="00C80A6E" w:rsidP="00AF2787">
            <w:pPr>
              <w:spacing w:after="0" w:line="360" w:lineRule="auto"/>
              <w:jc w:val="both"/>
              <w:rPr>
                <w:rFonts w:ascii="Times New Roman" w:hAnsi="Times New Roman" w:cs="Times New Roman"/>
                <w:sz w:val="24"/>
                <w:szCs w:val="24"/>
              </w:rPr>
            </w:pPr>
          </w:p>
          <w:p w14:paraId="77A0009B" w14:textId="2929533C"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w:t>
            </w:r>
            <w:r w:rsidR="00DB6FA7" w:rsidRPr="00AF2787">
              <w:rPr>
                <w:rFonts w:ascii="Times New Roman" w:hAnsi="Times New Roman" w:cs="Times New Roman"/>
                <w:sz w:val="24"/>
                <w:szCs w:val="24"/>
              </w:rPr>
              <w:t>3</w:t>
            </w:r>
            <w:r w:rsidR="00450515">
              <w:rPr>
                <w:rFonts w:ascii="Times New Roman" w:hAnsi="Times New Roman" w:cs="Times New Roman"/>
                <w:sz w:val="24"/>
                <w:szCs w:val="24"/>
              </w:rPr>
              <w:t>1</w:t>
            </w:r>
            <w:r w:rsidRPr="00AF2787">
              <w:rPr>
                <w:rFonts w:ascii="Times New Roman" w:hAnsi="Times New Roman" w:cs="Times New Roman"/>
                <w:sz w:val="24"/>
                <w:szCs w:val="24"/>
              </w:rPr>
              <w:t xml:space="preserve">±0.11 </w:t>
            </w:r>
          </w:p>
        </w:tc>
        <w:tc>
          <w:tcPr>
            <w:tcW w:w="1866" w:type="dxa"/>
            <w:tcBorders>
              <w:top w:val="single" w:sz="4" w:space="0" w:color="auto"/>
              <w:left w:val="single" w:sz="4" w:space="0" w:color="auto"/>
              <w:bottom w:val="single" w:sz="4" w:space="0" w:color="auto"/>
              <w:right w:val="single" w:sz="4" w:space="0" w:color="auto"/>
            </w:tcBorders>
          </w:tcPr>
          <w:p w14:paraId="67FA5D46" w14:textId="77777777" w:rsidR="005A7050" w:rsidRPr="00AF2787" w:rsidRDefault="005A7050" w:rsidP="00AF2787">
            <w:pPr>
              <w:spacing w:after="0" w:line="360" w:lineRule="auto"/>
              <w:jc w:val="both"/>
              <w:rPr>
                <w:rFonts w:ascii="Times New Roman" w:hAnsi="Times New Roman" w:cs="Times New Roman"/>
                <w:sz w:val="24"/>
                <w:szCs w:val="24"/>
              </w:rPr>
            </w:pPr>
          </w:p>
          <w:p w14:paraId="33239996" w14:textId="34E163C5"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0.0</w:t>
            </w:r>
            <w:r w:rsidR="00450515">
              <w:rPr>
                <w:rFonts w:ascii="Times New Roman" w:hAnsi="Times New Roman" w:cs="Times New Roman"/>
                <w:sz w:val="24"/>
                <w:szCs w:val="24"/>
              </w:rPr>
              <w:t>3</w:t>
            </w:r>
            <w:r w:rsidRPr="00AF2787">
              <w:rPr>
                <w:rFonts w:ascii="Times New Roman" w:hAnsi="Times New Roman" w:cs="Times New Roman"/>
                <w:sz w:val="24"/>
                <w:szCs w:val="24"/>
              </w:rPr>
              <w:t>±0.00</w:t>
            </w:r>
            <w:r w:rsidR="00DB6FA7" w:rsidRPr="00AF2787">
              <w:rPr>
                <w:rFonts w:ascii="Times New Roman" w:hAnsi="Times New Roman" w:cs="Times New Roman"/>
                <w:sz w:val="24"/>
                <w:szCs w:val="24"/>
              </w:rPr>
              <w:t>8</w:t>
            </w:r>
          </w:p>
          <w:p w14:paraId="4907ADCE" w14:textId="77777777" w:rsidR="005A7050" w:rsidRPr="00AF2787" w:rsidRDefault="005A7050" w:rsidP="00AF2787">
            <w:pPr>
              <w:spacing w:after="0" w:line="360" w:lineRule="auto"/>
              <w:jc w:val="both"/>
              <w:rPr>
                <w:rFonts w:ascii="Times New Roman" w:hAnsi="Times New Roman" w:cs="Times New Roman"/>
                <w:sz w:val="24"/>
                <w:szCs w:val="24"/>
              </w:rPr>
            </w:pPr>
          </w:p>
          <w:p w14:paraId="69751388" w14:textId="77777777" w:rsidR="00C80A6E" w:rsidRPr="00AF2787" w:rsidRDefault="00C80A6E" w:rsidP="00AF2787">
            <w:pPr>
              <w:spacing w:after="0" w:line="360" w:lineRule="auto"/>
              <w:jc w:val="both"/>
              <w:rPr>
                <w:rFonts w:ascii="Times New Roman" w:hAnsi="Times New Roman" w:cs="Times New Roman"/>
                <w:sz w:val="24"/>
                <w:szCs w:val="24"/>
              </w:rPr>
            </w:pPr>
          </w:p>
          <w:p w14:paraId="50444526" w14:textId="0A91D200" w:rsidR="005A7050" w:rsidRPr="00AF2787" w:rsidRDefault="005A7050" w:rsidP="00AF2787">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0.1</w:t>
            </w:r>
            <w:r w:rsidR="00450515">
              <w:rPr>
                <w:rFonts w:ascii="Times New Roman" w:hAnsi="Times New Roman" w:cs="Times New Roman"/>
                <w:sz w:val="24"/>
                <w:szCs w:val="24"/>
              </w:rPr>
              <w:t>3</w:t>
            </w:r>
            <w:r w:rsidRPr="00AF2787">
              <w:rPr>
                <w:rFonts w:ascii="Times New Roman" w:hAnsi="Times New Roman" w:cs="Times New Roman"/>
                <w:sz w:val="24"/>
                <w:szCs w:val="24"/>
              </w:rPr>
              <w:t>±0.04</w:t>
            </w:r>
          </w:p>
        </w:tc>
      </w:tr>
      <w:tr w:rsidR="00A65152" w:rsidRPr="00AF2787" w14:paraId="42FF6D4D"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4C23E5F4" w14:textId="3F1B9EFE" w:rsidR="00A65152" w:rsidRPr="00AF2787" w:rsidRDefault="00A65152" w:rsidP="00A65152">
            <w:pPr>
              <w:spacing w:after="0" w:line="360" w:lineRule="auto"/>
              <w:jc w:val="both"/>
              <w:rPr>
                <w:rFonts w:ascii="Times New Roman" w:hAnsi="Times New Roman" w:cs="Times New Roman"/>
                <w:sz w:val="24"/>
                <w:szCs w:val="24"/>
                <w:u w:val="single"/>
              </w:rPr>
            </w:pPr>
            <w:r w:rsidRPr="00AF2787">
              <w:rPr>
                <w:rFonts w:ascii="Times New Roman" w:hAnsi="Times New Roman" w:cs="Times New Roman"/>
                <w:b/>
                <w:bCs/>
                <w:sz w:val="24"/>
                <w:szCs w:val="24"/>
              </w:rPr>
              <w:t>Visual acuity</w:t>
            </w:r>
          </w:p>
        </w:tc>
        <w:tc>
          <w:tcPr>
            <w:tcW w:w="2328" w:type="dxa"/>
            <w:tcBorders>
              <w:top w:val="single" w:sz="4" w:space="0" w:color="auto"/>
              <w:left w:val="single" w:sz="4" w:space="0" w:color="auto"/>
              <w:bottom w:val="single" w:sz="4" w:space="0" w:color="auto"/>
              <w:right w:val="single" w:sz="4" w:space="0" w:color="auto"/>
            </w:tcBorders>
          </w:tcPr>
          <w:p w14:paraId="1839A17A" w14:textId="21AF57E8"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Mean pretreatment BCVA</w:t>
            </w:r>
          </w:p>
        </w:tc>
        <w:tc>
          <w:tcPr>
            <w:tcW w:w="2323" w:type="dxa"/>
            <w:tcBorders>
              <w:top w:val="single" w:sz="4" w:space="0" w:color="auto"/>
              <w:left w:val="single" w:sz="4" w:space="0" w:color="auto"/>
              <w:bottom w:val="single" w:sz="4" w:space="0" w:color="auto"/>
              <w:right w:val="single" w:sz="4" w:space="0" w:color="auto"/>
            </w:tcBorders>
          </w:tcPr>
          <w:p w14:paraId="75F48502" w14:textId="5ECC2CC1" w:rsidR="00A65152" w:rsidRPr="00AF2787" w:rsidRDefault="00A65152" w:rsidP="00961440">
            <w:pPr>
              <w:spacing w:after="0" w:line="360" w:lineRule="auto"/>
              <w:rPr>
                <w:rFonts w:ascii="Times New Roman" w:hAnsi="Times New Roman" w:cs="Times New Roman"/>
                <w:sz w:val="24"/>
                <w:szCs w:val="24"/>
              </w:rPr>
            </w:pPr>
            <w:r w:rsidRPr="00AF2787">
              <w:rPr>
                <w:rFonts w:ascii="Times New Roman" w:hAnsi="Times New Roman" w:cs="Times New Roman"/>
                <w:b/>
                <w:bCs/>
                <w:sz w:val="24"/>
                <w:szCs w:val="24"/>
              </w:rPr>
              <w:t>Mean post-treatment BCVA</w:t>
            </w:r>
          </w:p>
        </w:tc>
        <w:tc>
          <w:tcPr>
            <w:tcW w:w="1866" w:type="dxa"/>
            <w:tcBorders>
              <w:top w:val="single" w:sz="4" w:space="0" w:color="auto"/>
              <w:left w:val="single" w:sz="4" w:space="0" w:color="auto"/>
              <w:bottom w:val="single" w:sz="4" w:space="0" w:color="auto"/>
              <w:right w:val="single" w:sz="4" w:space="0" w:color="auto"/>
            </w:tcBorders>
          </w:tcPr>
          <w:p w14:paraId="409F86B4" w14:textId="59DDE145"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b/>
                <w:bCs/>
                <w:sz w:val="24"/>
                <w:szCs w:val="24"/>
              </w:rPr>
              <w:t>p Value</w:t>
            </w:r>
          </w:p>
        </w:tc>
      </w:tr>
      <w:tr w:rsidR="00A65152" w:rsidRPr="00AF2787" w14:paraId="67EEC789"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68E8F2C9" w14:textId="4E69C87B" w:rsidR="00A65152" w:rsidRPr="00AF2787" w:rsidRDefault="00A65152" w:rsidP="00A65152">
            <w:pPr>
              <w:spacing w:after="0" w:line="360" w:lineRule="auto"/>
              <w:jc w:val="both"/>
              <w:rPr>
                <w:rFonts w:ascii="Times New Roman" w:hAnsi="Times New Roman" w:cs="Times New Roman"/>
                <w:b/>
                <w:bCs/>
                <w:sz w:val="24"/>
                <w:szCs w:val="24"/>
              </w:rPr>
            </w:pPr>
            <w:r w:rsidRPr="00AF2787">
              <w:rPr>
                <w:rFonts w:ascii="Times New Roman" w:hAnsi="Times New Roman" w:cs="Times New Roman"/>
                <w:sz w:val="24"/>
                <w:szCs w:val="24"/>
              </w:rPr>
              <w:t>Primary surgical</w:t>
            </w:r>
          </w:p>
        </w:tc>
        <w:tc>
          <w:tcPr>
            <w:tcW w:w="2328" w:type="dxa"/>
            <w:tcBorders>
              <w:top w:val="single" w:sz="4" w:space="0" w:color="auto"/>
              <w:left w:val="single" w:sz="4" w:space="0" w:color="auto"/>
              <w:bottom w:val="single" w:sz="4" w:space="0" w:color="auto"/>
              <w:right w:val="single" w:sz="4" w:space="0" w:color="auto"/>
            </w:tcBorders>
          </w:tcPr>
          <w:p w14:paraId="4BB6F9A3" w14:textId="4B3CFE3C" w:rsidR="00A65152" w:rsidRPr="00AF2787" w:rsidRDefault="00A65152" w:rsidP="00A65152">
            <w:pPr>
              <w:spacing w:after="0" w:line="360" w:lineRule="auto"/>
              <w:jc w:val="both"/>
              <w:rPr>
                <w:rFonts w:ascii="Times New Roman" w:hAnsi="Times New Roman" w:cs="Times New Roman"/>
                <w:b/>
                <w:bCs/>
                <w:sz w:val="24"/>
                <w:szCs w:val="24"/>
              </w:rPr>
            </w:pPr>
            <w:r w:rsidRPr="00AF2787">
              <w:rPr>
                <w:rFonts w:ascii="Times New Roman" w:hAnsi="Times New Roman" w:cs="Times New Roman"/>
                <w:sz w:val="24"/>
                <w:szCs w:val="24"/>
              </w:rPr>
              <w:t>0.0</w:t>
            </w:r>
            <w:r>
              <w:rPr>
                <w:rFonts w:ascii="Times New Roman" w:hAnsi="Times New Roman" w:cs="Times New Roman"/>
                <w:sz w:val="24"/>
                <w:szCs w:val="24"/>
              </w:rPr>
              <w:t>3</w:t>
            </w:r>
            <w:r w:rsidRPr="00AF2787">
              <w:rPr>
                <w:rFonts w:ascii="Times New Roman" w:hAnsi="Times New Roman" w:cs="Times New Roman"/>
                <w:sz w:val="24"/>
                <w:szCs w:val="24"/>
              </w:rPr>
              <w:t>±0.03</w:t>
            </w:r>
          </w:p>
        </w:tc>
        <w:tc>
          <w:tcPr>
            <w:tcW w:w="2323" w:type="dxa"/>
            <w:tcBorders>
              <w:top w:val="single" w:sz="4" w:space="0" w:color="auto"/>
              <w:left w:val="single" w:sz="4" w:space="0" w:color="auto"/>
              <w:bottom w:val="single" w:sz="4" w:space="0" w:color="auto"/>
              <w:right w:val="single" w:sz="4" w:space="0" w:color="auto"/>
            </w:tcBorders>
          </w:tcPr>
          <w:p w14:paraId="4593BC47" w14:textId="7DF21EAE" w:rsidR="00A65152" w:rsidRPr="00AF2787" w:rsidRDefault="00A65152" w:rsidP="00A65152">
            <w:pPr>
              <w:spacing w:after="0" w:line="360" w:lineRule="auto"/>
              <w:jc w:val="both"/>
              <w:rPr>
                <w:rFonts w:ascii="Times New Roman" w:hAnsi="Times New Roman" w:cs="Times New Roman"/>
                <w:b/>
                <w:bCs/>
                <w:sz w:val="24"/>
                <w:szCs w:val="24"/>
              </w:rPr>
            </w:pPr>
            <w:r w:rsidRPr="00AF2787">
              <w:rPr>
                <w:rFonts w:ascii="Times New Roman" w:hAnsi="Times New Roman" w:cs="Times New Roman"/>
                <w:sz w:val="24"/>
                <w:szCs w:val="24"/>
              </w:rPr>
              <w:t>0.1</w:t>
            </w:r>
            <w:r>
              <w:rPr>
                <w:rFonts w:ascii="Times New Roman" w:hAnsi="Times New Roman" w:cs="Times New Roman"/>
                <w:sz w:val="24"/>
                <w:szCs w:val="24"/>
              </w:rPr>
              <w:t>4</w:t>
            </w:r>
            <w:r w:rsidRPr="00AF2787">
              <w:rPr>
                <w:rFonts w:ascii="Times New Roman" w:hAnsi="Times New Roman" w:cs="Times New Roman"/>
                <w:sz w:val="24"/>
                <w:szCs w:val="24"/>
              </w:rPr>
              <w:t>±0.04</w:t>
            </w:r>
          </w:p>
        </w:tc>
        <w:tc>
          <w:tcPr>
            <w:tcW w:w="1866" w:type="dxa"/>
            <w:tcBorders>
              <w:top w:val="single" w:sz="4" w:space="0" w:color="auto"/>
              <w:left w:val="single" w:sz="4" w:space="0" w:color="auto"/>
              <w:bottom w:val="single" w:sz="4" w:space="0" w:color="auto"/>
              <w:right w:val="single" w:sz="4" w:space="0" w:color="auto"/>
            </w:tcBorders>
          </w:tcPr>
          <w:p w14:paraId="4FAAD65F" w14:textId="4C900613" w:rsidR="00A65152" w:rsidRPr="00AF2787" w:rsidRDefault="00A65152" w:rsidP="00A65152">
            <w:pPr>
              <w:spacing w:after="0" w:line="360" w:lineRule="auto"/>
              <w:jc w:val="both"/>
              <w:rPr>
                <w:rFonts w:ascii="Times New Roman" w:hAnsi="Times New Roman" w:cs="Times New Roman"/>
                <w:b/>
                <w:bCs/>
                <w:sz w:val="24"/>
                <w:szCs w:val="24"/>
              </w:rPr>
            </w:pPr>
            <w:r w:rsidRPr="00AF2787">
              <w:rPr>
                <w:rFonts w:ascii="Times New Roman" w:hAnsi="Times New Roman" w:cs="Times New Roman"/>
                <w:sz w:val="24"/>
                <w:szCs w:val="24"/>
              </w:rPr>
              <w:t>0.001</w:t>
            </w:r>
          </w:p>
        </w:tc>
      </w:tr>
      <w:tr w:rsidR="00A65152" w:rsidRPr="00AF2787" w14:paraId="19ACE9A7"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355DDF54" w14:textId="198C613F"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Medical followed by surgical treatment </w:t>
            </w:r>
          </w:p>
        </w:tc>
        <w:tc>
          <w:tcPr>
            <w:tcW w:w="2328" w:type="dxa"/>
            <w:tcBorders>
              <w:top w:val="single" w:sz="4" w:space="0" w:color="auto"/>
              <w:left w:val="single" w:sz="4" w:space="0" w:color="auto"/>
              <w:bottom w:val="single" w:sz="4" w:space="0" w:color="auto"/>
              <w:right w:val="single" w:sz="4" w:space="0" w:color="auto"/>
            </w:tcBorders>
          </w:tcPr>
          <w:p w14:paraId="6D4D5DB3" w14:textId="397B5C7E"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0.1</w:t>
            </w:r>
            <w:r>
              <w:rPr>
                <w:rFonts w:ascii="Times New Roman" w:hAnsi="Times New Roman" w:cs="Times New Roman"/>
                <w:sz w:val="24"/>
                <w:szCs w:val="24"/>
              </w:rPr>
              <w:t>0</w:t>
            </w:r>
            <w:r w:rsidRPr="00AF2787">
              <w:rPr>
                <w:rFonts w:ascii="Times New Roman" w:hAnsi="Times New Roman" w:cs="Times New Roman"/>
                <w:sz w:val="24"/>
                <w:szCs w:val="24"/>
              </w:rPr>
              <w:t>±0.07</w:t>
            </w:r>
          </w:p>
        </w:tc>
        <w:tc>
          <w:tcPr>
            <w:tcW w:w="2323" w:type="dxa"/>
            <w:tcBorders>
              <w:top w:val="single" w:sz="4" w:space="0" w:color="auto"/>
              <w:left w:val="single" w:sz="4" w:space="0" w:color="auto"/>
              <w:bottom w:val="single" w:sz="4" w:space="0" w:color="auto"/>
              <w:right w:val="single" w:sz="4" w:space="0" w:color="auto"/>
            </w:tcBorders>
          </w:tcPr>
          <w:p w14:paraId="4C10811B" w14:textId="4C9826DD"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0.2</w:t>
            </w:r>
            <w:r>
              <w:rPr>
                <w:rFonts w:ascii="Times New Roman" w:hAnsi="Times New Roman" w:cs="Times New Roman"/>
                <w:sz w:val="24"/>
                <w:szCs w:val="24"/>
              </w:rPr>
              <w:t>1</w:t>
            </w:r>
            <w:r w:rsidRPr="00AF2787">
              <w:rPr>
                <w:rFonts w:ascii="Times New Roman" w:hAnsi="Times New Roman" w:cs="Times New Roman"/>
                <w:sz w:val="24"/>
                <w:szCs w:val="24"/>
              </w:rPr>
              <w:t>±0.09</w:t>
            </w:r>
          </w:p>
        </w:tc>
        <w:tc>
          <w:tcPr>
            <w:tcW w:w="1866" w:type="dxa"/>
            <w:tcBorders>
              <w:top w:val="single" w:sz="4" w:space="0" w:color="auto"/>
              <w:left w:val="single" w:sz="4" w:space="0" w:color="auto"/>
              <w:bottom w:val="single" w:sz="4" w:space="0" w:color="auto"/>
              <w:right w:val="single" w:sz="4" w:space="0" w:color="auto"/>
            </w:tcBorders>
          </w:tcPr>
          <w:p w14:paraId="3035C3FF" w14:textId="36142BC0"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0.001</w:t>
            </w:r>
            <w:r>
              <w:rPr>
                <w:rFonts w:ascii="Times New Roman" w:hAnsi="Times New Roman" w:cs="Times New Roman"/>
                <w:sz w:val="24"/>
                <w:szCs w:val="24"/>
              </w:rPr>
              <w:t>2</w:t>
            </w:r>
          </w:p>
        </w:tc>
      </w:tr>
      <w:tr w:rsidR="00A65152" w:rsidRPr="00AF2787" w14:paraId="7028675F" w14:textId="77777777" w:rsidTr="00A77CD1">
        <w:trPr>
          <w:trHeight w:val="555"/>
        </w:trPr>
        <w:tc>
          <w:tcPr>
            <w:tcW w:w="2321" w:type="dxa"/>
            <w:tcBorders>
              <w:top w:val="single" w:sz="4" w:space="0" w:color="auto"/>
              <w:left w:val="single" w:sz="4" w:space="0" w:color="auto"/>
              <w:bottom w:val="single" w:sz="4" w:space="0" w:color="auto"/>
              <w:right w:val="single" w:sz="4" w:space="0" w:color="auto"/>
            </w:tcBorders>
          </w:tcPr>
          <w:p w14:paraId="289FF509" w14:textId="59128E3D"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Only medically treated cases in </w:t>
            </w:r>
            <w:proofErr w:type="spellStart"/>
            <w:r w:rsidRPr="00AF2787">
              <w:rPr>
                <w:rFonts w:ascii="Times New Roman" w:hAnsi="Times New Roman" w:cs="Times New Roman"/>
                <w:sz w:val="24"/>
                <w:szCs w:val="24"/>
              </w:rPr>
              <w:t>severe+moderate</w:t>
            </w:r>
            <w:proofErr w:type="spellEnd"/>
            <w:r w:rsidRPr="00AF2787">
              <w:rPr>
                <w:rFonts w:ascii="Times New Roman" w:hAnsi="Times New Roman" w:cs="Times New Roman"/>
                <w:sz w:val="24"/>
                <w:szCs w:val="24"/>
              </w:rPr>
              <w:t xml:space="preserve"> cases</w:t>
            </w:r>
          </w:p>
        </w:tc>
        <w:tc>
          <w:tcPr>
            <w:tcW w:w="2328" w:type="dxa"/>
            <w:tcBorders>
              <w:top w:val="single" w:sz="4" w:space="0" w:color="auto"/>
              <w:left w:val="single" w:sz="4" w:space="0" w:color="auto"/>
              <w:bottom w:val="single" w:sz="4" w:space="0" w:color="auto"/>
              <w:right w:val="single" w:sz="4" w:space="0" w:color="auto"/>
            </w:tcBorders>
          </w:tcPr>
          <w:p w14:paraId="1B881F22" w14:textId="37E79533"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0.1</w:t>
            </w:r>
            <w:r>
              <w:rPr>
                <w:rFonts w:ascii="Times New Roman" w:hAnsi="Times New Roman" w:cs="Times New Roman"/>
                <w:sz w:val="24"/>
                <w:szCs w:val="24"/>
              </w:rPr>
              <w:t>9</w:t>
            </w:r>
            <w:r w:rsidRPr="00AF2787">
              <w:rPr>
                <w:rFonts w:ascii="Times New Roman" w:hAnsi="Times New Roman" w:cs="Times New Roman"/>
                <w:sz w:val="24"/>
                <w:szCs w:val="24"/>
              </w:rPr>
              <w:t>±0.10</w:t>
            </w:r>
          </w:p>
        </w:tc>
        <w:tc>
          <w:tcPr>
            <w:tcW w:w="2323" w:type="dxa"/>
            <w:tcBorders>
              <w:top w:val="single" w:sz="4" w:space="0" w:color="auto"/>
              <w:left w:val="single" w:sz="4" w:space="0" w:color="auto"/>
              <w:bottom w:val="single" w:sz="4" w:space="0" w:color="auto"/>
              <w:right w:val="single" w:sz="4" w:space="0" w:color="auto"/>
            </w:tcBorders>
          </w:tcPr>
          <w:p w14:paraId="501F0C0E" w14:textId="4A53939A"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w:t>
            </w:r>
            <w:r>
              <w:rPr>
                <w:rFonts w:ascii="Times New Roman" w:hAnsi="Times New Roman" w:cs="Times New Roman"/>
                <w:sz w:val="24"/>
                <w:szCs w:val="24"/>
              </w:rPr>
              <w:t>19</w:t>
            </w:r>
            <w:r w:rsidRPr="00AF2787">
              <w:rPr>
                <w:rFonts w:ascii="Times New Roman" w:hAnsi="Times New Roman" w:cs="Times New Roman"/>
                <w:sz w:val="24"/>
                <w:szCs w:val="24"/>
              </w:rPr>
              <w:t>±0.06</w:t>
            </w:r>
          </w:p>
        </w:tc>
        <w:tc>
          <w:tcPr>
            <w:tcW w:w="1866" w:type="dxa"/>
            <w:tcBorders>
              <w:top w:val="single" w:sz="4" w:space="0" w:color="auto"/>
              <w:left w:val="single" w:sz="4" w:space="0" w:color="auto"/>
              <w:bottom w:val="single" w:sz="4" w:space="0" w:color="auto"/>
              <w:right w:val="single" w:sz="4" w:space="0" w:color="auto"/>
            </w:tcBorders>
          </w:tcPr>
          <w:p w14:paraId="521E5179" w14:textId="151ABC69" w:rsidR="00A65152" w:rsidRPr="00AF2787" w:rsidRDefault="00A65152" w:rsidP="00A65152">
            <w:p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0.36</w:t>
            </w:r>
            <w:r>
              <w:rPr>
                <w:rFonts w:ascii="Times New Roman" w:hAnsi="Times New Roman" w:cs="Times New Roman"/>
                <w:sz w:val="24"/>
                <w:szCs w:val="24"/>
              </w:rPr>
              <w:t>0</w:t>
            </w:r>
          </w:p>
        </w:tc>
      </w:tr>
    </w:tbl>
    <w:p w14:paraId="05088BDB" w14:textId="6E8D70A2" w:rsidR="00715E0C" w:rsidRPr="00AF2787" w:rsidRDefault="00715E0C" w:rsidP="000108AD">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Discussion</w:t>
      </w:r>
    </w:p>
    <w:p w14:paraId="3B6FE151" w14:textId="734A5736"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 xml:space="preserve">The demographic and clinical findings from this study on peripheral ulcerative keratitis (PUK) provide valuable insights into the disease's patterns and management. Our findings show that the majority of PUK patients were in the 50-60 age group, which aligns with other studies that suggest a higher prevalence of PUK among middle-aged to elderly individuals. This age group is commonly affected by systemic conditions such as autoimmune disorders or infections, which are known risk factors for PUK. The age distribution seen here is consistent with previous research, which also observed a similar pattern of increased prevalence among older </w:t>
      </w:r>
      <w:r w:rsidRPr="00BA2DEF">
        <w:rPr>
          <w:rFonts w:ascii="Times New Roman" w:hAnsi="Times New Roman" w:cs="Times New Roman"/>
          <w:sz w:val="24"/>
          <w:szCs w:val="24"/>
        </w:rPr>
        <w:lastRenderedPageBreak/>
        <w:t>populations.</w:t>
      </w:r>
      <w:r w:rsidR="00B802D5">
        <w:rPr>
          <w:rFonts w:ascii="Times New Roman" w:hAnsi="Times New Roman" w:cs="Times New Roman"/>
          <w:sz w:val="24"/>
          <w:szCs w:val="24"/>
        </w:rPr>
        <w:t xml:space="preserve"> </w:t>
      </w:r>
      <w:r w:rsidR="00B802D5" w:rsidRPr="00B802D5">
        <w:rPr>
          <w:rFonts w:ascii="Times New Roman" w:hAnsi="Times New Roman" w:cs="Times New Roman"/>
          <w:sz w:val="24"/>
          <w:szCs w:val="24"/>
          <w:vertAlign w:val="superscript"/>
        </w:rPr>
        <w:t>10</w:t>
      </w:r>
      <w:r w:rsidRPr="00B802D5">
        <w:rPr>
          <w:rFonts w:ascii="Times New Roman" w:hAnsi="Times New Roman" w:cs="Times New Roman"/>
          <w:sz w:val="24"/>
          <w:szCs w:val="24"/>
          <w:vertAlign w:val="superscript"/>
        </w:rPr>
        <w:t xml:space="preserve"> </w:t>
      </w:r>
      <w:r w:rsidRPr="00BA2DEF">
        <w:rPr>
          <w:rFonts w:ascii="Times New Roman" w:hAnsi="Times New Roman" w:cs="Times New Roman"/>
          <w:sz w:val="24"/>
          <w:szCs w:val="24"/>
        </w:rPr>
        <w:t>However, our study reports a somewhat lower prevalence in the 30-40 age group compared to other studies, which have sometimes reported cases in younger individuals due to genetic factors or the presence of systemic diseases like rheumatoid arthritis or systemic lupus erythematosus.</w:t>
      </w:r>
    </w:p>
    <w:p w14:paraId="4E23C08F" w14:textId="77777777" w:rsidR="00BA2DEF" w:rsidRPr="00BA2DEF" w:rsidRDefault="00BA2DEF" w:rsidP="00BA2DEF">
      <w:pPr>
        <w:spacing w:after="0" w:line="360" w:lineRule="auto"/>
        <w:jc w:val="both"/>
        <w:rPr>
          <w:rFonts w:ascii="Times New Roman" w:hAnsi="Times New Roman" w:cs="Times New Roman"/>
          <w:sz w:val="24"/>
          <w:szCs w:val="24"/>
        </w:rPr>
      </w:pPr>
    </w:p>
    <w:p w14:paraId="4C9F0983" w14:textId="24876C2D"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The gender distribution in this study, with a predominance of males, is comparable to studies which noted a higher incidence of PUK in men, possibly due to occupational risks or differences in immune response.</w:t>
      </w:r>
      <w:r w:rsidRPr="00B802D5">
        <w:rPr>
          <w:rFonts w:ascii="Times New Roman" w:hAnsi="Times New Roman" w:cs="Times New Roman"/>
          <w:sz w:val="24"/>
          <w:szCs w:val="24"/>
          <w:vertAlign w:val="superscript"/>
        </w:rPr>
        <w:t xml:space="preserve"> </w:t>
      </w:r>
      <w:r w:rsidR="00B802D5" w:rsidRPr="00B802D5">
        <w:rPr>
          <w:rFonts w:ascii="Times New Roman" w:hAnsi="Times New Roman" w:cs="Times New Roman"/>
          <w:sz w:val="24"/>
          <w:szCs w:val="24"/>
          <w:vertAlign w:val="superscript"/>
        </w:rPr>
        <w:t>11</w:t>
      </w:r>
      <w:r w:rsidR="00B802D5">
        <w:rPr>
          <w:rFonts w:ascii="Times New Roman" w:hAnsi="Times New Roman" w:cs="Times New Roman"/>
          <w:sz w:val="24"/>
          <w:szCs w:val="24"/>
        </w:rPr>
        <w:t xml:space="preserve"> </w:t>
      </w:r>
      <w:r w:rsidRPr="00BA2DEF">
        <w:rPr>
          <w:rFonts w:ascii="Times New Roman" w:hAnsi="Times New Roman" w:cs="Times New Roman"/>
          <w:sz w:val="24"/>
          <w:szCs w:val="24"/>
        </w:rPr>
        <w:t>However, the degree of male predominance in our cohort is slightly higher than some studies that found a more balanced gender distribution. This male predominance might reflect regional or socioeconomic differences in healthcare access or risk exposure.</w:t>
      </w:r>
    </w:p>
    <w:p w14:paraId="0C3CBF15" w14:textId="77777777" w:rsidR="00BA2DEF" w:rsidRPr="00BA2DEF" w:rsidRDefault="00BA2DEF" w:rsidP="00BA2DEF">
      <w:pPr>
        <w:spacing w:after="0" w:line="360" w:lineRule="auto"/>
        <w:jc w:val="both"/>
        <w:rPr>
          <w:rFonts w:ascii="Times New Roman" w:hAnsi="Times New Roman" w:cs="Times New Roman"/>
          <w:sz w:val="24"/>
          <w:szCs w:val="24"/>
        </w:rPr>
      </w:pPr>
    </w:p>
    <w:p w14:paraId="10FF4A1A" w14:textId="3C12B37D"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Our findings also show a notable association between elevated blood sugar and the occurrence of PUK, which may suggest a potential link between diabetes and PUK, a hypothesis supported by previous research. Studies have pointed out that systemic factors like diabetes can increase susceptibility to infections and autoimmune conditions, thus contributing to the development of PUK.</w:t>
      </w:r>
      <w:r w:rsidR="00B802D5">
        <w:rPr>
          <w:rFonts w:ascii="Times New Roman" w:hAnsi="Times New Roman" w:cs="Times New Roman"/>
          <w:sz w:val="24"/>
          <w:szCs w:val="24"/>
        </w:rPr>
        <w:t xml:space="preserve"> </w:t>
      </w:r>
      <w:r w:rsidR="00393371" w:rsidRPr="00393371">
        <w:rPr>
          <w:rFonts w:ascii="Times New Roman" w:hAnsi="Times New Roman" w:cs="Times New Roman"/>
          <w:sz w:val="24"/>
          <w:szCs w:val="24"/>
          <w:vertAlign w:val="superscript"/>
        </w:rPr>
        <w:t>12-</w:t>
      </w:r>
      <w:r w:rsidR="00B802D5" w:rsidRPr="00393371">
        <w:rPr>
          <w:rFonts w:ascii="Times New Roman" w:hAnsi="Times New Roman" w:cs="Times New Roman"/>
          <w:sz w:val="24"/>
          <w:szCs w:val="24"/>
          <w:vertAlign w:val="superscript"/>
        </w:rPr>
        <w:t>14</w:t>
      </w:r>
    </w:p>
    <w:p w14:paraId="2CCA85DD" w14:textId="77777777" w:rsidR="00BA2DEF" w:rsidRPr="00BA2DEF" w:rsidRDefault="00BA2DEF" w:rsidP="00BA2DEF">
      <w:pPr>
        <w:spacing w:after="0" w:line="360" w:lineRule="auto"/>
        <w:jc w:val="both"/>
        <w:rPr>
          <w:rFonts w:ascii="Times New Roman" w:hAnsi="Times New Roman" w:cs="Times New Roman"/>
          <w:sz w:val="24"/>
          <w:szCs w:val="24"/>
        </w:rPr>
      </w:pPr>
    </w:p>
    <w:p w14:paraId="707E2E86" w14:textId="0EEF7D06"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In terms of symptoms, blurred vision</w:t>
      </w:r>
      <w:r w:rsidR="00393371">
        <w:rPr>
          <w:rFonts w:ascii="Times New Roman" w:hAnsi="Times New Roman" w:cs="Times New Roman"/>
          <w:sz w:val="24"/>
          <w:szCs w:val="24"/>
        </w:rPr>
        <w:t xml:space="preserve">, </w:t>
      </w:r>
      <w:r w:rsidRPr="00BA2DEF">
        <w:rPr>
          <w:rFonts w:ascii="Times New Roman" w:hAnsi="Times New Roman" w:cs="Times New Roman"/>
          <w:sz w:val="24"/>
          <w:szCs w:val="24"/>
        </w:rPr>
        <w:t>sensitivity to bright light</w:t>
      </w:r>
      <w:r w:rsidR="00393371">
        <w:rPr>
          <w:rFonts w:ascii="Times New Roman" w:hAnsi="Times New Roman" w:cs="Times New Roman"/>
          <w:sz w:val="24"/>
          <w:szCs w:val="24"/>
        </w:rPr>
        <w:t xml:space="preserve">, </w:t>
      </w:r>
      <w:r w:rsidRPr="00BA2DEF">
        <w:rPr>
          <w:rFonts w:ascii="Times New Roman" w:hAnsi="Times New Roman" w:cs="Times New Roman"/>
          <w:sz w:val="24"/>
          <w:szCs w:val="24"/>
        </w:rPr>
        <w:t xml:space="preserve">and a sensation of a foreign object in the eye were the most common complaints in our cohort. These symptoms are consistent with other studies, including those which reported similar symptoms in PUK patients. </w:t>
      </w:r>
      <w:r w:rsidR="00B802D5" w:rsidRPr="00B802D5">
        <w:rPr>
          <w:rFonts w:ascii="Times New Roman" w:hAnsi="Times New Roman" w:cs="Times New Roman"/>
          <w:sz w:val="24"/>
          <w:szCs w:val="24"/>
          <w:vertAlign w:val="superscript"/>
        </w:rPr>
        <w:t xml:space="preserve">15 </w:t>
      </w:r>
      <w:r w:rsidRPr="00BA2DEF">
        <w:rPr>
          <w:rFonts w:ascii="Times New Roman" w:hAnsi="Times New Roman" w:cs="Times New Roman"/>
          <w:sz w:val="24"/>
          <w:szCs w:val="24"/>
        </w:rPr>
        <w:t>The distressing nature of these symptoms underscores the need for early intervention to alleviate discomfort and prevent progression to severe disease, which can lead to significant visual impairment.</w:t>
      </w:r>
    </w:p>
    <w:p w14:paraId="33CBB035" w14:textId="77777777" w:rsidR="00BA2DEF" w:rsidRPr="00BA2DEF" w:rsidRDefault="00BA2DEF" w:rsidP="00BA2DEF">
      <w:pPr>
        <w:spacing w:after="0" w:line="360" w:lineRule="auto"/>
        <w:jc w:val="both"/>
        <w:rPr>
          <w:rFonts w:ascii="Times New Roman" w:hAnsi="Times New Roman" w:cs="Times New Roman"/>
          <w:sz w:val="24"/>
          <w:szCs w:val="24"/>
        </w:rPr>
      </w:pPr>
    </w:p>
    <w:p w14:paraId="2833BFE4" w14:textId="3BA71AA5"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The most common etiologies of PUK in our study were microbiological infections</w:t>
      </w:r>
      <w:r w:rsidR="00393371">
        <w:rPr>
          <w:rFonts w:ascii="Times New Roman" w:hAnsi="Times New Roman" w:cs="Times New Roman"/>
          <w:sz w:val="24"/>
          <w:szCs w:val="24"/>
        </w:rPr>
        <w:t xml:space="preserve">, </w:t>
      </w:r>
      <w:proofErr w:type="spellStart"/>
      <w:r w:rsidRPr="00BA2DEF">
        <w:rPr>
          <w:rFonts w:ascii="Times New Roman" w:hAnsi="Times New Roman" w:cs="Times New Roman"/>
          <w:sz w:val="24"/>
          <w:szCs w:val="24"/>
        </w:rPr>
        <w:t>Mooren's</w:t>
      </w:r>
      <w:proofErr w:type="spellEnd"/>
      <w:r w:rsidRPr="00BA2DEF">
        <w:rPr>
          <w:rFonts w:ascii="Times New Roman" w:hAnsi="Times New Roman" w:cs="Times New Roman"/>
          <w:sz w:val="24"/>
          <w:szCs w:val="24"/>
        </w:rPr>
        <w:t xml:space="preserve"> ulcer</w:t>
      </w:r>
      <w:r w:rsidR="00393371">
        <w:rPr>
          <w:rFonts w:ascii="Times New Roman" w:hAnsi="Times New Roman" w:cs="Times New Roman"/>
          <w:sz w:val="24"/>
          <w:szCs w:val="24"/>
        </w:rPr>
        <w:t xml:space="preserve">, </w:t>
      </w:r>
      <w:r w:rsidRPr="00BA2DEF">
        <w:rPr>
          <w:rFonts w:ascii="Times New Roman" w:hAnsi="Times New Roman" w:cs="Times New Roman"/>
          <w:sz w:val="24"/>
          <w:szCs w:val="24"/>
        </w:rPr>
        <w:t>and systemic collagen vascular diseases. These results align with findings from other studies, which also identified microbiological infection and autoimmune diseases as key contributors to PUK.</w:t>
      </w:r>
      <w:r w:rsidR="00B802D5">
        <w:rPr>
          <w:rFonts w:ascii="Times New Roman" w:hAnsi="Times New Roman" w:cs="Times New Roman"/>
          <w:sz w:val="24"/>
          <w:szCs w:val="24"/>
        </w:rPr>
        <w:t xml:space="preserve"> </w:t>
      </w:r>
      <w:r w:rsidR="00B802D5" w:rsidRPr="00B802D5">
        <w:rPr>
          <w:rFonts w:ascii="Times New Roman" w:hAnsi="Times New Roman" w:cs="Times New Roman"/>
          <w:sz w:val="24"/>
          <w:szCs w:val="24"/>
          <w:vertAlign w:val="superscript"/>
        </w:rPr>
        <w:t>10</w:t>
      </w:r>
      <w:r w:rsidR="00B802D5">
        <w:rPr>
          <w:rFonts w:ascii="Times New Roman" w:hAnsi="Times New Roman" w:cs="Times New Roman"/>
          <w:sz w:val="24"/>
          <w:szCs w:val="24"/>
        </w:rPr>
        <w:t xml:space="preserve"> </w:t>
      </w:r>
      <w:r w:rsidR="00B802D5" w:rsidRPr="00BA2DEF">
        <w:rPr>
          <w:rFonts w:ascii="Times New Roman" w:hAnsi="Times New Roman" w:cs="Times New Roman"/>
          <w:sz w:val="24"/>
          <w:szCs w:val="24"/>
        </w:rPr>
        <w:t>However</w:t>
      </w:r>
      <w:r w:rsidRPr="00BA2DEF">
        <w:rPr>
          <w:rFonts w:ascii="Times New Roman" w:hAnsi="Times New Roman" w:cs="Times New Roman"/>
          <w:sz w:val="24"/>
          <w:szCs w:val="24"/>
        </w:rPr>
        <w:t>, differences in the distribution of these etiologies could be attributed to regional variations in the prevalence of specific infections or autoimmune diseases.</w:t>
      </w:r>
    </w:p>
    <w:p w14:paraId="6455511D" w14:textId="77777777" w:rsidR="00BA2DEF" w:rsidRPr="00BA2DEF" w:rsidRDefault="00BA2DEF" w:rsidP="00BA2DEF">
      <w:pPr>
        <w:spacing w:after="0" w:line="360" w:lineRule="auto"/>
        <w:jc w:val="both"/>
        <w:rPr>
          <w:rFonts w:ascii="Times New Roman" w:hAnsi="Times New Roman" w:cs="Times New Roman"/>
          <w:sz w:val="24"/>
          <w:szCs w:val="24"/>
        </w:rPr>
      </w:pPr>
    </w:p>
    <w:p w14:paraId="3815A3B9" w14:textId="5CCBF5B3" w:rsidR="00BA2DEF" w:rsidRPr="00BA2DEF"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 xml:space="preserve">Regarding the management and outcomes of PUK, our results highlight that medical treatment alone may not always lead to timely healing, especially in severe cases. The mean healing time </w:t>
      </w:r>
      <w:r w:rsidRPr="00BA2DEF">
        <w:rPr>
          <w:rFonts w:ascii="Times New Roman" w:hAnsi="Times New Roman" w:cs="Times New Roman"/>
          <w:sz w:val="24"/>
          <w:szCs w:val="24"/>
        </w:rPr>
        <w:lastRenderedPageBreak/>
        <w:t xml:space="preserve">for severe cases treated medically was </w:t>
      </w:r>
      <w:r w:rsidR="00393371" w:rsidRPr="00393371">
        <w:rPr>
          <w:rFonts w:ascii="Times New Roman" w:hAnsi="Times New Roman" w:cs="Times New Roman"/>
          <w:sz w:val="24"/>
          <w:szCs w:val="24"/>
        </w:rPr>
        <w:t>34.78±11.68</w:t>
      </w:r>
      <w:r w:rsidR="00393371">
        <w:rPr>
          <w:rFonts w:ascii="Times New Roman" w:hAnsi="Times New Roman" w:cs="Times New Roman"/>
          <w:sz w:val="24"/>
          <w:szCs w:val="24"/>
        </w:rPr>
        <w:t xml:space="preserve"> </w:t>
      </w:r>
      <w:r w:rsidRPr="00BA2DEF">
        <w:rPr>
          <w:rFonts w:ascii="Times New Roman" w:hAnsi="Times New Roman" w:cs="Times New Roman"/>
          <w:sz w:val="24"/>
          <w:szCs w:val="24"/>
        </w:rPr>
        <w:t xml:space="preserve">days, which is comparable to studies, which also found extended healing periods for severe PUK. </w:t>
      </w:r>
      <w:r w:rsidR="00B802D5" w:rsidRPr="00B802D5">
        <w:rPr>
          <w:rFonts w:ascii="Times New Roman" w:hAnsi="Times New Roman" w:cs="Times New Roman"/>
          <w:sz w:val="24"/>
          <w:szCs w:val="24"/>
          <w:vertAlign w:val="superscript"/>
        </w:rPr>
        <w:t>9</w:t>
      </w:r>
      <w:r w:rsidR="00B802D5">
        <w:rPr>
          <w:rFonts w:ascii="Times New Roman" w:hAnsi="Times New Roman" w:cs="Times New Roman"/>
          <w:sz w:val="24"/>
          <w:szCs w:val="24"/>
        </w:rPr>
        <w:t xml:space="preserve"> </w:t>
      </w:r>
      <w:r w:rsidRPr="00BA2DEF">
        <w:rPr>
          <w:rFonts w:ascii="Times New Roman" w:hAnsi="Times New Roman" w:cs="Times New Roman"/>
          <w:sz w:val="24"/>
          <w:szCs w:val="24"/>
        </w:rPr>
        <w:t>Moreover, surgical intervention demonstrated significant visual improvement, particularly in cases where medical treatment failed. This finding is consistent with the work</w:t>
      </w:r>
      <w:r w:rsidR="00B802D5">
        <w:rPr>
          <w:rFonts w:ascii="Times New Roman" w:hAnsi="Times New Roman" w:cs="Times New Roman"/>
          <w:sz w:val="24"/>
          <w:szCs w:val="24"/>
        </w:rPr>
        <w:t xml:space="preserve">, </w:t>
      </w:r>
      <w:r w:rsidRPr="00BA2DEF">
        <w:rPr>
          <w:rFonts w:ascii="Times New Roman" w:hAnsi="Times New Roman" w:cs="Times New Roman"/>
          <w:sz w:val="24"/>
          <w:szCs w:val="24"/>
        </w:rPr>
        <w:t xml:space="preserve">who reported that surgery after medical management failure resulted in better visual outcomes in PUK patients. </w:t>
      </w:r>
      <w:r w:rsidR="00B802D5" w:rsidRPr="00B802D5">
        <w:rPr>
          <w:rFonts w:ascii="Times New Roman" w:hAnsi="Times New Roman" w:cs="Times New Roman"/>
          <w:sz w:val="24"/>
          <w:szCs w:val="24"/>
          <w:vertAlign w:val="superscript"/>
        </w:rPr>
        <w:t>9</w:t>
      </w:r>
      <w:r w:rsidR="00B802D5">
        <w:rPr>
          <w:rFonts w:ascii="Times New Roman" w:hAnsi="Times New Roman" w:cs="Times New Roman"/>
          <w:sz w:val="24"/>
          <w:szCs w:val="24"/>
        </w:rPr>
        <w:t xml:space="preserve"> </w:t>
      </w:r>
      <w:r w:rsidRPr="00BA2DEF">
        <w:rPr>
          <w:rFonts w:ascii="Times New Roman" w:hAnsi="Times New Roman" w:cs="Times New Roman"/>
          <w:sz w:val="24"/>
          <w:szCs w:val="24"/>
        </w:rPr>
        <w:t>Our study further emphasizes the importance of surgical intervention in severe cases, where significant visual improvement was observed with a p-value of 0.001.</w:t>
      </w:r>
    </w:p>
    <w:p w14:paraId="3136B00C" w14:textId="77777777" w:rsidR="00BA2DEF" w:rsidRPr="00BA2DEF" w:rsidRDefault="00BA2DEF" w:rsidP="00BA2DEF">
      <w:pPr>
        <w:spacing w:after="0" w:line="360" w:lineRule="auto"/>
        <w:jc w:val="both"/>
        <w:rPr>
          <w:rFonts w:ascii="Times New Roman" w:hAnsi="Times New Roman" w:cs="Times New Roman"/>
          <w:sz w:val="24"/>
          <w:szCs w:val="24"/>
        </w:rPr>
      </w:pPr>
    </w:p>
    <w:p w14:paraId="64C135BA" w14:textId="1A0C8CE9" w:rsidR="00D950A7" w:rsidRPr="00AF2787" w:rsidRDefault="00BA2DEF" w:rsidP="00BA2DEF">
      <w:pPr>
        <w:spacing w:after="0" w:line="360" w:lineRule="auto"/>
        <w:jc w:val="both"/>
        <w:rPr>
          <w:rFonts w:ascii="Times New Roman" w:hAnsi="Times New Roman" w:cs="Times New Roman"/>
          <w:sz w:val="24"/>
          <w:szCs w:val="24"/>
        </w:rPr>
      </w:pPr>
      <w:r w:rsidRPr="00BA2DEF">
        <w:rPr>
          <w:rFonts w:ascii="Times New Roman" w:hAnsi="Times New Roman" w:cs="Times New Roman"/>
          <w:sz w:val="24"/>
          <w:szCs w:val="24"/>
        </w:rPr>
        <w:t>In summary, the findings from our study are generally consistent with those from other studies, particularly in terms of age distribution, gender prevalence, symptomatology, and the role of systemic factors like diabetes in the development of PUK. However, the regional differences in healthcare access and socioeconomic status may contribute to variations in the clinical presentation and management of the disease. This study further highlights the importance of early diagnosis and intervention, as well as the significant role of surgical management in improving visual outcomes for severe PUK cases.</w:t>
      </w:r>
    </w:p>
    <w:p w14:paraId="5DAA7311" w14:textId="77777777" w:rsidR="00961440" w:rsidRDefault="00961440" w:rsidP="00AF2787">
      <w:pPr>
        <w:spacing w:after="0" w:line="360" w:lineRule="auto"/>
        <w:rPr>
          <w:rFonts w:ascii="Times New Roman" w:hAnsi="Times New Roman" w:cs="Times New Roman"/>
          <w:b/>
          <w:bCs/>
          <w:sz w:val="24"/>
          <w:szCs w:val="24"/>
        </w:rPr>
      </w:pPr>
    </w:p>
    <w:p w14:paraId="7A391F17" w14:textId="4EDBB48D" w:rsidR="00D950A7" w:rsidRPr="00AF2787" w:rsidRDefault="00D950A7" w:rsidP="00AF2787">
      <w:pPr>
        <w:spacing w:after="0" w:line="360" w:lineRule="auto"/>
        <w:rPr>
          <w:rFonts w:ascii="Times New Roman" w:hAnsi="Times New Roman" w:cs="Times New Roman"/>
          <w:b/>
          <w:bCs/>
          <w:sz w:val="24"/>
          <w:szCs w:val="24"/>
        </w:rPr>
      </w:pPr>
      <w:r w:rsidRPr="00AF2787">
        <w:rPr>
          <w:rFonts w:ascii="Times New Roman" w:hAnsi="Times New Roman" w:cs="Times New Roman"/>
          <w:b/>
          <w:bCs/>
          <w:sz w:val="24"/>
          <w:szCs w:val="24"/>
        </w:rPr>
        <w:t>Conclusion</w:t>
      </w:r>
    </w:p>
    <w:p w14:paraId="1F086ACA" w14:textId="77777777" w:rsidR="00393371" w:rsidRDefault="00393371" w:rsidP="00AF2787">
      <w:pPr>
        <w:spacing w:after="0" w:line="360" w:lineRule="auto"/>
        <w:jc w:val="both"/>
        <w:rPr>
          <w:rFonts w:ascii="Times New Roman" w:hAnsi="Times New Roman" w:cs="Times New Roman"/>
          <w:sz w:val="24"/>
          <w:szCs w:val="24"/>
        </w:rPr>
      </w:pPr>
      <w:r w:rsidRPr="00393371">
        <w:rPr>
          <w:rFonts w:ascii="Times New Roman" w:hAnsi="Times New Roman" w:cs="Times New Roman"/>
          <w:sz w:val="24"/>
          <w:szCs w:val="24"/>
        </w:rPr>
        <w:t xml:space="preserve">The study highlights key demographic, clinical, and treatment-related outcomes in patients with peripheral ulcerative keratitis (PUK). The majority of patients were aged 50–60 years, with a male predominance (60%). Systemic factors, including elevated blood sugar and cholesterol levels, were common, suggesting possible associations with PUK. Microbiological infections were the leading cause (39%), followed by </w:t>
      </w:r>
      <w:proofErr w:type="spellStart"/>
      <w:r w:rsidRPr="00393371">
        <w:rPr>
          <w:rFonts w:ascii="Times New Roman" w:hAnsi="Times New Roman" w:cs="Times New Roman"/>
          <w:sz w:val="24"/>
          <w:szCs w:val="24"/>
        </w:rPr>
        <w:t>Mooren’s</w:t>
      </w:r>
      <w:proofErr w:type="spellEnd"/>
      <w:r w:rsidRPr="00393371">
        <w:rPr>
          <w:rFonts w:ascii="Times New Roman" w:hAnsi="Times New Roman" w:cs="Times New Roman"/>
          <w:sz w:val="24"/>
          <w:szCs w:val="24"/>
        </w:rPr>
        <w:t xml:space="preserve"> ulcer (32%) and systemic collagen vascular disease (29%). Symptomatically, blurred vision (37%) and foreign body sensation (39%) were the most frequent complaints. Disease severity significantly influenced healing duration, treatment failure, and visual outcomes. While mild cases healed within approximately 8 days, severe cases took over a month. Medical treatment alone was ineffective in advanced cases, with a failure rate of 51%, necessitating surgical intervention in 46% of severe cases. Anatomical success was highest in mild cases (90%) but decreased with severity (80% in severe cases), and recurrence rates increased accordingly. Visual acuity outcomes showed modest improvement across all groups, with primary surgical cases achieving the most significant gains (p=0.001), whereas cases managed only medically in moderate-to-severe stages showed no significant improvement (p=0.360). These findings underscore the necessity for timely intervention, the limited effectiveness of medical treatment in advanced disease, and the critical role of surgical management in improving outcomes in severe PUK cases.</w:t>
      </w:r>
    </w:p>
    <w:p w14:paraId="0409E083" w14:textId="77777777" w:rsidR="00393371" w:rsidRDefault="00393371" w:rsidP="00AF2787">
      <w:pPr>
        <w:spacing w:after="0" w:line="360" w:lineRule="auto"/>
        <w:jc w:val="both"/>
        <w:rPr>
          <w:rFonts w:ascii="Times New Roman" w:hAnsi="Times New Roman" w:cs="Times New Roman"/>
          <w:b/>
          <w:bCs/>
          <w:sz w:val="24"/>
          <w:szCs w:val="24"/>
        </w:rPr>
      </w:pPr>
    </w:p>
    <w:p w14:paraId="58F49A31" w14:textId="77777777" w:rsidR="00393371" w:rsidRDefault="00393371" w:rsidP="00AF2787">
      <w:pPr>
        <w:spacing w:after="0" w:line="360" w:lineRule="auto"/>
        <w:jc w:val="both"/>
        <w:rPr>
          <w:rFonts w:ascii="Times New Roman" w:hAnsi="Times New Roman" w:cs="Times New Roman"/>
          <w:b/>
          <w:bCs/>
          <w:sz w:val="24"/>
          <w:szCs w:val="24"/>
        </w:rPr>
      </w:pPr>
    </w:p>
    <w:p w14:paraId="7EB78398" w14:textId="5B262FD5" w:rsidR="0070795C" w:rsidRPr="00AF2787" w:rsidRDefault="0070795C" w:rsidP="00AF2787">
      <w:pPr>
        <w:spacing w:after="0" w:line="360" w:lineRule="auto"/>
        <w:jc w:val="both"/>
        <w:rPr>
          <w:rFonts w:ascii="Times New Roman" w:hAnsi="Times New Roman" w:cs="Times New Roman"/>
          <w:b/>
          <w:bCs/>
          <w:sz w:val="24"/>
          <w:szCs w:val="24"/>
        </w:rPr>
      </w:pPr>
      <w:r w:rsidRPr="00AF2787">
        <w:rPr>
          <w:rFonts w:ascii="Times New Roman" w:hAnsi="Times New Roman" w:cs="Times New Roman"/>
          <w:b/>
          <w:bCs/>
          <w:sz w:val="24"/>
          <w:szCs w:val="24"/>
        </w:rPr>
        <w:t>Reference:</w:t>
      </w:r>
    </w:p>
    <w:p w14:paraId="322DA223" w14:textId="6928713E"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Robin JB, </w:t>
      </w:r>
      <w:proofErr w:type="spellStart"/>
      <w:r w:rsidRPr="00AF2787">
        <w:rPr>
          <w:rFonts w:ascii="Times New Roman" w:hAnsi="Times New Roman" w:cs="Times New Roman"/>
          <w:sz w:val="24"/>
          <w:szCs w:val="24"/>
        </w:rPr>
        <w:t>Schanzlin</w:t>
      </w:r>
      <w:proofErr w:type="spellEnd"/>
      <w:r w:rsidRPr="00AF2787">
        <w:rPr>
          <w:rFonts w:ascii="Times New Roman" w:hAnsi="Times New Roman" w:cs="Times New Roman"/>
          <w:sz w:val="24"/>
          <w:szCs w:val="24"/>
        </w:rPr>
        <w:t xml:space="preserve"> DJ, Verity </w:t>
      </w:r>
      <w:proofErr w:type="spellStart"/>
      <w:proofErr w:type="gramStart"/>
      <w:r w:rsidRPr="00AF2787">
        <w:rPr>
          <w:rFonts w:ascii="Times New Roman" w:hAnsi="Times New Roman" w:cs="Times New Roman"/>
          <w:sz w:val="24"/>
          <w:szCs w:val="24"/>
        </w:rPr>
        <w:t>SM,et</w:t>
      </w:r>
      <w:proofErr w:type="spellEnd"/>
      <w:r w:rsidRPr="00AF2787">
        <w:rPr>
          <w:rFonts w:ascii="Times New Roman" w:hAnsi="Times New Roman" w:cs="Times New Roman"/>
          <w:sz w:val="24"/>
          <w:szCs w:val="24"/>
        </w:rPr>
        <w:t xml:space="preserve"> al.</w:t>
      </w:r>
      <w:proofErr w:type="gramEnd"/>
      <w:r w:rsidRPr="00AF2787">
        <w:rPr>
          <w:rFonts w:ascii="Times New Roman" w:hAnsi="Times New Roman" w:cs="Times New Roman"/>
          <w:sz w:val="24"/>
          <w:szCs w:val="24"/>
        </w:rPr>
        <w:t xml:space="preserve"> Peripheral corneal disorders.SurvOphthalmol1986;31:1–36.</w:t>
      </w:r>
    </w:p>
    <w:p w14:paraId="6D1C95BF" w14:textId="1B3FFD19" w:rsidR="00F072D9" w:rsidRPr="00AF2787" w:rsidRDefault="00F072D9"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Mortality rate in rheumatoid arthritis patients developing necrotizing scleritis or peripheral ulcerative keratitis. Effects of systemic immunosuppression. Foster CS, </w:t>
      </w:r>
      <w:proofErr w:type="spellStart"/>
      <w:r w:rsidRPr="00AF2787">
        <w:rPr>
          <w:rFonts w:ascii="Times New Roman" w:hAnsi="Times New Roman" w:cs="Times New Roman"/>
          <w:sz w:val="24"/>
          <w:szCs w:val="24"/>
        </w:rPr>
        <w:t>Forstot</w:t>
      </w:r>
      <w:proofErr w:type="spellEnd"/>
      <w:r w:rsidRPr="00AF2787">
        <w:rPr>
          <w:rFonts w:ascii="Times New Roman" w:hAnsi="Times New Roman" w:cs="Times New Roman"/>
          <w:sz w:val="24"/>
          <w:szCs w:val="24"/>
        </w:rPr>
        <w:t xml:space="preserve"> SL, Wilson LA. Ophthalmology. 1984 Oct;91(10):1253-63.</w:t>
      </w:r>
    </w:p>
    <w:p w14:paraId="10B0D16E" w14:textId="4A304A8A"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 </w:t>
      </w:r>
      <w:proofErr w:type="spellStart"/>
      <w:r w:rsidRPr="00AF2787">
        <w:rPr>
          <w:rFonts w:ascii="Times New Roman" w:hAnsi="Times New Roman" w:cs="Times New Roman"/>
          <w:sz w:val="24"/>
          <w:szCs w:val="24"/>
        </w:rPr>
        <w:t>Mondino</w:t>
      </w:r>
      <w:proofErr w:type="spellEnd"/>
      <w:r w:rsidRPr="00AF2787">
        <w:rPr>
          <w:rFonts w:ascii="Times New Roman" w:hAnsi="Times New Roman" w:cs="Times New Roman"/>
          <w:sz w:val="24"/>
          <w:szCs w:val="24"/>
        </w:rPr>
        <w:t xml:space="preserve"> BJ. Inflammatory diseases of the peripheral </w:t>
      </w:r>
      <w:proofErr w:type="gramStart"/>
      <w:r w:rsidRPr="00AF2787">
        <w:rPr>
          <w:rFonts w:ascii="Times New Roman" w:hAnsi="Times New Roman" w:cs="Times New Roman"/>
          <w:sz w:val="24"/>
          <w:szCs w:val="24"/>
        </w:rPr>
        <w:t>cornea.Ophthalmology</w:t>
      </w:r>
      <w:proofErr w:type="gramEnd"/>
      <w:r w:rsidRPr="00AF2787">
        <w:rPr>
          <w:rFonts w:ascii="Times New Roman" w:hAnsi="Times New Roman" w:cs="Times New Roman"/>
          <w:sz w:val="24"/>
          <w:szCs w:val="24"/>
        </w:rPr>
        <w:t>1988;95:463–72.</w:t>
      </w:r>
    </w:p>
    <w:p w14:paraId="5FC40FFC" w14:textId="0D10316F"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Dana M, Qian Y, </w:t>
      </w:r>
      <w:proofErr w:type="spellStart"/>
      <w:r w:rsidRPr="00AF2787">
        <w:rPr>
          <w:rFonts w:ascii="Times New Roman" w:hAnsi="Times New Roman" w:cs="Times New Roman"/>
          <w:sz w:val="24"/>
          <w:szCs w:val="24"/>
        </w:rPr>
        <w:t>Hamrah</w:t>
      </w:r>
      <w:proofErr w:type="spellEnd"/>
      <w:r w:rsidRPr="00AF2787">
        <w:rPr>
          <w:rFonts w:ascii="Times New Roman" w:hAnsi="Times New Roman" w:cs="Times New Roman"/>
          <w:sz w:val="24"/>
          <w:szCs w:val="24"/>
        </w:rPr>
        <w:t xml:space="preserve"> P. Twenty-five-year panorama of corneal </w:t>
      </w:r>
      <w:proofErr w:type="spellStart"/>
      <w:proofErr w:type="gramStart"/>
      <w:r w:rsidRPr="00AF2787">
        <w:rPr>
          <w:rFonts w:ascii="Times New Roman" w:hAnsi="Times New Roman" w:cs="Times New Roman"/>
          <w:sz w:val="24"/>
          <w:szCs w:val="24"/>
        </w:rPr>
        <w:t>immunology:emerging</w:t>
      </w:r>
      <w:proofErr w:type="spellEnd"/>
      <w:proofErr w:type="gramEnd"/>
      <w:r w:rsidRPr="00AF2787">
        <w:rPr>
          <w:rFonts w:ascii="Times New Roman" w:hAnsi="Times New Roman" w:cs="Times New Roman"/>
          <w:sz w:val="24"/>
          <w:szCs w:val="24"/>
        </w:rPr>
        <w:t xml:space="preserve"> concepts in the immunopathogenesis of microbial keratitis, </w:t>
      </w:r>
      <w:proofErr w:type="spellStart"/>
      <w:r w:rsidRPr="00AF2787">
        <w:rPr>
          <w:rFonts w:ascii="Times New Roman" w:hAnsi="Times New Roman" w:cs="Times New Roman"/>
          <w:sz w:val="24"/>
          <w:szCs w:val="24"/>
        </w:rPr>
        <w:t>peripheralulcerative</w:t>
      </w:r>
      <w:proofErr w:type="spellEnd"/>
      <w:r w:rsidRPr="00AF2787">
        <w:rPr>
          <w:rFonts w:ascii="Times New Roman" w:hAnsi="Times New Roman" w:cs="Times New Roman"/>
          <w:sz w:val="24"/>
          <w:szCs w:val="24"/>
        </w:rPr>
        <w:t xml:space="preserve"> keratitis, and corneal transplant rejection.Cornea2000;19:625–43.</w:t>
      </w:r>
    </w:p>
    <w:p w14:paraId="23227CDE" w14:textId="1340F090"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Messmer EM, Foster CS. </w:t>
      </w:r>
      <w:proofErr w:type="spellStart"/>
      <w:r w:rsidRPr="00AF2787">
        <w:rPr>
          <w:rFonts w:ascii="Times New Roman" w:hAnsi="Times New Roman" w:cs="Times New Roman"/>
          <w:sz w:val="24"/>
          <w:szCs w:val="24"/>
        </w:rPr>
        <w:t>Vasculitic</w:t>
      </w:r>
      <w:proofErr w:type="spellEnd"/>
      <w:r w:rsidRPr="00AF2787">
        <w:rPr>
          <w:rFonts w:ascii="Times New Roman" w:hAnsi="Times New Roman" w:cs="Times New Roman"/>
          <w:sz w:val="24"/>
          <w:szCs w:val="24"/>
        </w:rPr>
        <w:t xml:space="preserve"> peripheral ulcerative </w:t>
      </w:r>
      <w:proofErr w:type="spellStart"/>
      <w:proofErr w:type="gramStart"/>
      <w:r w:rsidRPr="00AF2787">
        <w:rPr>
          <w:rFonts w:ascii="Times New Roman" w:hAnsi="Times New Roman" w:cs="Times New Roman"/>
          <w:sz w:val="24"/>
          <w:szCs w:val="24"/>
        </w:rPr>
        <w:t>keratitis.Surv</w:t>
      </w:r>
      <w:proofErr w:type="spellEnd"/>
      <w:proofErr w:type="gramEnd"/>
      <w:r w:rsidRPr="00AF2787">
        <w:rPr>
          <w:rFonts w:ascii="Times New Roman" w:hAnsi="Times New Roman" w:cs="Times New Roman"/>
          <w:sz w:val="24"/>
          <w:szCs w:val="24"/>
        </w:rPr>
        <w:t xml:space="preserve"> ophthalmol1999;43:379.</w:t>
      </w:r>
    </w:p>
    <w:p w14:paraId="61899F60" w14:textId="2E0FFE24"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proofErr w:type="spellStart"/>
      <w:r w:rsidRPr="00AF2787">
        <w:rPr>
          <w:rFonts w:ascii="Times New Roman" w:hAnsi="Times New Roman" w:cs="Times New Roman"/>
          <w:sz w:val="24"/>
          <w:szCs w:val="24"/>
        </w:rPr>
        <w:t>McKibbin</w:t>
      </w:r>
      <w:proofErr w:type="spellEnd"/>
      <w:r w:rsidRPr="00AF2787">
        <w:rPr>
          <w:rFonts w:ascii="Times New Roman" w:hAnsi="Times New Roman" w:cs="Times New Roman"/>
          <w:sz w:val="24"/>
          <w:szCs w:val="24"/>
        </w:rPr>
        <w:t xml:space="preserve"> M, Isaacs JD, Morrell AJ. Incidence of corneal melting in </w:t>
      </w:r>
      <w:proofErr w:type="spellStart"/>
      <w:r w:rsidRPr="00AF2787">
        <w:rPr>
          <w:rFonts w:ascii="Times New Roman" w:hAnsi="Times New Roman" w:cs="Times New Roman"/>
          <w:sz w:val="24"/>
          <w:szCs w:val="24"/>
        </w:rPr>
        <w:t>associationwith</w:t>
      </w:r>
      <w:proofErr w:type="spellEnd"/>
      <w:r w:rsidRPr="00AF2787">
        <w:rPr>
          <w:rFonts w:ascii="Times New Roman" w:hAnsi="Times New Roman" w:cs="Times New Roman"/>
          <w:sz w:val="24"/>
          <w:szCs w:val="24"/>
        </w:rPr>
        <w:t xml:space="preserve"> systemic disease in the Yorkshire Region, 1995–</w:t>
      </w:r>
      <w:proofErr w:type="gramStart"/>
      <w:r w:rsidRPr="00AF2787">
        <w:rPr>
          <w:rFonts w:ascii="Times New Roman" w:hAnsi="Times New Roman" w:cs="Times New Roman"/>
          <w:sz w:val="24"/>
          <w:szCs w:val="24"/>
        </w:rPr>
        <w:t>7.Br</w:t>
      </w:r>
      <w:proofErr w:type="gramEnd"/>
      <w:r w:rsidRPr="00AF2787">
        <w:rPr>
          <w:rFonts w:ascii="Times New Roman" w:hAnsi="Times New Roman" w:cs="Times New Roman"/>
          <w:sz w:val="24"/>
          <w:szCs w:val="24"/>
        </w:rPr>
        <w:t xml:space="preserve"> J Ophthalmol1999;83:941–3.</w:t>
      </w:r>
    </w:p>
    <w:p w14:paraId="52683E7E" w14:textId="1DE8A1C6"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proofErr w:type="spellStart"/>
      <w:r w:rsidRPr="00AF2787">
        <w:rPr>
          <w:rFonts w:ascii="Times New Roman" w:hAnsi="Times New Roman" w:cs="Times New Roman"/>
          <w:sz w:val="24"/>
          <w:szCs w:val="24"/>
        </w:rPr>
        <w:t>Sainz</w:t>
      </w:r>
      <w:proofErr w:type="spellEnd"/>
      <w:r w:rsidRPr="00AF2787">
        <w:rPr>
          <w:rFonts w:ascii="Times New Roman" w:hAnsi="Times New Roman" w:cs="Times New Roman"/>
          <w:sz w:val="24"/>
          <w:szCs w:val="24"/>
        </w:rPr>
        <w:t xml:space="preserve"> de la </w:t>
      </w:r>
      <w:proofErr w:type="spellStart"/>
      <w:r w:rsidRPr="00AF2787">
        <w:rPr>
          <w:rFonts w:ascii="Times New Roman" w:hAnsi="Times New Roman" w:cs="Times New Roman"/>
          <w:sz w:val="24"/>
          <w:szCs w:val="24"/>
        </w:rPr>
        <w:t>Maza</w:t>
      </w:r>
      <w:proofErr w:type="spellEnd"/>
      <w:r w:rsidRPr="00AF2787">
        <w:rPr>
          <w:rFonts w:ascii="Times New Roman" w:hAnsi="Times New Roman" w:cs="Times New Roman"/>
          <w:sz w:val="24"/>
          <w:szCs w:val="24"/>
        </w:rPr>
        <w:t xml:space="preserve"> M, Foster CS, </w:t>
      </w:r>
      <w:proofErr w:type="spellStart"/>
      <w:r w:rsidRPr="00AF2787">
        <w:rPr>
          <w:rFonts w:ascii="Times New Roman" w:hAnsi="Times New Roman" w:cs="Times New Roman"/>
          <w:sz w:val="24"/>
          <w:szCs w:val="24"/>
        </w:rPr>
        <w:t>Jabbur</w:t>
      </w:r>
      <w:proofErr w:type="spellEnd"/>
      <w:r w:rsidRPr="00AF2787">
        <w:rPr>
          <w:rFonts w:ascii="Times New Roman" w:hAnsi="Times New Roman" w:cs="Times New Roman"/>
          <w:sz w:val="24"/>
          <w:szCs w:val="24"/>
        </w:rPr>
        <w:t xml:space="preserve"> </w:t>
      </w:r>
      <w:proofErr w:type="spellStart"/>
      <w:proofErr w:type="gramStart"/>
      <w:r w:rsidRPr="00AF2787">
        <w:rPr>
          <w:rFonts w:ascii="Times New Roman" w:hAnsi="Times New Roman" w:cs="Times New Roman"/>
          <w:sz w:val="24"/>
          <w:szCs w:val="24"/>
        </w:rPr>
        <w:t>NS,et</w:t>
      </w:r>
      <w:proofErr w:type="spellEnd"/>
      <w:r w:rsidRPr="00AF2787">
        <w:rPr>
          <w:rFonts w:ascii="Times New Roman" w:hAnsi="Times New Roman" w:cs="Times New Roman"/>
          <w:sz w:val="24"/>
          <w:szCs w:val="24"/>
        </w:rPr>
        <w:t xml:space="preserve"> al.</w:t>
      </w:r>
      <w:proofErr w:type="gramEnd"/>
      <w:r w:rsidRPr="00AF2787">
        <w:rPr>
          <w:rFonts w:ascii="Times New Roman" w:hAnsi="Times New Roman" w:cs="Times New Roman"/>
          <w:sz w:val="24"/>
          <w:szCs w:val="24"/>
        </w:rPr>
        <w:t xml:space="preserve"> Ocular characteristics and </w:t>
      </w:r>
      <w:proofErr w:type="spellStart"/>
      <w:r w:rsidRPr="00AF2787">
        <w:rPr>
          <w:rFonts w:ascii="Times New Roman" w:hAnsi="Times New Roman" w:cs="Times New Roman"/>
          <w:sz w:val="24"/>
          <w:szCs w:val="24"/>
        </w:rPr>
        <w:t>diseaseassociations</w:t>
      </w:r>
      <w:proofErr w:type="spellEnd"/>
      <w:r w:rsidRPr="00AF2787">
        <w:rPr>
          <w:rFonts w:ascii="Times New Roman" w:hAnsi="Times New Roman" w:cs="Times New Roman"/>
          <w:sz w:val="24"/>
          <w:szCs w:val="24"/>
        </w:rPr>
        <w:t xml:space="preserve"> in scleritis-associated peripheral </w:t>
      </w:r>
      <w:proofErr w:type="spellStart"/>
      <w:r w:rsidRPr="00AF2787">
        <w:rPr>
          <w:rFonts w:ascii="Times New Roman" w:hAnsi="Times New Roman" w:cs="Times New Roman"/>
          <w:sz w:val="24"/>
          <w:szCs w:val="24"/>
        </w:rPr>
        <w:t>keratopathy.Arch</w:t>
      </w:r>
      <w:proofErr w:type="spellEnd"/>
      <w:r w:rsidRPr="00AF2787">
        <w:rPr>
          <w:rFonts w:ascii="Times New Roman" w:hAnsi="Times New Roman" w:cs="Times New Roman"/>
          <w:sz w:val="24"/>
          <w:szCs w:val="24"/>
        </w:rPr>
        <w:t xml:space="preserve"> Ophthalmol2002;120:15–19.</w:t>
      </w:r>
    </w:p>
    <w:p w14:paraId="1836E843" w14:textId="1FF8729B"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Srinivasan M, </w:t>
      </w:r>
      <w:proofErr w:type="spellStart"/>
      <w:r w:rsidRPr="00AF2787">
        <w:rPr>
          <w:rFonts w:ascii="Times New Roman" w:hAnsi="Times New Roman" w:cs="Times New Roman"/>
          <w:sz w:val="24"/>
          <w:szCs w:val="24"/>
        </w:rPr>
        <w:t>Zegans</w:t>
      </w:r>
      <w:proofErr w:type="spellEnd"/>
      <w:r w:rsidRPr="00AF2787">
        <w:rPr>
          <w:rFonts w:ascii="Times New Roman" w:hAnsi="Times New Roman" w:cs="Times New Roman"/>
          <w:sz w:val="24"/>
          <w:szCs w:val="24"/>
        </w:rPr>
        <w:t xml:space="preserve"> ME, </w:t>
      </w:r>
      <w:proofErr w:type="spellStart"/>
      <w:r w:rsidRPr="00AF2787">
        <w:rPr>
          <w:rFonts w:ascii="Times New Roman" w:hAnsi="Times New Roman" w:cs="Times New Roman"/>
          <w:sz w:val="24"/>
          <w:szCs w:val="24"/>
        </w:rPr>
        <w:t>Zelefsky</w:t>
      </w:r>
      <w:proofErr w:type="spellEnd"/>
      <w:r w:rsidRPr="00AF2787">
        <w:rPr>
          <w:rFonts w:ascii="Times New Roman" w:hAnsi="Times New Roman" w:cs="Times New Roman"/>
          <w:sz w:val="24"/>
          <w:szCs w:val="24"/>
        </w:rPr>
        <w:t xml:space="preserve"> </w:t>
      </w:r>
      <w:proofErr w:type="spellStart"/>
      <w:proofErr w:type="gramStart"/>
      <w:r w:rsidRPr="00AF2787">
        <w:rPr>
          <w:rFonts w:ascii="Times New Roman" w:hAnsi="Times New Roman" w:cs="Times New Roman"/>
          <w:sz w:val="24"/>
          <w:szCs w:val="24"/>
        </w:rPr>
        <w:t>JR,et</w:t>
      </w:r>
      <w:proofErr w:type="spellEnd"/>
      <w:r w:rsidRPr="00AF2787">
        <w:rPr>
          <w:rFonts w:ascii="Times New Roman" w:hAnsi="Times New Roman" w:cs="Times New Roman"/>
          <w:sz w:val="24"/>
          <w:szCs w:val="24"/>
        </w:rPr>
        <w:t xml:space="preserve"> al.</w:t>
      </w:r>
      <w:proofErr w:type="gramEnd"/>
      <w:r w:rsidRPr="00AF2787">
        <w:rPr>
          <w:rFonts w:ascii="Times New Roman" w:hAnsi="Times New Roman" w:cs="Times New Roman"/>
          <w:sz w:val="24"/>
          <w:szCs w:val="24"/>
        </w:rPr>
        <w:t xml:space="preserve"> Clinical characteristics of </w:t>
      </w:r>
      <w:proofErr w:type="spellStart"/>
      <w:r w:rsidRPr="00AF2787">
        <w:rPr>
          <w:rFonts w:ascii="Times New Roman" w:hAnsi="Times New Roman" w:cs="Times New Roman"/>
          <w:sz w:val="24"/>
          <w:szCs w:val="24"/>
        </w:rPr>
        <w:t>Mooren’sulcer</w:t>
      </w:r>
      <w:proofErr w:type="spellEnd"/>
      <w:r w:rsidRPr="00AF2787">
        <w:rPr>
          <w:rFonts w:ascii="Times New Roman" w:hAnsi="Times New Roman" w:cs="Times New Roman"/>
          <w:sz w:val="24"/>
          <w:szCs w:val="24"/>
        </w:rPr>
        <w:t xml:space="preserve"> in South India.Br J Ophthalmol2007;91:570–5.</w:t>
      </w:r>
    </w:p>
    <w:p w14:paraId="75D2C0C0" w14:textId="64AC68A2"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Foster CS, </w:t>
      </w:r>
      <w:proofErr w:type="spellStart"/>
      <w:r w:rsidRPr="00AF2787">
        <w:rPr>
          <w:rFonts w:ascii="Times New Roman" w:hAnsi="Times New Roman" w:cs="Times New Roman"/>
          <w:sz w:val="24"/>
          <w:szCs w:val="24"/>
        </w:rPr>
        <w:t>Forstot</w:t>
      </w:r>
      <w:proofErr w:type="spellEnd"/>
      <w:r w:rsidRPr="00AF2787">
        <w:rPr>
          <w:rFonts w:ascii="Times New Roman" w:hAnsi="Times New Roman" w:cs="Times New Roman"/>
          <w:sz w:val="24"/>
          <w:szCs w:val="24"/>
        </w:rPr>
        <w:t xml:space="preserve"> SL, Wilson LA. Mortality rate in </w:t>
      </w:r>
      <w:proofErr w:type="spellStart"/>
      <w:r w:rsidRPr="00AF2787">
        <w:rPr>
          <w:rFonts w:ascii="Times New Roman" w:hAnsi="Times New Roman" w:cs="Times New Roman"/>
          <w:sz w:val="24"/>
          <w:szCs w:val="24"/>
        </w:rPr>
        <w:t>rheumatod</w:t>
      </w:r>
      <w:proofErr w:type="spellEnd"/>
      <w:r w:rsidRPr="00AF2787">
        <w:rPr>
          <w:rFonts w:ascii="Times New Roman" w:hAnsi="Times New Roman" w:cs="Times New Roman"/>
          <w:sz w:val="24"/>
          <w:szCs w:val="24"/>
        </w:rPr>
        <w:t xml:space="preserve"> arthritis </w:t>
      </w:r>
      <w:proofErr w:type="spellStart"/>
      <w:r w:rsidRPr="00AF2787">
        <w:rPr>
          <w:rFonts w:ascii="Times New Roman" w:hAnsi="Times New Roman" w:cs="Times New Roman"/>
          <w:sz w:val="24"/>
          <w:szCs w:val="24"/>
        </w:rPr>
        <w:t>patientsdeveloping</w:t>
      </w:r>
      <w:proofErr w:type="spellEnd"/>
      <w:r w:rsidRPr="00AF2787">
        <w:rPr>
          <w:rFonts w:ascii="Times New Roman" w:hAnsi="Times New Roman" w:cs="Times New Roman"/>
          <w:sz w:val="24"/>
          <w:szCs w:val="24"/>
        </w:rPr>
        <w:t xml:space="preserve"> necrotizing scleritis or PUK.Ophthalmology1984;91:1253.</w:t>
      </w:r>
    </w:p>
    <w:p w14:paraId="07532DB3" w14:textId="09B712CD"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Watson PG, </w:t>
      </w:r>
      <w:proofErr w:type="spellStart"/>
      <w:r w:rsidRPr="00AF2787">
        <w:rPr>
          <w:rFonts w:ascii="Times New Roman" w:hAnsi="Times New Roman" w:cs="Times New Roman"/>
          <w:sz w:val="24"/>
          <w:szCs w:val="24"/>
        </w:rPr>
        <w:t>Hayreh</w:t>
      </w:r>
      <w:proofErr w:type="spellEnd"/>
      <w:r w:rsidRPr="00AF2787">
        <w:rPr>
          <w:rFonts w:ascii="Times New Roman" w:hAnsi="Times New Roman" w:cs="Times New Roman"/>
          <w:sz w:val="24"/>
          <w:szCs w:val="24"/>
        </w:rPr>
        <w:t xml:space="preserve"> SS. Scleritis and </w:t>
      </w:r>
      <w:proofErr w:type="gramStart"/>
      <w:r w:rsidRPr="00AF2787">
        <w:rPr>
          <w:rFonts w:ascii="Times New Roman" w:hAnsi="Times New Roman" w:cs="Times New Roman"/>
          <w:sz w:val="24"/>
          <w:szCs w:val="24"/>
        </w:rPr>
        <w:t>episcleritis.Br</w:t>
      </w:r>
      <w:proofErr w:type="gramEnd"/>
      <w:r w:rsidRPr="00AF2787">
        <w:rPr>
          <w:rFonts w:ascii="Times New Roman" w:hAnsi="Times New Roman" w:cs="Times New Roman"/>
          <w:sz w:val="24"/>
          <w:szCs w:val="24"/>
        </w:rPr>
        <w:t xml:space="preserve"> J Ophthalmol1976;60:163.</w:t>
      </w:r>
    </w:p>
    <w:p w14:paraId="4F58FF64" w14:textId="50B694C6" w:rsidR="00F072D9" w:rsidRPr="00AF2787" w:rsidRDefault="00F072D9"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Twenty-five-year panorama of corneal immunology: emerging concepts in the immunopathogenesis of microbial keratitis, peripheral ulcerative keratitis, and corneal transplant rejection. Dana MR, Qian Y, </w:t>
      </w:r>
      <w:proofErr w:type="spellStart"/>
      <w:r w:rsidRPr="00AF2787">
        <w:rPr>
          <w:rFonts w:ascii="Times New Roman" w:hAnsi="Times New Roman" w:cs="Times New Roman"/>
          <w:sz w:val="24"/>
          <w:szCs w:val="24"/>
        </w:rPr>
        <w:t>Hamrah</w:t>
      </w:r>
      <w:proofErr w:type="spellEnd"/>
      <w:r w:rsidRPr="00AF2787">
        <w:rPr>
          <w:rFonts w:ascii="Times New Roman" w:hAnsi="Times New Roman" w:cs="Times New Roman"/>
          <w:sz w:val="24"/>
          <w:szCs w:val="24"/>
        </w:rPr>
        <w:t xml:space="preserve"> P. Cornea. 2000 Sep;19(5):625-4</w:t>
      </w:r>
    </w:p>
    <w:p w14:paraId="51BB17A0" w14:textId="78143C42" w:rsidR="0070795C" w:rsidRPr="00AF2787" w:rsidRDefault="0070795C"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Ladas JG, </w:t>
      </w:r>
      <w:proofErr w:type="spellStart"/>
      <w:r w:rsidRPr="00AF2787">
        <w:rPr>
          <w:rFonts w:ascii="Times New Roman" w:hAnsi="Times New Roman" w:cs="Times New Roman"/>
          <w:sz w:val="24"/>
          <w:szCs w:val="24"/>
        </w:rPr>
        <w:t>Mondino</w:t>
      </w:r>
      <w:proofErr w:type="spellEnd"/>
      <w:r w:rsidRPr="00AF2787">
        <w:rPr>
          <w:rFonts w:ascii="Times New Roman" w:hAnsi="Times New Roman" w:cs="Times New Roman"/>
          <w:sz w:val="24"/>
          <w:szCs w:val="24"/>
        </w:rPr>
        <w:t xml:space="preserve"> BJ. Systemic disorders associated with peripheral </w:t>
      </w:r>
      <w:proofErr w:type="spellStart"/>
      <w:proofErr w:type="gramStart"/>
      <w:r w:rsidRPr="00AF2787">
        <w:rPr>
          <w:rFonts w:ascii="Times New Roman" w:hAnsi="Times New Roman" w:cs="Times New Roman"/>
          <w:sz w:val="24"/>
          <w:szCs w:val="24"/>
        </w:rPr>
        <w:t>cornealulceration.Curr</w:t>
      </w:r>
      <w:proofErr w:type="spellEnd"/>
      <w:proofErr w:type="gramEnd"/>
      <w:r w:rsidRPr="00AF2787">
        <w:rPr>
          <w:rFonts w:ascii="Times New Roman" w:hAnsi="Times New Roman" w:cs="Times New Roman"/>
          <w:sz w:val="24"/>
          <w:szCs w:val="24"/>
        </w:rPr>
        <w:t xml:space="preserve"> </w:t>
      </w:r>
      <w:proofErr w:type="spellStart"/>
      <w:r w:rsidRPr="00AF2787">
        <w:rPr>
          <w:rFonts w:ascii="Times New Roman" w:hAnsi="Times New Roman" w:cs="Times New Roman"/>
          <w:sz w:val="24"/>
          <w:szCs w:val="24"/>
        </w:rPr>
        <w:t>Opin</w:t>
      </w:r>
      <w:proofErr w:type="spellEnd"/>
      <w:r w:rsidRPr="00AF2787">
        <w:rPr>
          <w:rFonts w:ascii="Times New Roman" w:hAnsi="Times New Roman" w:cs="Times New Roman"/>
          <w:sz w:val="24"/>
          <w:szCs w:val="24"/>
        </w:rPr>
        <w:t xml:space="preserve"> Ophthalmol2000;11:468–71.</w:t>
      </w:r>
    </w:p>
    <w:p w14:paraId="2AC536C5" w14:textId="09980CCC" w:rsidR="001855EA" w:rsidRPr="00AF2787" w:rsidRDefault="001855EA" w:rsidP="00AF2787">
      <w:pPr>
        <w:pStyle w:val="ListParagraph"/>
        <w:numPr>
          <w:ilvl w:val="0"/>
          <w:numId w:val="7"/>
        </w:numPr>
        <w:spacing w:after="0" w:line="360" w:lineRule="auto"/>
        <w:jc w:val="both"/>
        <w:rPr>
          <w:rFonts w:ascii="Times New Roman" w:hAnsi="Times New Roman" w:cs="Times New Roman"/>
          <w:sz w:val="24"/>
          <w:szCs w:val="24"/>
        </w:rPr>
      </w:pPr>
      <w:proofErr w:type="spellStart"/>
      <w:r w:rsidRPr="00AF2787">
        <w:rPr>
          <w:rFonts w:ascii="Times New Roman" w:hAnsi="Times New Roman" w:cs="Times New Roman"/>
          <w:sz w:val="24"/>
          <w:szCs w:val="24"/>
        </w:rPr>
        <w:t>Sangwan</w:t>
      </w:r>
      <w:proofErr w:type="spellEnd"/>
      <w:r w:rsidRPr="00AF2787">
        <w:rPr>
          <w:rFonts w:ascii="Times New Roman" w:hAnsi="Times New Roman" w:cs="Times New Roman"/>
          <w:sz w:val="24"/>
          <w:szCs w:val="24"/>
        </w:rPr>
        <w:t xml:space="preserve"> VS, </w:t>
      </w:r>
      <w:proofErr w:type="spellStart"/>
      <w:r w:rsidRPr="00AF2787">
        <w:rPr>
          <w:rFonts w:ascii="Times New Roman" w:hAnsi="Times New Roman" w:cs="Times New Roman"/>
          <w:sz w:val="24"/>
          <w:szCs w:val="24"/>
        </w:rPr>
        <w:t>Zafirakis</w:t>
      </w:r>
      <w:proofErr w:type="spellEnd"/>
      <w:r w:rsidRPr="00AF2787">
        <w:rPr>
          <w:rFonts w:ascii="Times New Roman" w:hAnsi="Times New Roman" w:cs="Times New Roman"/>
          <w:sz w:val="24"/>
          <w:szCs w:val="24"/>
        </w:rPr>
        <w:t xml:space="preserve"> P, Foster CS. </w:t>
      </w:r>
      <w:proofErr w:type="spellStart"/>
      <w:r w:rsidRPr="00AF2787">
        <w:rPr>
          <w:rFonts w:ascii="Times New Roman" w:hAnsi="Times New Roman" w:cs="Times New Roman"/>
          <w:sz w:val="24"/>
          <w:szCs w:val="24"/>
        </w:rPr>
        <w:t>Mooren’s</w:t>
      </w:r>
      <w:proofErr w:type="spellEnd"/>
      <w:r w:rsidRPr="00AF2787">
        <w:rPr>
          <w:rFonts w:ascii="Times New Roman" w:hAnsi="Times New Roman" w:cs="Times New Roman"/>
          <w:sz w:val="24"/>
          <w:szCs w:val="24"/>
        </w:rPr>
        <w:t xml:space="preserve"> ulcer: current concepts in management. Indian J </w:t>
      </w:r>
      <w:proofErr w:type="spellStart"/>
      <w:r w:rsidRPr="00AF2787">
        <w:rPr>
          <w:rFonts w:ascii="Times New Roman" w:hAnsi="Times New Roman" w:cs="Times New Roman"/>
          <w:sz w:val="24"/>
          <w:szCs w:val="24"/>
        </w:rPr>
        <w:t>Ophthalmol</w:t>
      </w:r>
      <w:proofErr w:type="spellEnd"/>
      <w:r w:rsidRPr="00AF2787">
        <w:rPr>
          <w:rFonts w:ascii="Times New Roman" w:hAnsi="Times New Roman" w:cs="Times New Roman"/>
          <w:sz w:val="24"/>
          <w:szCs w:val="24"/>
        </w:rPr>
        <w:t xml:space="preserve">. </w:t>
      </w:r>
      <w:proofErr w:type="gramStart"/>
      <w:r w:rsidRPr="00AF2787">
        <w:rPr>
          <w:rFonts w:ascii="Times New Roman" w:hAnsi="Times New Roman" w:cs="Times New Roman"/>
          <w:sz w:val="24"/>
          <w:szCs w:val="24"/>
        </w:rPr>
        <w:t>1997;45:7</w:t>
      </w:r>
      <w:proofErr w:type="gramEnd"/>
      <w:r w:rsidRPr="00AF2787">
        <w:rPr>
          <w:rFonts w:ascii="Times New Roman" w:hAnsi="Times New Roman" w:cs="Times New Roman"/>
          <w:sz w:val="24"/>
          <w:szCs w:val="24"/>
        </w:rPr>
        <w:t>–17. [PubMed] [Google Scholar]</w:t>
      </w:r>
    </w:p>
    <w:p w14:paraId="6AD2FB3B" w14:textId="5D11BB12" w:rsidR="001855EA" w:rsidRPr="00AF2787" w:rsidRDefault="001855EA"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lastRenderedPageBreak/>
        <w:t xml:space="preserve">Brown S. </w:t>
      </w:r>
      <w:proofErr w:type="spellStart"/>
      <w:r w:rsidRPr="00AF2787">
        <w:rPr>
          <w:rFonts w:ascii="Times New Roman" w:hAnsi="Times New Roman" w:cs="Times New Roman"/>
          <w:sz w:val="24"/>
          <w:szCs w:val="24"/>
        </w:rPr>
        <w:t>Mooren’s</w:t>
      </w:r>
      <w:proofErr w:type="spellEnd"/>
      <w:r w:rsidRPr="00AF2787">
        <w:rPr>
          <w:rFonts w:ascii="Times New Roman" w:hAnsi="Times New Roman" w:cs="Times New Roman"/>
          <w:sz w:val="24"/>
          <w:szCs w:val="24"/>
        </w:rPr>
        <w:t xml:space="preserve"> ulcer. Treatment by conjunctival excision. Br J </w:t>
      </w:r>
      <w:proofErr w:type="spellStart"/>
      <w:r w:rsidRPr="00AF2787">
        <w:rPr>
          <w:rFonts w:ascii="Times New Roman" w:hAnsi="Times New Roman" w:cs="Times New Roman"/>
          <w:sz w:val="24"/>
          <w:szCs w:val="24"/>
        </w:rPr>
        <w:t>Ophthalmol</w:t>
      </w:r>
      <w:proofErr w:type="spellEnd"/>
      <w:r w:rsidRPr="00AF2787">
        <w:rPr>
          <w:rFonts w:ascii="Times New Roman" w:hAnsi="Times New Roman" w:cs="Times New Roman"/>
          <w:sz w:val="24"/>
          <w:szCs w:val="24"/>
        </w:rPr>
        <w:t xml:space="preserve">. </w:t>
      </w:r>
      <w:proofErr w:type="gramStart"/>
      <w:r w:rsidRPr="00AF2787">
        <w:rPr>
          <w:rFonts w:ascii="Times New Roman" w:hAnsi="Times New Roman" w:cs="Times New Roman"/>
          <w:sz w:val="24"/>
          <w:szCs w:val="24"/>
        </w:rPr>
        <w:t>1975;59:675</w:t>
      </w:r>
      <w:proofErr w:type="gramEnd"/>
      <w:r w:rsidRPr="00AF2787">
        <w:rPr>
          <w:rFonts w:ascii="Times New Roman" w:hAnsi="Times New Roman" w:cs="Times New Roman"/>
          <w:sz w:val="24"/>
          <w:szCs w:val="24"/>
        </w:rPr>
        <w:t xml:space="preserve">–682. </w:t>
      </w:r>
      <w:proofErr w:type="spellStart"/>
      <w:r w:rsidRPr="00AF2787">
        <w:rPr>
          <w:rFonts w:ascii="Times New Roman" w:hAnsi="Times New Roman" w:cs="Times New Roman"/>
          <w:sz w:val="24"/>
          <w:szCs w:val="24"/>
        </w:rPr>
        <w:t>doi</w:t>
      </w:r>
      <w:proofErr w:type="spellEnd"/>
      <w:r w:rsidRPr="00AF2787">
        <w:rPr>
          <w:rFonts w:ascii="Times New Roman" w:hAnsi="Times New Roman" w:cs="Times New Roman"/>
          <w:sz w:val="24"/>
          <w:szCs w:val="24"/>
        </w:rPr>
        <w:t>: 10.1136/bjo.59.11.675 [DOI] [PMC free article] [PubMed] [Google Scholar]</w:t>
      </w:r>
    </w:p>
    <w:p w14:paraId="3AFCF434" w14:textId="6902C31C" w:rsidR="001855EA" w:rsidRPr="00AF2787" w:rsidRDefault="001855EA" w:rsidP="00AF2787">
      <w:pPr>
        <w:pStyle w:val="ListParagraph"/>
        <w:numPr>
          <w:ilvl w:val="0"/>
          <w:numId w:val="7"/>
        </w:numPr>
        <w:spacing w:after="0" w:line="360" w:lineRule="auto"/>
        <w:jc w:val="both"/>
        <w:rPr>
          <w:rFonts w:ascii="Times New Roman" w:hAnsi="Times New Roman" w:cs="Times New Roman"/>
          <w:sz w:val="24"/>
          <w:szCs w:val="24"/>
        </w:rPr>
      </w:pPr>
      <w:r w:rsidRPr="00AF2787">
        <w:rPr>
          <w:rFonts w:ascii="Times New Roman" w:hAnsi="Times New Roman" w:cs="Times New Roman"/>
          <w:sz w:val="24"/>
          <w:szCs w:val="24"/>
        </w:rPr>
        <w:t xml:space="preserve">Yokogawa H, Kobayashi A, Yamazaki N, et al. Surgical therapies for corneal perforations: 10 years of cases in a tertiary referral hospital. Clin </w:t>
      </w:r>
      <w:proofErr w:type="spellStart"/>
      <w:r w:rsidRPr="00AF2787">
        <w:rPr>
          <w:rFonts w:ascii="Times New Roman" w:hAnsi="Times New Roman" w:cs="Times New Roman"/>
          <w:sz w:val="24"/>
          <w:szCs w:val="24"/>
        </w:rPr>
        <w:t>Ophthalmo</w:t>
      </w:r>
      <w:proofErr w:type="spellEnd"/>
      <w:r w:rsidRPr="00AF2787">
        <w:rPr>
          <w:rFonts w:ascii="Times New Roman" w:hAnsi="Times New Roman" w:cs="Times New Roman"/>
          <w:sz w:val="24"/>
          <w:szCs w:val="24"/>
        </w:rPr>
        <w:t xml:space="preserve">. </w:t>
      </w:r>
      <w:proofErr w:type="gramStart"/>
      <w:r w:rsidRPr="00AF2787">
        <w:rPr>
          <w:rFonts w:ascii="Times New Roman" w:hAnsi="Times New Roman" w:cs="Times New Roman"/>
          <w:sz w:val="24"/>
          <w:szCs w:val="24"/>
        </w:rPr>
        <w:t>2014;8:2165</w:t>
      </w:r>
      <w:proofErr w:type="gramEnd"/>
      <w:r w:rsidRPr="00AF2787">
        <w:rPr>
          <w:rFonts w:ascii="Times New Roman" w:hAnsi="Times New Roman" w:cs="Times New Roman"/>
          <w:sz w:val="24"/>
          <w:szCs w:val="24"/>
        </w:rPr>
        <w:t xml:space="preserve">–2170. </w:t>
      </w:r>
      <w:proofErr w:type="spellStart"/>
      <w:r w:rsidRPr="00AF2787">
        <w:rPr>
          <w:rFonts w:ascii="Times New Roman" w:hAnsi="Times New Roman" w:cs="Times New Roman"/>
          <w:sz w:val="24"/>
          <w:szCs w:val="24"/>
        </w:rPr>
        <w:t>doi</w:t>
      </w:r>
      <w:proofErr w:type="spellEnd"/>
      <w:r w:rsidRPr="00AF2787">
        <w:rPr>
          <w:rFonts w:ascii="Times New Roman" w:hAnsi="Times New Roman" w:cs="Times New Roman"/>
          <w:sz w:val="24"/>
          <w:szCs w:val="24"/>
        </w:rPr>
        <w:t xml:space="preserve">: 10.2147/OPTH.S71102 </w:t>
      </w:r>
    </w:p>
    <w:p w14:paraId="3B589E32" w14:textId="77777777" w:rsidR="001855EA" w:rsidRPr="00AF2787" w:rsidRDefault="001855EA" w:rsidP="00AF2787">
      <w:pPr>
        <w:spacing w:after="0" w:line="360" w:lineRule="auto"/>
        <w:ind w:left="360"/>
        <w:jc w:val="both"/>
        <w:rPr>
          <w:rFonts w:ascii="Times New Roman" w:hAnsi="Times New Roman" w:cs="Times New Roman"/>
          <w:sz w:val="24"/>
          <w:szCs w:val="24"/>
        </w:rPr>
      </w:pPr>
    </w:p>
    <w:sectPr w:rsidR="001855EA" w:rsidRPr="00AF2787" w:rsidSect="001468D9">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6EE52" w14:textId="77777777" w:rsidR="00747E89" w:rsidRDefault="00747E89" w:rsidP="00475079">
      <w:pPr>
        <w:spacing w:after="0" w:line="240" w:lineRule="auto"/>
      </w:pPr>
      <w:r>
        <w:separator/>
      </w:r>
    </w:p>
  </w:endnote>
  <w:endnote w:type="continuationSeparator" w:id="0">
    <w:p w14:paraId="6675C79B" w14:textId="77777777" w:rsidR="00747E89" w:rsidRDefault="00747E89" w:rsidP="0047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4EA5" w14:textId="77777777" w:rsidR="00475079" w:rsidRDefault="00475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B7DD" w14:textId="77777777" w:rsidR="00475079" w:rsidRDefault="00475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B0356" w14:textId="77777777" w:rsidR="00475079" w:rsidRDefault="0047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5BF4B" w14:textId="77777777" w:rsidR="00747E89" w:rsidRDefault="00747E89" w:rsidP="00475079">
      <w:pPr>
        <w:spacing w:after="0" w:line="240" w:lineRule="auto"/>
      </w:pPr>
      <w:r>
        <w:separator/>
      </w:r>
    </w:p>
  </w:footnote>
  <w:footnote w:type="continuationSeparator" w:id="0">
    <w:p w14:paraId="5723ACB4" w14:textId="77777777" w:rsidR="00747E89" w:rsidRDefault="00747E89" w:rsidP="00475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D4B1" w14:textId="6965F0AB" w:rsidR="00475079" w:rsidRDefault="00475079">
    <w:pPr>
      <w:pStyle w:val="Header"/>
    </w:pPr>
    <w:r>
      <w:rPr>
        <w:noProof/>
      </w:rPr>
      <w:pict w14:anchorId="02BB6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6038" w14:textId="7CA01ED3" w:rsidR="00475079" w:rsidRDefault="00475079">
    <w:pPr>
      <w:pStyle w:val="Header"/>
    </w:pPr>
    <w:r>
      <w:rPr>
        <w:noProof/>
      </w:rPr>
      <w:pict w14:anchorId="64752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E5F21" w14:textId="5FC5FBB7" w:rsidR="00475079" w:rsidRDefault="00475079">
    <w:pPr>
      <w:pStyle w:val="Header"/>
    </w:pPr>
    <w:r>
      <w:rPr>
        <w:noProof/>
      </w:rPr>
      <w:pict w14:anchorId="12444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59B0"/>
    <w:multiLevelType w:val="hybridMultilevel"/>
    <w:tmpl w:val="C3402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356817"/>
    <w:multiLevelType w:val="multilevel"/>
    <w:tmpl w:val="FCCC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54B53"/>
    <w:multiLevelType w:val="hybridMultilevel"/>
    <w:tmpl w:val="4E7AF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482845"/>
    <w:multiLevelType w:val="hybridMultilevel"/>
    <w:tmpl w:val="35E0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91DC4"/>
    <w:multiLevelType w:val="hybridMultilevel"/>
    <w:tmpl w:val="2B40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21F27"/>
    <w:multiLevelType w:val="hybridMultilevel"/>
    <w:tmpl w:val="A24E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8445A"/>
    <w:multiLevelType w:val="hybridMultilevel"/>
    <w:tmpl w:val="05E0CB5C"/>
    <w:lvl w:ilvl="0" w:tplc="3B98A724">
      <w:start w:val="1"/>
      <w:numFmt w:val="bullet"/>
      <w:lvlText w:val=""/>
      <w:lvlJc w:val="left"/>
      <w:pPr>
        <w:ind w:left="720" w:hanging="360"/>
      </w:pPr>
      <w:rPr>
        <w:rFonts w:ascii="Symbol" w:hAnsi="Symbol" w:hint="default"/>
      </w:rPr>
    </w:lvl>
    <w:lvl w:ilvl="1" w:tplc="B3263366">
      <w:start w:val="1"/>
      <w:numFmt w:val="bullet"/>
      <w:lvlText w:val="o"/>
      <w:lvlJc w:val="left"/>
      <w:pPr>
        <w:ind w:left="1440" w:hanging="360"/>
      </w:pPr>
      <w:rPr>
        <w:rFonts w:ascii="Courier New" w:hAnsi="Courier New" w:cs="Courier New" w:hint="default"/>
      </w:rPr>
    </w:lvl>
    <w:lvl w:ilvl="2" w:tplc="1A70B26C">
      <w:start w:val="1"/>
      <w:numFmt w:val="bullet"/>
      <w:lvlText w:val=""/>
      <w:lvlJc w:val="left"/>
      <w:pPr>
        <w:ind w:left="2160" w:hanging="360"/>
      </w:pPr>
      <w:rPr>
        <w:rFonts w:ascii="Wingdings" w:hAnsi="Wingdings" w:hint="default"/>
      </w:rPr>
    </w:lvl>
    <w:lvl w:ilvl="3" w:tplc="885A6BA4">
      <w:start w:val="1"/>
      <w:numFmt w:val="bullet"/>
      <w:lvlText w:val=""/>
      <w:lvlJc w:val="left"/>
      <w:pPr>
        <w:ind w:left="2880" w:hanging="360"/>
      </w:pPr>
      <w:rPr>
        <w:rFonts w:ascii="Symbol" w:hAnsi="Symbol" w:hint="default"/>
      </w:rPr>
    </w:lvl>
    <w:lvl w:ilvl="4" w:tplc="F586AE54">
      <w:start w:val="1"/>
      <w:numFmt w:val="bullet"/>
      <w:lvlText w:val="o"/>
      <w:lvlJc w:val="left"/>
      <w:pPr>
        <w:ind w:left="3600" w:hanging="360"/>
      </w:pPr>
      <w:rPr>
        <w:rFonts w:ascii="Courier New" w:hAnsi="Courier New" w:cs="Courier New" w:hint="default"/>
      </w:rPr>
    </w:lvl>
    <w:lvl w:ilvl="5" w:tplc="596270E4">
      <w:start w:val="1"/>
      <w:numFmt w:val="bullet"/>
      <w:lvlText w:val=""/>
      <w:lvlJc w:val="left"/>
      <w:pPr>
        <w:ind w:left="4320" w:hanging="360"/>
      </w:pPr>
      <w:rPr>
        <w:rFonts w:ascii="Wingdings" w:hAnsi="Wingdings" w:hint="default"/>
      </w:rPr>
    </w:lvl>
    <w:lvl w:ilvl="6" w:tplc="49B05150">
      <w:start w:val="1"/>
      <w:numFmt w:val="bullet"/>
      <w:lvlText w:val=""/>
      <w:lvlJc w:val="left"/>
      <w:pPr>
        <w:ind w:left="5040" w:hanging="360"/>
      </w:pPr>
      <w:rPr>
        <w:rFonts w:ascii="Symbol" w:hAnsi="Symbol" w:hint="default"/>
      </w:rPr>
    </w:lvl>
    <w:lvl w:ilvl="7" w:tplc="EFA299A6">
      <w:start w:val="1"/>
      <w:numFmt w:val="bullet"/>
      <w:lvlText w:val="o"/>
      <w:lvlJc w:val="left"/>
      <w:pPr>
        <w:ind w:left="5760" w:hanging="360"/>
      </w:pPr>
      <w:rPr>
        <w:rFonts w:ascii="Courier New" w:hAnsi="Courier New" w:cs="Courier New" w:hint="default"/>
      </w:rPr>
    </w:lvl>
    <w:lvl w:ilvl="8" w:tplc="EEF6E204">
      <w:start w:val="1"/>
      <w:numFmt w:val="bullet"/>
      <w:lvlText w:val=""/>
      <w:lvlJc w:val="left"/>
      <w:pPr>
        <w:ind w:left="6480" w:hanging="360"/>
      </w:pPr>
      <w:rPr>
        <w:rFonts w:ascii="Wingdings" w:hAnsi="Wingdings" w:hint="default"/>
      </w:rPr>
    </w:lvl>
  </w:abstractNum>
  <w:abstractNum w:abstractNumId="7" w15:restartNumberingAfterBreak="0">
    <w:nsid w:val="7E886BE3"/>
    <w:multiLevelType w:val="hybridMultilevel"/>
    <w:tmpl w:val="5CCA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F0E1E"/>
    <w:multiLevelType w:val="hybridMultilevel"/>
    <w:tmpl w:val="97A6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0"/>
  </w:num>
  <w:num w:numId="5">
    <w:abstractNumId w:val="7"/>
  </w:num>
  <w:num w:numId="6">
    <w:abstractNumId w:val="8"/>
  </w:num>
  <w:num w:numId="7">
    <w:abstractNumId w:val="3"/>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11"/>
    <w:rsid w:val="000108AD"/>
    <w:rsid w:val="000658E1"/>
    <w:rsid w:val="000B62A7"/>
    <w:rsid w:val="000E487B"/>
    <w:rsid w:val="0014234E"/>
    <w:rsid w:val="001468D9"/>
    <w:rsid w:val="001648CF"/>
    <w:rsid w:val="001855EA"/>
    <w:rsid w:val="001A1FBF"/>
    <w:rsid w:val="001A78E2"/>
    <w:rsid w:val="001D560E"/>
    <w:rsid w:val="00211683"/>
    <w:rsid w:val="00257D50"/>
    <w:rsid w:val="002A1C11"/>
    <w:rsid w:val="00383315"/>
    <w:rsid w:val="00393371"/>
    <w:rsid w:val="003D5F29"/>
    <w:rsid w:val="00402F5F"/>
    <w:rsid w:val="0041286E"/>
    <w:rsid w:val="00434951"/>
    <w:rsid w:val="00450515"/>
    <w:rsid w:val="00466551"/>
    <w:rsid w:val="00475079"/>
    <w:rsid w:val="00487569"/>
    <w:rsid w:val="004B0E96"/>
    <w:rsid w:val="004B6102"/>
    <w:rsid w:val="004D3D3A"/>
    <w:rsid w:val="00525D69"/>
    <w:rsid w:val="005262B9"/>
    <w:rsid w:val="005676ED"/>
    <w:rsid w:val="0057261B"/>
    <w:rsid w:val="00576CF1"/>
    <w:rsid w:val="005A7050"/>
    <w:rsid w:val="005B6F17"/>
    <w:rsid w:val="0060118C"/>
    <w:rsid w:val="006C40C8"/>
    <w:rsid w:val="006C5F96"/>
    <w:rsid w:val="0070795C"/>
    <w:rsid w:val="00715E0C"/>
    <w:rsid w:val="00747E89"/>
    <w:rsid w:val="00847501"/>
    <w:rsid w:val="0091536E"/>
    <w:rsid w:val="009414E4"/>
    <w:rsid w:val="00961440"/>
    <w:rsid w:val="0098769C"/>
    <w:rsid w:val="009D4420"/>
    <w:rsid w:val="009D541F"/>
    <w:rsid w:val="00A65152"/>
    <w:rsid w:val="00A77CD1"/>
    <w:rsid w:val="00A77D9B"/>
    <w:rsid w:val="00AD7E09"/>
    <w:rsid w:val="00AF2787"/>
    <w:rsid w:val="00B802D5"/>
    <w:rsid w:val="00BA2DEF"/>
    <w:rsid w:val="00BB05BC"/>
    <w:rsid w:val="00BF2E01"/>
    <w:rsid w:val="00C2230F"/>
    <w:rsid w:val="00C56EB2"/>
    <w:rsid w:val="00C80A6E"/>
    <w:rsid w:val="00CA397E"/>
    <w:rsid w:val="00CB0F88"/>
    <w:rsid w:val="00CB37A4"/>
    <w:rsid w:val="00CE6A47"/>
    <w:rsid w:val="00D950A7"/>
    <w:rsid w:val="00DB6FA7"/>
    <w:rsid w:val="00DD43C4"/>
    <w:rsid w:val="00DE69CF"/>
    <w:rsid w:val="00E065BC"/>
    <w:rsid w:val="00E749AE"/>
    <w:rsid w:val="00EC322A"/>
    <w:rsid w:val="00ED4016"/>
    <w:rsid w:val="00EE556E"/>
    <w:rsid w:val="00F072D9"/>
    <w:rsid w:val="00F53DC0"/>
    <w:rsid w:val="00F66208"/>
    <w:rsid w:val="00F8143E"/>
    <w:rsid w:val="00FE0A9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E334E1"/>
  <w15:chartTrackingRefBased/>
  <w15:docId w15:val="{D1D798EF-8734-4087-8A35-991561FA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3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331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7261B"/>
    <w:pPr>
      <w:ind w:left="720"/>
      <w:contextualSpacing/>
    </w:pPr>
  </w:style>
  <w:style w:type="paragraph" w:styleId="NormalWeb">
    <w:name w:val="Normal (Web)"/>
    <w:basedOn w:val="Normal"/>
    <w:uiPriority w:val="99"/>
    <w:unhideWhenUsed/>
    <w:rsid w:val="005676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69C"/>
    <w:rPr>
      <w:color w:val="0563C1" w:themeColor="hyperlink"/>
      <w:u w:val="single"/>
    </w:rPr>
  </w:style>
  <w:style w:type="character" w:styleId="UnresolvedMention">
    <w:name w:val="Unresolved Mention"/>
    <w:basedOn w:val="DefaultParagraphFont"/>
    <w:uiPriority w:val="99"/>
    <w:semiHidden/>
    <w:unhideWhenUsed/>
    <w:rsid w:val="0098769C"/>
    <w:rPr>
      <w:color w:val="605E5C"/>
      <w:shd w:val="clear" w:color="auto" w:fill="E1DFDD"/>
    </w:rPr>
  </w:style>
  <w:style w:type="paragraph" w:styleId="Header">
    <w:name w:val="header"/>
    <w:basedOn w:val="Normal"/>
    <w:link w:val="HeaderChar"/>
    <w:uiPriority w:val="99"/>
    <w:unhideWhenUsed/>
    <w:rsid w:val="00475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079"/>
  </w:style>
  <w:style w:type="paragraph" w:styleId="Footer">
    <w:name w:val="footer"/>
    <w:basedOn w:val="Normal"/>
    <w:link w:val="FooterChar"/>
    <w:uiPriority w:val="99"/>
    <w:unhideWhenUsed/>
    <w:rsid w:val="00475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8459">
      <w:bodyDiv w:val="1"/>
      <w:marLeft w:val="0"/>
      <w:marRight w:val="0"/>
      <w:marTop w:val="0"/>
      <w:marBottom w:val="0"/>
      <w:divBdr>
        <w:top w:val="none" w:sz="0" w:space="0" w:color="auto"/>
        <w:left w:val="none" w:sz="0" w:space="0" w:color="auto"/>
        <w:bottom w:val="none" w:sz="0" w:space="0" w:color="auto"/>
        <w:right w:val="none" w:sz="0" w:space="0" w:color="auto"/>
      </w:divBdr>
    </w:div>
    <w:div w:id="165293906">
      <w:bodyDiv w:val="1"/>
      <w:marLeft w:val="0"/>
      <w:marRight w:val="0"/>
      <w:marTop w:val="0"/>
      <w:marBottom w:val="0"/>
      <w:divBdr>
        <w:top w:val="none" w:sz="0" w:space="0" w:color="auto"/>
        <w:left w:val="none" w:sz="0" w:space="0" w:color="auto"/>
        <w:bottom w:val="none" w:sz="0" w:space="0" w:color="auto"/>
        <w:right w:val="none" w:sz="0" w:space="0" w:color="auto"/>
      </w:divBdr>
    </w:div>
    <w:div w:id="461268170">
      <w:bodyDiv w:val="1"/>
      <w:marLeft w:val="0"/>
      <w:marRight w:val="0"/>
      <w:marTop w:val="0"/>
      <w:marBottom w:val="0"/>
      <w:divBdr>
        <w:top w:val="none" w:sz="0" w:space="0" w:color="auto"/>
        <w:left w:val="none" w:sz="0" w:space="0" w:color="auto"/>
        <w:bottom w:val="none" w:sz="0" w:space="0" w:color="auto"/>
        <w:right w:val="none" w:sz="0" w:space="0" w:color="auto"/>
      </w:divBdr>
      <w:divsChild>
        <w:div w:id="2093503056">
          <w:marLeft w:val="0"/>
          <w:marRight w:val="0"/>
          <w:marTop w:val="0"/>
          <w:marBottom w:val="0"/>
          <w:divBdr>
            <w:top w:val="none" w:sz="0" w:space="0" w:color="auto"/>
            <w:left w:val="none" w:sz="0" w:space="0" w:color="auto"/>
            <w:bottom w:val="none" w:sz="0" w:space="0" w:color="auto"/>
            <w:right w:val="none" w:sz="0" w:space="0" w:color="auto"/>
          </w:divBdr>
        </w:div>
        <w:div w:id="1975871135">
          <w:marLeft w:val="0"/>
          <w:marRight w:val="0"/>
          <w:marTop w:val="0"/>
          <w:marBottom w:val="0"/>
          <w:divBdr>
            <w:top w:val="none" w:sz="0" w:space="0" w:color="auto"/>
            <w:left w:val="none" w:sz="0" w:space="0" w:color="auto"/>
            <w:bottom w:val="none" w:sz="0" w:space="0" w:color="auto"/>
            <w:right w:val="none" w:sz="0" w:space="0" w:color="auto"/>
          </w:divBdr>
        </w:div>
      </w:divsChild>
    </w:div>
    <w:div w:id="490831843">
      <w:bodyDiv w:val="1"/>
      <w:marLeft w:val="0"/>
      <w:marRight w:val="0"/>
      <w:marTop w:val="0"/>
      <w:marBottom w:val="0"/>
      <w:divBdr>
        <w:top w:val="none" w:sz="0" w:space="0" w:color="auto"/>
        <w:left w:val="none" w:sz="0" w:space="0" w:color="auto"/>
        <w:bottom w:val="none" w:sz="0" w:space="0" w:color="auto"/>
        <w:right w:val="none" w:sz="0" w:space="0" w:color="auto"/>
      </w:divBdr>
    </w:div>
    <w:div w:id="838887573">
      <w:bodyDiv w:val="1"/>
      <w:marLeft w:val="0"/>
      <w:marRight w:val="0"/>
      <w:marTop w:val="0"/>
      <w:marBottom w:val="0"/>
      <w:divBdr>
        <w:top w:val="none" w:sz="0" w:space="0" w:color="auto"/>
        <w:left w:val="none" w:sz="0" w:space="0" w:color="auto"/>
        <w:bottom w:val="none" w:sz="0" w:space="0" w:color="auto"/>
        <w:right w:val="none" w:sz="0" w:space="0" w:color="auto"/>
      </w:divBdr>
    </w:div>
    <w:div w:id="1187911020">
      <w:bodyDiv w:val="1"/>
      <w:marLeft w:val="0"/>
      <w:marRight w:val="0"/>
      <w:marTop w:val="0"/>
      <w:marBottom w:val="0"/>
      <w:divBdr>
        <w:top w:val="none" w:sz="0" w:space="0" w:color="auto"/>
        <w:left w:val="none" w:sz="0" w:space="0" w:color="auto"/>
        <w:bottom w:val="none" w:sz="0" w:space="0" w:color="auto"/>
        <w:right w:val="none" w:sz="0" w:space="0" w:color="auto"/>
      </w:divBdr>
    </w:div>
    <w:div w:id="1398162117">
      <w:bodyDiv w:val="1"/>
      <w:marLeft w:val="0"/>
      <w:marRight w:val="0"/>
      <w:marTop w:val="0"/>
      <w:marBottom w:val="0"/>
      <w:divBdr>
        <w:top w:val="none" w:sz="0" w:space="0" w:color="auto"/>
        <w:left w:val="none" w:sz="0" w:space="0" w:color="auto"/>
        <w:bottom w:val="none" w:sz="0" w:space="0" w:color="auto"/>
        <w:right w:val="none" w:sz="0" w:space="0" w:color="auto"/>
      </w:divBdr>
      <w:divsChild>
        <w:div w:id="1137332547">
          <w:marLeft w:val="0"/>
          <w:marRight w:val="0"/>
          <w:marTop w:val="0"/>
          <w:marBottom w:val="0"/>
          <w:divBdr>
            <w:top w:val="none" w:sz="0" w:space="0" w:color="auto"/>
            <w:left w:val="none" w:sz="0" w:space="0" w:color="auto"/>
            <w:bottom w:val="none" w:sz="0" w:space="0" w:color="auto"/>
            <w:right w:val="none" w:sz="0" w:space="0" w:color="auto"/>
          </w:divBdr>
        </w:div>
        <w:div w:id="168567946">
          <w:marLeft w:val="0"/>
          <w:marRight w:val="0"/>
          <w:marTop w:val="0"/>
          <w:marBottom w:val="0"/>
          <w:divBdr>
            <w:top w:val="none" w:sz="0" w:space="0" w:color="auto"/>
            <w:left w:val="none" w:sz="0" w:space="0" w:color="auto"/>
            <w:bottom w:val="none" w:sz="0" w:space="0" w:color="auto"/>
            <w:right w:val="none" w:sz="0" w:space="0" w:color="auto"/>
          </w:divBdr>
        </w:div>
      </w:divsChild>
    </w:div>
    <w:div w:id="1433670668">
      <w:bodyDiv w:val="1"/>
      <w:marLeft w:val="0"/>
      <w:marRight w:val="0"/>
      <w:marTop w:val="0"/>
      <w:marBottom w:val="0"/>
      <w:divBdr>
        <w:top w:val="none" w:sz="0" w:space="0" w:color="auto"/>
        <w:left w:val="none" w:sz="0" w:space="0" w:color="auto"/>
        <w:bottom w:val="none" w:sz="0" w:space="0" w:color="auto"/>
        <w:right w:val="none" w:sz="0" w:space="0" w:color="auto"/>
      </w:divBdr>
    </w:div>
    <w:div w:id="1639610117">
      <w:bodyDiv w:val="1"/>
      <w:marLeft w:val="0"/>
      <w:marRight w:val="0"/>
      <w:marTop w:val="0"/>
      <w:marBottom w:val="0"/>
      <w:divBdr>
        <w:top w:val="none" w:sz="0" w:space="0" w:color="auto"/>
        <w:left w:val="none" w:sz="0" w:space="0" w:color="auto"/>
        <w:bottom w:val="none" w:sz="0" w:space="0" w:color="auto"/>
        <w:right w:val="none" w:sz="0" w:space="0" w:color="auto"/>
      </w:divBdr>
    </w:div>
    <w:div w:id="2034377459">
      <w:bodyDiv w:val="1"/>
      <w:marLeft w:val="0"/>
      <w:marRight w:val="0"/>
      <w:marTop w:val="0"/>
      <w:marBottom w:val="0"/>
      <w:divBdr>
        <w:top w:val="none" w:sz="0" w:space="0" w:color="auto"/>
        <w:left w:val="none" w:sz="0" w:space="0" w:color="auto"/>
        <w:bottom w:val="none" w:sz="0" w:space="0" w:color="auto"/>
        <w:right w:val="none" w:sz="0" w:space="0" w:color="auto"/>
      </w:divBdr>
    </w:div>
    <w:div w:id="21049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11</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dc:creator>
  <cp:keywords/>
  <dc:description/>
  <cp:lastModifiedBy>SDI 1084</cp:lastModifiedBy>
  <cp:revision>32</cp:revision>
  <dcterms:created xsi:type="dcterms:W3CDTF">2020-06-25T08:38:00Z</dcterms:created>
  <dcterms:modified xsi:type="dcterms:W3CDTF">2025-02-14T11:39:00Z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a54cd31ea585c7bfc3bff3ed102a2b539c02a56a7efb459fbc31fa0d4e8d2023</vt:lpwstr>
  </property>
</Properties>
</file>