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1A0B9" w14:textId="77777777" w:rsidR="006675D5" w:rsidRDefault="006675D5" w:rsidP="00F67B0D">
      <w:pPr>
        <w:jc w:val="center"/>
        <w:rPr>
          <w:rFonts w:ascii="Times New Roman" w:hAnsi="Times New Roman" w:cs="Times New Roman"/>
          <w:b/>
          <w:sz w:val="24"/>
          <w:szCs w:val="24"/>
        </w:rPr>
      </w:pPr>
      <w:r>
        <w:rPr>
          <w:rFonts w:ascii="Times New Roman" w:hAnsi="Times New Roman" w:cs="Times New Roman"/>
          <w:b/>
          <w:sz w:val="24"/>
          <w:szCs w:val="24"/>
        </w:rPr>
        <w:t>A review on Antibiotic Resistance in Chronic kidney disease (CKD) Patients undergoing dialysis</w:t>
      </w:r>
    </w:p>
    <w:p w14:paraId="63C7E54B" w14:textId="77777777" w:rsidR="00BC5CB4" w:rsidRDefault="00BC5CB4" w:rsidP="005214CD">
      <w:pPr>
        <w:rPr>
          <w:rFonts w:ascii="Times New Roman" w:hAnsi="Times New Roman" w:cs="Times New Roman"/>
          <w:sz w:val="24"/>
          <w:szCs w:val="24"/>
        </w:rPr>
      </w:pPr>
    </w:p>
    <w:p w14:paraId="14D1A0BD" w14:textId="0813343E" w:rsidR="00F67B0D" w:rsidRDefault="005214CD" w:rsidP="005214CD">
      <w:pPr>
        <w:rPr>
          <w:rFonts w:ascii="Times New Roman" w:hAnsi="Times New Roman" w:cs="Times New Roman"/>
          <w:b/>
          <w:sz w:val="24"/>
          <w:szCs w:val="24"/>
        </w:rPr>
      </w:pPr>
      <w:r>
        <w:rPr>
          <w:rFonts w:ascii="Times New Roman" w:hAnsi="Times New Roman" w:cs="Times New Roman"/>
          <w:sz w:val="24"/>
          <w:szCs w:val="24"/>
        </w:rPr>
        <w:t xml:space="preserve">                                                                    </w:t>
      </w:r>
      <w:r w:rsidR="006675D5">
        <w:rPr>
          <w:rFonts w:ascii="Times New Roman" w:hAnsi="Times New Roman" w:cs="Times New Roman"/>
          <w:b/>
          <w:sz w:val="24"/>
          <w:szCs w:val="24"/>
        </w:rPr>
        <w:t xml:space="preserve"> </w:t>
      </w:r>
      <w:r w:rsidR="00F67B0D">
        <w:rPr>
          <w:rFonts w:ascii="Times New Roman" w:hAnsi="Times New Roman" w:cs="Times New Roman"/>
          <w:b/>
          <w:sz w:val="24"/>
          <w:szCs w:val="24"/>
        </w:rPr>
        <w:t>Abstract</w:t>
      </w:r>
    </w:p>
    <w:p w14:paraId="4910424F" w14:textId="77777777" w:rsidR="000F4BAF" w:rsidRDefault="003D1548" w:rsidP="00A736D2">
      <w:pPr>
        <w:pStyle w:val="NormalWeb"/>
        <w:spacing w:line="360" w:lineRule="auto"/>
        <w:jc w:val="both"/>
      </w:pPr>
      <w:r w:rsidRPr="003D1548">
        <w:t xml:space="preserve">Antibiotic resistance is a worldwide health threat, especially within high-risk groups, including chronic kidney disease (CKD) patients who are on dialysis. These patients are at high risk for </w:t>
      </w:r>
      <w:r w:rsidR="000F4BAF">
        <w:t xml:space="preserve">developing the </w:t>
      </w:r>
      <w:r w:rsidRPr="003D1548">
        <w:t>infections because of altered immunity, frequent contact with healthcare facilities, and invasive procedures</w:t>
      </w:r>
      <w:r w:rsidR="000F4BAF">
        <w:t xml:space="preserve"> and owing to these nosocomial infections these patients suffer from additional challenges</w:t>
      </w:r>
      <w:r w:rsidRPr="003D1548">
        <w:t>. The overuse and misuse of antibiotics in this population additionally increases their risk of multidrug-resistant (MDR) infections, which place notable challenges on clinical management. This review aims to identify the burden and consequences of antibiotic resistance among CKD patients on dialysis, with an emphasis on</w:t>
      </w:r>
      <w:r w:rsidR="000F4BAF">
        <w:t xml:space="preserve"> </w:t>
      </w:r>
      <w:r w:rsidR="000F4BAF" w:rsidRPr="000F4BAF">
        <w:t>need for robust infection control measures</w:t>
      </w:r>
      <w:r w:rsidR="00D20680">
        <w:t xml:space="preserve"> especially at healthcare setups</w:t>
      </w:r>
      <w:r w:rsidR="000F4BAF" w:rsidRPr="000F4BAF">
        <w:t xml:space="preserve">, targeted surveillance programs, and innovative approaches to mitigate </w:t>
      </w:r>
      <w:r w:rsidR="00D20680">
        <w:t xml:space="preserve">this life threatening </w:t>
      </w:r>
      <w:r w:rsidR="000F4BAF" w:rsidRPr="000F4BAF">
        <w:t xml:space="preserve">antibiotic resistance in CKD patients undergoing dialysis. By addressing these challenges, this review aims to provide a comprehensive understanding of the issue and identify </w:t>
      </w:r>
      <w:r w:rsidR="00D20680" w:rsidRPr="000F4BAF">
        <w:t>possibilities</w:t>
      </w:r>
      <w:r w:rsidR="000F4BAF" w:rsidRPr="000F4BAF">
        <w:t xml:space="preserve"> for improving</w:t>
      </w:r>
      <w:r w:rsidR="00D20680">
        <w:t xml:space="preserve"> the health </w:t>
      </w:r>
      <w:r w:rsidR="000F4BAF" w:rsidRPr="000F4BAF">
        <w:t xml:space="preserve">outcomes in </w:t>
      </w:r>
      <w:r w:rsidR="00D20680">
        <w:t xml:space="preserve">these </w:t>
      </w:r>
      <w:r w:rsidR="00D20680" w:rsidRPr="000F4BAF">
        <w:t>high-risk groups</w:t>
      </w:r>
      <w:r w:rsidR="000F4BAF" w:rsidRPr="000F4BAF">
        <w:t>.</w:t>
      </w:r>
    </w:p>
    <w:p w14:paraId="0FCCADC3" w14:textId="77777777" w:rsidR="00D20680" w:rsidRPr="000F4BAF" w:rsidRDefault="00D20680" w:rsidP="00A736D2">
      <w:pPr>
        <w:pStyle w:val="NormalWeb"/>
        <w:spacing w:line="360" w:lineRule="auto"/>
        <w:jc w:val="both"/>
      </w:pPr>
      <w:r w:rsidRPr="00D20680">
        <w:rPr>
          <w:b/>
        </w:rPr>
        <w:t>Keywords</w:t>
      </w:r>
      <w:r>
        <w:t>: MDR, CKD, High risk, Mitigate, Antibiotics</w:t>
      </w:r>
    </w:p>
    <w:p w14:paraId="3A32DC3F" w14:textId="77777777" w:rsidR="003D1548" w:rsidRPr="003D1548" w:rsidRDefault="003D1548" w:rsidP="000F4BAF">
      <w:pPr>
        <w:spacing w:before="100" w:beforeAutospacing="1" w:after="100" w:afterAutospacing="1" w:line="360" w:lineRule="auto"/>
        <w:jc w:val="both"/>
        <w:rPr>
          <w:rFonts w:ascii="Times New Roman" w:eastAsia="Times New Roman" w:hAnsi="Times New Roman" w:cs="Times New Roman"/>
          <w:sz w:val="24"/>
          <w:szCs w:val="24"/>
        </w:rPr>
      </w:pPr>
    </w:p>
    <w:p w14:paraId="4C381E86" w14:textId="77777777" w:rsidR="00A736D2" w:rsidRDefault="00A736D2" w:rsidP="003D1548">
      <w:pPr>
        <w:spacing w:line="360" w:lineRule="auto"/>
        <w:jc w:val="both"/>
        <w:rPr>
          <w:rFonts w:ascii="Times New Roman" w:hAnsi="Times New Roman" w:cs="Times New Roman"/>
          <w:b/>
          <w:sz w:val="24"/>
          <w:szCs w:val="24"/>
        </w:rPr>
      </w:pPr>
    </w:p>
    <w:p w14:paraId="1FF7D904" w14:textId="77777777" w:rsidR="006675D5" w:rsidRPr="001E614D" w:rsidRDefault="006675D5" w:rsidP="001E614D">
      <w:pPr>
        <w:spacing w:line="360" w:lineRule="auto"/>
        <w:jc w:val="both"/>
        <w:rPr>
          <w:rFonts w:ascii="Times New Roman" w:hAnsi="Times New Roman" w:cs="Times New Roman"/>
          <w:b/>
          <w:sz w:val="24"/>
          <w:szCs w:val="24"/>
        </w:rPr>
      </w:pPr>
      <w:r w:rsidRPr="001E614D">
        <w:rPr>
          <w:rFonts w:ascii="Times New Roman" w:hAnsi="Times New Roman" w:cs="Times New Roman"/>
          <w:b/>
          <w:sz w:val="24"/>
          <w:szCs w:val="24"/>
        </w:rPr>
        <w:t>Introduction</w:t>
      </w:r>
    </w:p>
    <w:p w14:paraId="024D3C3C" w14:textId="77777777" w:rsidR="000547F1" w:rsidRPr="001E614D" w:rsidRDefault="00984B71"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t xml:space="preserve">The definition of chronic kidney disease is revised several times </w:t>
      </w:r>
      <w:r w:rsidR="00241DB3" w:rsidRPr="001E614D">
        <w:rPr>
          <w:rFonts w:ascii="Times New Roman" w:hAnsi="Times New Roman" w:cs="Times New Roman"/>
          <w:sz w:val="24"/>
          <w:szCs w:val="24"/>
        </w:rPr>
        <w:t>but</w:t>
      </w:r>
      <w:r w:rsidRPr="001E614D">
        <w:rPr>
          <w:rFonts w:ascii="Times New Roman" w:hAnsi="Times New Roman" w:cs="Times New Roman"/>
          <w:sz w:val="24"/>
          <w:szCs w:val="24"/>
        </w:rPr>
        <w:t xml:space="preserve"> CKD is</w:t>
      </w:r>
      <w:r w:rsidR="00241DB3" w:rsidRPr="001E614D">
        <w:rPr>
          <w:rFonts w:ascii="Times New Roman" w:hAnsi="Times New Roman" w:cs="Times New Roman"/>
          <w:sz w:val="24"/>
          <w:szCs w:val="24"/>
        </w:rPr>
        <w:t xml:space="preserve"> like a syndrome defined as persiste</w:t>
      </w:r>
      <w:r w:rsidRPr="001E614D">
        <w:rPr>
          <w:rFonts w:ascii="Times New Roman" w:hAnsi="Times New Roman" w:cs="Times New Roman"/>
          <w:sz w:val="24"/>
          <w:szCs w:val="24"/>
        </w:rPr>
        <w:t>nt alteration</w:t>
      </w:r>
      <w:r w:rsidR="00241DB3" w:rsidRPr="001E614D">
        <w:rPr>
          <w:rFonts w:ascii="Times New Roman" w:hAnsi="Times New Roman" w:cs="Times New Roman"/>
          <w:sz w:val="24"/>
          <w:szCs w:val="24"/>
        </w:rPr>
        <w:t>s</w:t>
      </w:r>
      <w:r w:rsidRPr="001E614D">
        <w:rPr>
          <w:rFonts w:ascii="Times New Roman" w:hAnsi="Times New Roman" w:cs="Times New Roman"/>
          <w:sz w:val="24"/>
          <w:szCs w:val="24"/>
        </w:rPr>
        <w:t xml:space="preserve"> in kidney </w:t>
      </w:r>
      <w:r w:rsidR="006675D5" w:rsidRPr="001E614D">
        <w:rPr>
          <w:rFonts w:ascii="Times New Roman" w:hAnsi="Times New Roman" w:cs="Times New Roman"/>
          <w:sz w:val="24"/>
          <w:szCs w:val="24"/>
        </w:rPr>
        <w:t>structure</w:t>
      </w:r>
      <w:r w:rsidR="00241DB3" w:rsidRPr="001E614D">
        <w:rPr>
          <w:rFonts w:ascii="Times New Roman" w:hAnsi="Times New Roman" w:cs="Times New Roman"/>
          <w:sz w:val="24"/>
          <w:szCs w:val="24"/>
        </w:rPr>
        <w:t xml:space="preserve"> </w:t>
      </w:r>
      <w:r w:rsidRPr="001E614D">
        <w:rPr>
          <w:rFonts w:ascii="Times New Roman" w:hAnsi="Times New Roman" w:cs="Times New Roman"/>
          <w:sz w:val="24"/>
          <w:szCs w:val="24"/>
        </w:rPr>
        <w:t>function and both related to individuals health</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&lt;EndNote&gt;&lt;Cite&gt;&lt;Author&gt;Aloy&lt;/Author&gt;&lt;Year&gt;2020&lt;/Year&gt;&lt;RecNum&gt;615&lt;/RecNum&gt;&lt;DisplayText&gt;(Aloy et al., 2020)&lt;/DisplayText&gt;&lt;record&gt;&lt;rec-number&gt;615&lt;/rec-number&gt;&lt;foreign-keys&gt;&lt;key app="EN" db-id="xt2exae0qv2t5meds5xxawr9ed5vrfdxvezw" timestamp="1735133404"&gt;615&lt;/key&gt;&lt;/foreign-keys&gt;&lt;ref-type name="Journal Article"&gt;17&lt;/ref-type&gt;&lt;contributors&gt;&lt;authors&gt;&lt;author&gt;Aloy, B&lt;/author&gt;&lt;author&gt;Launay-Vacher, V&lt;/author&gt;&lt;author&gt;Bleibtreu, A&lt;/author&gt;&lt;author&gt;Bortolotti, P&lt;/author&gt;&lt;author&gt;Faure, E&lt;/author&gt;&lt;author&gt;Filali, A&lt;/author&gt;&lt;author&gt;Gauzit, R&lt;/author&gt;&lt;author&gt;Gilbert, M&lt;/author&gt;&lt;author&gt;Lesprit, P&lt;/author&gt;&lt;author&gt;Mahieu, R&lt;/author&gt;&lt;/authors&gt;&lt;/contributors&gt;&lt;titles&gt;&lt;title&gt;Antibiotics and chronic kidney disease: Dose adjustment update for infectious disease clinical practice&lt;/title&gt;&lt;secondary-title&gt;Medecine et maladies infectieuses&lt;/secondary-title&gt;&lt;/titles&gt;&lt;periodical&gt;&lt;full-title&gt;Medecine et maladies infectieuses&lt;/full-title&gt;&lt;/periodical&gt;&lt;pages&gt;323-331&lt;/pages&gt;&lt;volume&gt;50&lt;/volume&gt;&lt;number&gt;4&lt;/number&gt;&lt;dates&gt;&lt;year&gt;2020&lt;/year&gt;&lt;/dates&gt;&lt;isbn&gt;0399-077X&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(Aloy et al., 2020)</w:t>
      </w:r>
      <w:r w:rsidR="00011F94" w:rsidRPr="001E614D">
        <w:rPr>
          <w:rFonts w:ascii="Times New Roman" w:hAnsi="Times New Roman" w:cs="Times New Roman"/>
          <w:sz w:val="24"/>
          <w:szCs w:val="24"/>
        </w:rPr>
        <w:fldChar w:fldCharType="end"/>
      </w:r>
      <w:r w:rsidRPr="001E614D">
        <w:rPr>
          <w:rFonts w:ascii="Times New Roman" w:hAnsi="Times New Roman" w:cs="Times New Roman"/>
          <w:sz w:val="24"/>
          <w:szCs w:val="24"/>
        </w:rPr>
        <w:t>.</w:t>
      </w:r>
      <w:r w:rsidR="00241DB3" w:rsidRPr="001E614D">
        <w:rPr>
          <w:rFonts w:ascii="Times New Roman" w:hAnsi="Times New Roman" w:cs="Times New Roman"/>
          <w:sz w:val="24"/>
          <w:szCs w:val="24"/>
        </w:rPr>
        <w:t xml:space="preserve"> </w:t>
      </w:r>
      <w:r w:rsidRPr="001E614D">
        <w:rPr>
          <w:rFonts w:ascii="Times New Roman" w:hAnsi="Times New Roman" w:cs="Times New Roman"/>
          <w:sz w:val="24"/>
          <w:szCs w:val="24"/>
        </w:rPr>
        <w:t>It involves gradual loss of kidney functions</w:t>
      </w:r>
      <w:r w:rsidR="00241DB3" w:rsidRPr="001E614D">
        <w:rPr>
          <w:rFonts w:ascii="Times New Roman" w:hAnsi="Times New Roman" w:cs="Times New Roman"/>
          <w:sz w:val="24"/>
          <w:szCs w:val="24"/>
        </w:rPr>
        <w:t xml:space="preserve"> and </w:t>
      </w:r>
      <w:r w:rsidR="002B72FB" w:rsidRPr="001E614D">
        <w:rPr>
          <w:rFonts w:ascii="Times New Roman" w:hAnsi="Times New Roman" w:cs="Times New Roman"/>
          <w:sz w:val="24"/>
          <w:szCs w:val="24"/>
        </w:rPr>
        <w:t>kidney fails to per</w:t>
      </w:r>
      <w:r w:rsidR="00241DB3" w:rsidRPr="001E614D">
        <w:rPr>
          <w:rFonts w:ascii="Times New Roman" w:hAnsi="Times New Roman" w:cs="Times New Roman"/>
          <w:sz w:val="24"/>
          <w:szCs w:val="24"/>
        </w:rPr>
        <w:t>form its</w:t>
      </w:r>
      <w:r w:rsidR="002B72FB" w:rsidRPr="001E614D">
        <w:rPr>
          <w:rFonts w:ascii="Times New Roman" w:hAnsi="Times New Roman" w:cs="Times New Roman"/>
          <w:sz w:val="24"/>
          <w:szCs w:val="24"/>
        </w:rPr>
        <w:t xml:space="preserve"> proper</w:t>
      </w:r>
      <w:r w:rsidR="00241DB3" w:rsidRPr="001E614D">
        <w:rPr>
          <w:rFonts w:ascii="Times New Roman" w:hAnsi="Times New Roman" w:cs="Times New Roman"/>
          <w:sz w:val="24"/>
          <w:szCs w:val="24"/>
        </w:rPr>
        <w:t xml:space="preserve"> function</w:t>
      </w:r>
      <w:r w:rsidR="002B72FB" w:rsidRPr="001E614D">
        <w:rPr>
          <w:rFonts w:ascii="Times New Roman" w:hAnsi="Times New Roman" w:cs="Times New Roman"/>
          <w:sz w:val="24"/>
          <w:szCs w:val="24"/>
        </w:rPr>
        <w:t>s</w:t>
      </w:r>
      <w:r w:rsidR="00241DB3" w:rsidRPr="001E614D">
        <w:rPr>
          <w:rFonts w:ascii="Times New Roman" w:hAnsi="Times New Roman" w:cs="Times New Roman"/>
          <w:sz w:val="24"/>
          <w:szCs w:val="24"/>
        </w:rPr>
        <w:t xml:space="preserve"> like filtration and removal of w</w:t>
      </w:r>
      <w:r w:rsidR="002B72FB" w:rsidRPr="001E614D">
        <w:rPr>
          <w:rFonts w:ascii="Times New Roman" w:hAnsi="Times New Roman" w:cs="Times New Roman"/>
          <w:sz w:val="24"/>
          <w:szCs w:val="24"/>
        </w:rPr>
        <w:t xml:space="preserve">astes </w:t>
      </w:r>
      <w:r w:rsidR="00A736D2" w:rsidRPr="001E614D">
        <w:rPr>
          <w:rFonts w:ascii="Times New Roman" w:hAnsi="Times New Roman" w:cs="Times New Roman"/>
          <w:sz w:val="24"/>
          <w:szCs w:val="24"/>
        </w:rPr>
        <w:t xml:space="preserve">and toxic substances. </w:t>
      </w:r>
      <w:r w:rsidR="002B72FB" w:rsidRPr="001E614D">
        <w:rPr>
          <w:rFonts w:ascii="Times New Roman" w:hAnsi="Times New Roman" w:cs="Times New Roman"/>
          <w:sz w:val="24"/>
          <w:szCs w:val="24"/>
        </w:rPr>
        <w:t>T</w:t>
      </w:r>
      <w:r w:rsidR="00241DB3" w:rsidRPr="001E614D">
        <w:rPr>
          <w:rFonts w:ascii="Times New Roman" w:hAnsi="Times New Roman" w:cs="Times New Roman"/>
          <w:sz w:val="24"/>
          <w:szCs w:val="24"/>
        </w:rPr>
        <w:t xml:space="preserve">he glomerular </w:t>
      </w:r>
      <w:r w:rsidR="002B72FB" w:rsidRPr="001E614D">
        <w:rPr>
          <w:rFonts w:ascii="Times New Roman" w:hAnsi="Times New Roman" w:cs="Times New Roman"/>
          <w:sz w:val="24"/>
          <w:szCs w:val="24"/>
        </w:rPr>
        <w:t>filtration rate (GFR)</w:t>
      </w:r>
      <w:r w:rsidR="00241DB3" w:rsidRPr="001E614D">
        <w:rPr>
          <w:rFonts w:ascii="Times New Roman" w:hAnsi="Times New Roman" w:cs="Times New Roman"/>
          <w:sz w:val="24"/>
          <w:szCs w:val="24"/>
        </w:rPr>
        <w:t xml:space="preserve"> decreases </w:t>
      </w:r>
      <w:r w:rsidR="002111CB" w:rsidRPr="001E614D">
        <w:rPr>
          <w:rFonts w:ascii="Times New Roman" w:hAnsi="Times New Roman" w:cs="Times New Roman"/>
          <w:sz w:val="24"/>
          <w:szCs w:val="24"/>
        </w:rPr>
        <w:t>because</w:t>
      </w:r>
      <w:r w:rsidR="00241DB3" w:rsidRPr="001E614D">
        <w:rPr>
          <w:rFonts w:ascii="Times New Roman" w:hAnsi="Times New Roman" w:cs="Times New Roman"/>
          <w:sz w:val="24"/>
          <w:szCs w:val="24"/>
        </w:rPr>
        <w:t xml:space="preserve"> the serious effect on the function of kidney.</w:t>
      </w:r>
      <w:r w:rsidR="002B72FB" w:rsidRPr="001E614D">
        <w:rPr>
          <w:rFonts w:ascii="Times New Roman" w:hAnsi="Times New Roman" w:cs="Times New Roman"/>
          <w:sz w:val="24"/>
          <w:szCs w:val="24"/>
        </w:rPr>
        <w:t xml:space="preserve"> T</w:t>
      </w:r>
      <w:r w:rsidR="00241DB3" w:rsidRPr="001E614D">
        <w:rPr>
          <w:rFonts w:ascii="Times New Roman" w:hAnsi="Times New Roman" w:cs="Times New Roman"/>
          <w:sz w:val="24"/>
          <w:szCs w:val="24"/>
        </w:rPr>
        <w:t>he failure of kidney</w:t>
      </w:r>
      <w:r w:rsidR="002B72FB" w:rsidRPr="001E614D">
        <w:rPr>
          <w:rFonts w:ascii="Times New Roman" w:hAnsi="Times New Roman" w:cs="Times New Roman"/>
          <w:sz w:val="24"/>
          <w:szCs w:val="24"/>
        </w:rPr>
        <w:t xml:space="preserve"> function</w:t>
      </w:r>
      <w:r w:rsidR="00241DB3" w:rsidRPr="001E614D">
        <w:rPr>
          <w:rFonts w:ascii="Times New Roman" w:hAnsi="Times New Roman" w:cs="Times New Roman"/>
          <w:sz w:val="24"/>
          <w:szCs w:val="24"/>
        </w:rPr>
        <w:t xml:space="preserve"> is caused by the structural changes include cysts,</w:t>
      </w:r>
      <w:r w:rsidR="002B72FB" w:rsidRPr="001E614D">
        <w:rPr>
          <w:rFonts w:ascii="Times New Roman" w:hAnsi="Times New Roman" w:cs="Times New Roman"/>
          <w:sz w:val="24"/>
          <w:szCs w:val="24"/>
        </w:rPr>
        <w:t xml:space="preserve"> </w:t>
      </w:r>
      <w:r w:rsidR="00241DB3" w:rsidRPr="001E614D">
        <w:rPr>
          <w:rFonts w:ascii="Times New Roman" w:hAnsi="Times New Roman" w:cs="Times New Roman"/>
          <w:sz w:val="24"/>
          <w:szCs w:val="24"/>
        </w:rPr>
        <w:t>tumors,</w:t>
      </w:r>
      <w:r w:rsidR="002B72FB" w:rsidRPr="001E614D">
        <w:rPr>
          <w:rFonts w:ascii="Times New Roman" w:hAnsi="Times New Roman" w:cs="Times New Roman"/>
          <w:sz w:val="24"/>
          <w:szCs w:val="24"/>
        </w:rPr>
        <w:t xml:space="preserve"> </w:t>
      </w:r>
      <w:r w:rsidR="00241DB3" w:rsidRPr="001E614D">
        <w:rPr>
          <w:rFonts w:ascii="Times New Roman" w:hAnsi="Times New Roman" w:cs="Times New Roman"/>
          <w:sz w:val="24"/>
          <w:szCs w:val="24"/>
        </w:rPr>
        <w:t>malfunctioning,</w:t>
      </w:r>
      <w:r w:rsidR="002B72FB" w:rsidRPr="001E614D">
        <w:rPr>
          <w:rFonts w:ascii="Times New Roman" w:hAnsi="Times New Roman" w:cs="Times New Roman"/>
          <w:sz w:val="24"/>
          <w:szCs w:val="24"/>
        </w:rPr>
        <w:t xml:space="preserve"> </w:t>
      </w:r>
      <w:r w:rsidR="00241DB3" w:rsidRPr="001E614D">
        <w:rPr>
          <w:rFonts w:ascii="Times New Roman" w:hAnsi="Times New Roman" w:cs="Times New Roman"/>
          <w:sz w:val="24"/>
          <w:szCs w:val="24"/>
        </w:rPr>
        <w:t>atrophy of nephrons</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&lt;EndNote&gt;&lt;Cite&gt;&lt;Author&gt;Santra&lt;/Author&gt;&lt;Year&gt;2015&lt;/Year&gt;&lt;RecNum&gt;616&lt;/RecNum&gt;&lt;DisplayText&gt;(Santra, Agrawal, Kumar, &amp;amp; Mishra, 2015)&lt;/DisplayText&gt;&lt;record&gt;&lt;rec-number&gt;616&lt;/rec-number&gt;&lt;foreign-keys&gt;&lt;key app="EN" db-id="xt2exae0qv2t5meds5xxawr9ed5vrfdxvezw" timestamp="1735133451"&gt;616&lt;/key&gt;&lt;/foreign-keys&gt;&lt;ref-type name="Journal Article"&gt;17&lt;/ref-type&gt;&lt;contributors&gt;&lt;authors&gt;&lt;author&gt;Santra, Soumya&lt;/author&gt;&lt;author&gt;Agrawal, Divya&lt;/author&gt;&lt;author&gt;Kumar, Sanjay&lt;/author&gt;&lt;author&gt;Mishra, Sudhanshu&lt;/author&gt;&lt;/authors&gt;&lt;/contributors&gt;&lt;titles&gt;&lt;title&gt;A study on the drug utilization pattern in patients with chronic kidney disease with emphasis on antibiotics&lt;/title&gt;&lt;secondary-title&gt;Journal of integrative nephrology and andrology&lt;/secondary-title&gt;&lt;/titles&gt;&lt;periodical&gt;&lt;full-title&gt;Journal of integrative nephrology and andrology&lt;/full-title&gt;&lt;/periodical&gt;&lt;pages&gt;85-85&lt;/pages&gt;&lt;volume&gt;2&lt;/volume&gt;&lt;number&gt;3&lt;/number&gt;&lt;dates&gt;&lt;year&gt;2015&lt;/year&gt;&lt;/dates&gt;&lt;isbn&gt;2394-2916&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(Santra, Agrawal, Kumar, &amp; Mishra, 2015)</w:t>
      </w:r>
      <w:r w:rsidR="00011F94" w:rsidRPr="001E614D">
        <w:rPr>
          <w:rFonts w:ascii="Times New Roman" w:hAnsi="Times New Roman" w:cs="Times New Roman"/>
          <w:sz w:val="24"/>
          <w:szCs w:val="24"/>
        </w:rPr>
        <w:fldChar w:fldCharType="end"/>
      </w:r>
      <w:r w:rsidR="00A80278" w:rsidRPr="001E614D">
        <w:rPr>
          <w:rFonts w:ascii="Times New Roman" w:hAnsi="Times New Roman" w:cs="Times New Roman"/>
          <w:sz w:val="24"/>
          <w:szCs w:val="24"/>
        </w:rPr>
        <w:t>.</w:t>
      </w:r>
    </w:p>
    <w:p w14:paraId="680C6BBD" w14:textId="77777777" w:rsidR="0041409D" w:rsidRPr="001E614D" w:rsidRDefault="002B72FB"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lastRenderedPageBreak/>
        <w:t xml:space="preserve">The renal dysfunction can be caused by several factors like </w:t>
      </w:r>
      <w:r w:rsidR="002111CB" w:rsidRPr="001E614D">
        <w:rPr>
          <w:rFonts w:ascii="Times New Roman" w:hAnsi="Times New Roman" w:cs="Times New Roman"/>
          <w:sz w:val="24"/>
          <w:szCs w:val="24"/>
        </w:rPr>
        <w:t>hypertension</w:t>
      </w:r>
      <w:r w:rsidRPr="001E614D">
        <w:rPr>
          <w:rFonts w:ascii="Times New Roman" w:hAnsi="Times New Roman" w:cs="Times New Roman"/>
          <w:sz w:val="24"/>
          <w:szCs w:val="24"/>
        </w:rPr>
        <w:t xml:space="preserve">, </w:t>
      </w:r>
      <w:r w:rsidR="002111CB" w:rsidRPr="001E614D">
        <w:rPr>
          <w:rFonts w:ascii="Times New Roman" w:hAnsi="Times New Roman" w:cs="Times New Roman"/>
          <w:sz w:val="24"/>
          <w:szCs w:val="24"/>
        </w:rPr>
        <w:t>edema</w:t>
      </w:r>
      <w:r w:rsidRPr="001E614D">
        <w:rPr>
          <w:rFonts w:ascii="Times New Roman" w:hAnsi="Times New Roman" w:cs="Times New Roman"/>
          <w:sz w:val="24"/>
          <w:szCs w:val="24"/>
        </w:rPr>
        <w:t xml:space="preserve">, diabetes, toxic substances signed by increased serum creatinine level or blood urea nitrogen level The Kidney Disease Improving Global Outcomes (KDIGO) initiative classifies an individual as having CKD if abnormalities of kidney structure or function persist </w:t>
      </w:r>
      <w:r w:rsidR="002111CB" w:rsidRPr="001E614D">
        <w:rPr>
          <w:rFonts w:ascii="Times New Roman" w:hAnsi="Times New Roman" w:cs="Times New Roman"/>
          <w:sz w:val="24"/>
          <w:szCs w:val="24"/>
        </w:rPr>
        <w:t>for more</w:t>
      </w:r>
      <w:r w:rsidRPr="001E614D">
        <w:rPr>
          <w:rFonts w:ascii="Times New Roman" w:hAnsi="Times New Roman" w:cs="Times New Roman"/>
          <w:sz w:val="24"/>
          <w:szCs w:val="24"/>
        </w:rPr>
        <w:t xml:space="preserve"> than 3 months</w:t>
      </w:r>
      <w:r w:rsidR="00011F94" w:rsidRPr="001E614D">
        <w:rPr>
          <w:rFonts w:ascii="Times New Roman" w:hAnsi="Times New Roman" w:cs="Times New Roman"/>
          <w:sz w:val="24"/>
          <w:szCs w:val="24"/>
        </w:rPr>
        <w:t xml:space="preserve"> </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&lt;EndNote&gt;&lt;Cite&gt;&lt;Author&gt;Eyler&lt;/Author&gt;&lt;Year&gt;2019&lt;/Year&gt;&lt;RecNum&gt;617&lt;/RecNum&gt;&lt;DisplayText&gt;(Eyler &amp;amp; Shvets, 2019)&lt;/DisplayText&gt;&lt;record&gt;&lt;rec-number&gt;617&lt;/rec-number&gt;&lt;foreign-keys&gt;&lt;key app="EN" db-id="xt2exae0qv2t5meds5xxawr9ed5vrfdxvezw" timestamp="1735133490"&gt;617&lt;/key&gt;&lt;/foreign-keys&gt;&lt;ref-type name="Journal Article"&gt;17&lt;/ref-type&gt;&lt;contributors&gt;&lt;authors&gt;&lt;author&gt;Eyler, Rachel F&lt;/author&gt;&lt;author&gt;Shvets, Kristina&lt;/author&gt;&lt;/authors&gt;&lt;/contributors&gt;&lt;titles&gt;&lt;title&gt;Clinical pharmacology of antibiotics&lt;/title&gt;&lt;secondary-title&gt;Clinical Journal of the American Society of Nephrology&lt;/secondary-title&gt;&lt;/titles&gt;&lt;periodical&gt;&lt;full-title&gt;Clinical Journal of the American Society of Nephrology&lt;/full-title&gt;&lt;/periodical&gt;&lt;pages&gt;1080-1090&lt;/pages&gt;&lt;volume&gt;14&lt;/volume&gt;&lt;number&gt;7&lt;/number&gt;&lt;dates&gt;&lt;year&gt;2019&lt;/year&gt;&lt;/dates&gt;&lt;isbn&gt;1555-9041&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(Eyler &amp; Shvets, 2019)</w:t>
      </w:r>
      <w:r w:rsidR="00011F94" w:rsidRPr="001E614D">
        <w:rPr>
          <w:rFonts w:ascii="Times New Roman" w:hAnsi="Times New Roman" w:cs="Times New Roman"/>
          <w:sz w:val="24"/>
          <w:szCs w:val="24"/>
        </w:rPr>
        <w:fldChar w:fldCharType="end"/>
      </w:r>
      <w:r w:rsidRPr="001E614D">
        <w:rPr>
          <w:rFonts w:ascii="Times New Roman" w:hAnsi="Times New Roman" w:cs="Times New Roman"/>
          <w:sz w:val="24"/>
          <w:szCs w:val="24"/>
        </w:rPr>
        <w:t>. KDIGO describes a classification of severity, defining numerous stage</w:t>
      </w:r>
      <w:r w:rsidR="00F42376" w:rsidRPr="001E614D">
        <w:rPr>
          <w:rFonts w:ascii="Times New Roman" w:hAnsi="Times New Roman" w:cs="Times New Roman"/>
          <w:sz w:val="24"/>
          <w:szCs w:val="24"/>
        </w:rPr>
        <w:t>s of CKD on the basis of glomer</w:t>
      </w:r>
      <w:r w:rsidRPr="001E614D">
        <w:rPr>
          <w:rFonts w:ascii="Times New Roman" w:hAnsi="Times New Roman" w:cs="Times New Roman"/>
          <w:sz w:val="24"/>
          <w:szCs w:val="24"/>
        </w:rPr>
        <w:t xml:space="preserve">ular filtration rate (GFR; </w:t>
      </w:r>
      <w:r w:rsidR="00F42376" w:rsidRPr="001E614D">
        <w:rPr>
          <w:rFonts w:ascii="Times New Roman" w:hAnsi="Times New Roman" w:cs="Times New Roman"/>
          <w:sz w:val="24"/>
          <w:szCs w:val="24"/>
        </w:rPr>
        <w:t>either estimated (eGFR) or meas</w:t>
      </w:r>
      <w:r w:rsidRPr="001E614D">
        <w:rPr>
          <w:rFonts w:ascii="Times New Roman" w:hAnsi="Times New Roman" w:cs="Times New Roman"/>
          <w:sz w:val="24"/>
          <w:szCs w:val="24"/>
        </w:rPr>
        <w:t xml:space="preserve">ured (mGFR)) </w:t>
      </w:r>
      <w:r w:rsidR="00011F94" w:rsidRPr="001E614D">
        <w:rPr>
          <w:rFonts w:ascii="Times New Roman" w:hAnsi="Times New Roman" w:cs="Times New Roman"/>
          <w:sz w:val="24"/>
          <w:szCs w:val="24"/>
        </w:rPr>
        <w:t xml:space="preserve">and the extent of </w:t>
      </w:r>
      <w:r w:rsidR="001E614D" w:rsidRPr="001E614D">
        <w:rPr>
          <w:rFonts w:ascii="Times New Roman" w:hAnsi="Times New Roman" w:cs="Times New Roman"/>
          <w:sz w:val="24"/>
          <w:szCs w:val="24"/>
        </w:rPr>
        <w:t>albuminuria</w:t>
      </w:r>
      <w:r w:rsidR="00011F94" w:rsidRPr="001E614D">
        <w:rPr>
          <w:rFonts w:ascii="Times New Roman" w:hAnsi="Times New Roman" w:cs="Times New Roman"/>
          <w:sz w:val="24"/>
          <w:szCs w:val="24"/>
        </w:rPr>
        <w:t xml:space="preserve"> </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&lt;EndNote&gt;&lt;Cite&gt;&lt;Author&gt;Farag&lt;/Author&gt;&lt;Year&gt;2014&lt;/Year&gt;&lt;RecNum&gt;618&lt;/RecNum&gt;&lt;DisplayText&gt;(Farag, Garg, Li, &amp;amp; Jain, 2014)&lt;/DisplayText&gt;&lt;record&gt;&lt;rec-number&gt;618&lt;/rec-number&gt;&lt;foreign-keys&gt;&lt;key app="EN" db-id="xt2exae0qv2t5meds5xxawr9ed5vrfdxvezw" timestamp="1735133528"&gt;618&lt;/key&gt;&lt;/foreign-keys&gt;&lt;ref-type name="Journal Article"&gt;17&lt;/ref-type&gt;&lt;contributors&gt;&lt;authors&gt;&lt;author&gt;Farag, Alexandra&lt;/author&gt;&lt;author&gt;Garg, Amit X&lt;/author&gt;&lt;author&gt;Li, Lihua&lt;/author&gt;&lt;author&gt;Jain, Arsh K&lt;/author&gt;&lt;/authors&gt;&lt;/contributors&gt;&lt;titles&gt;&lt;title&gt;Dosing errors in prescribed antibiotics for older persons with CKD: a retrospective time series analysis&lt;/title&gt;&lt;secondary-title&gt;American Journal of Kidney Diseases&lt;/secondary-title&gt;&lt;/titles&gt;&lt;periodical&gt;&lt;full-title&gt;American Journal of Kidney Diseases&lt;/full-title&gt;&lt;/periodical&gt;&lt;pages&gt;422-428&lt;/pages&gt;&lt;volume&gt;63&lt;/volume&gt;&lt;number&gt;3&lt;/number&gt;&lt;dates&gt;&lt;year&gt;2014&lt;/year&gt;&lt;/dates&gt;&lt;isbn&gt;0272-6386&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(Farag, Garg, Li, &amp; Jain, 2014)</w:t>
      </w:r>
      <w:r w:rsidR="00011F94" w:rsidRPr="001E614D">
        <w:rPr>
          <w:rFonts w:ascii="Times New Roman" w:hAnsi="Times New Roman" w:cs="Times New Roman"/>
          <w:sz w:val="24"/>
          <w:szCs w:val="24"/>
        </w:rPr>
        <w:fldChar w:fldCharType="end"/>
      </w:r>
      <w:r w:rsidR="00F42376" w:rsidRPr="001E614D">
        <w:rPr>
          <w:rFonts w:ascii="Times New Roman" w:hAnsi="Times New Roman" w:cs="Times New Roman"/>
          <w:sz w:val="24"/>
          <w:szCs w:val="24"/>
        </w:rPr>
        <w:t>.</w:t>
      </w:r>
      <w:r w:rsidRPr="001E614D">
        <w:rPr>
          <w:rFonts w:ascii="Times New Roman" w:hAnsi="Times New Roman" w:cs="Times New Roman"/>
          <w:sz w:val="24"/>
          <w:szCs w:val="24"/>
        </w:rPr>
        <w:t>GFR and albuminuria are used to classify CKD because GFR is a well-established marker of renal excretory function and albuminuria is an indicator of renal barrier dysfunction (glomerular injury). Both have been found to be reliable predictors of long-term CKD outcomes</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&lt;EndNote&gt;&lt;Cite&gt;&lt;Author&gt;Ma&lt;/Author&gt;&lt;Year&gt;2014&lt;/Year&gt;&lt;RecNum&gt;619&lt;/RecNum&gt;&lt;DisplayText&gt;(Ma et al., 2014)&lt;/DisplayText&gt;&lt;record&gt;&lt;rec-number&gt;619&lt;/rec-number&gt;&lt;foreign-keys&gt;&lt;key app="EN" db-id="xt2exae0qv2t5meds5xxawr9ed5vrfdxvezw" timestamp="1735133557"&gt;619&lt;/key&gt;&lt;/foreign-keys&gt;&lt;ref-type name="Journal Article"&gt;17&lt;/ref-type&gt;&lt;contributors&gt;&lt;authors&gt;&lt;author&gt;Ma, Terry King-Wing&lt;/author&gt;&lt;author&gt;Chow, Kai-Ming&lt;/author&gt;&lt;author&gt;Choy, Agnes Shin Man&lt;/author&gt;&lt;author&gt;Kwan, Bonnie Ching-Ha&lt;/author&gt;&lt;author&gt;Szeto, Cheuk-Chun&lt;/author&gt;&lt;author&gt;Li, Philip Kam-Tao&lt;/author&gt;&lt;/authors&gt;&lt;/contributors&gt;&lt;titles&gt;&lt;title&gt;Clinical manifestation of macrolide antibiotic toxicity in CKD and dialysis patients&lt;/title&gt;&lt;secondary-title&gt;Clinical kidney journal&lt;/secondary-title&gt;&lt;/titles&gt;&lt;periodical&gt;&lt;full-title&gt;Clinical kidney journal&lt;/full-title&gt;&lt;/periodical&gt;&lt;pages&gt;507-512&lt;/pages&gt;&lt;volume&gt;7&lt;/volume&gt;&lt;number&gt;6&lt;/number&gt;&lt;dates&gt;&lt;year&gt;2014&lt;/year&gt;&lt;/dates&gt;&lt;isbn&gt;2048-8505&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(Ma et al., 2014)</w:t>
      </w:r>
      <w:r w:rsidR="00011F94" w:rsidRPr="001E614D">
        <w:rPr>
          <w:rFonts w:ascii="Times New Roman" w:hAnsi="Times New Roman" w:cs="Times New Roman"/>
          <w:sz w:val="24"/>
          <w:szCs w:val="24"/>
        </w:rPr>
        <w:fldChar w:fldCharType="end"/>
      </w:r>
      <w:r w:rsidR="00F42376" w:rsidRPr="001E614D">
        <w:rPr>
          <w:rFonts w:ascii="Times New Roman" w:hAnsi="Times New Roman" w:cs="Times New Roman"/>
          <w:sz w:val="24"/>
          <w:szCs w:val="24"/>
        </w:rPr>
        <w:t>.</w:t>
      </w:r>
      <w:r w:rsidR="002111CB" w:rsidRPr="001E614D">
        <w:rPr>
          <w:rFonts w:ascii="Times New Roman" w:hAnsi="Times New Roman" w:cs="Times New Roman"/>
          <w:sz w:val="24"/>
          <w:szCs w:val="24"/>
        </w:rPr>
        <w:t xml:space="preserve"> </w:t>
      </w:r>
      <w:r w:rsidR="00F42376" w:rsidRPr="001E614D">
        <w:rPr>
          <w:rFonts w:ascii="Times New Roman" w:hAnsi="Times New Roman" w:cs="Times New Roman"/>
          <w:sz w:val="24"/>
          <w:szCs w:val="24"/>
        </w:rPr>
        <w:t>Hence</w:t>
      </w:r>
      <w:r w:rsidR="002111CB" w:rsidRPr="001E614D">
        <w:rPr>
          <w:rFonts w:ascii="Times New Roman" w:hAnsi="Times New Roman" w:cs="Times New Roman"/>
          <w:sz w:val="24"/>
          <w:szCs w:val="24"/>
        </w:rPr>
        <w:t>, we</w:t>
      </w:r>
      <w:r w:rsidR="00F42376" w:rsidRPr="001E614D">
        <w:rPr>
          <w:rFonts w:ascii="Times New Roman" w:hAnsi="Times New Roman" w:cs="Times New Roman"/>
          <w:sz w:val="24"/>
          <w:szCs w:val="24"/>
        </w:rPr>
        <w:t xml:space="preserve"> can classify on which level a patient of CKD has been reached. Furthermore, the KDIGO categories describe the risk of progression of CKD to kidney </w:t>
      </w:r>
      <w:r w:rsidR="002111CB" w:rsidRPr="001E614D">
        <w:rPr>
          <w:rFonts w:ascii="Times New Roman" w:hAnsi="Times New Roman" w:cs="Times New Roman"/>
          <w:sz w:val="24"/>
          <w:szCs w:val="24"/>
        </w:rPr>
        <w:t>failure that</w:t>
      </w:r>
      <w:r w:rsidR="00F42376" w:rsidRPr="001E614D">
        <w:rPr>
          <w:rFonts w:ascii="Times New Roman" w:hAnsi="Times New Roman" w:cs="Times New Roman"/>
          <w:sz w:val="24"/>
          <w:szCs w:val="24"/>
        </w:rPr>
        <w:t xml:space="preserve"> is called end-stage renal disease (ESRD).</w:t>
      </w:r>
      <w:r w:rsidR="00F325FB" w:rsidRPr="001E614D">
        <w:rPr>
          <w:rFonts w:ascii="Times New Roman" w:hAnsi="Times New Roman" w:cs="Times New Roman"/>
          <w:sz w:val="24"/>
          <w:szCs w:val="24"/>
        </w:rPr>
        <w:t xml:space="preserve"> </w:t>
      </w:r>
      <w:r w:rsidR="002111CB" w:rsidRPr="001E614D">
        <w:rPr>
          <w:rFonts w:ascii="Times New Roman" w:hAnsi="Times New Roman" w:cs="Times New Roman"/>
          <w:sz w:val="24"/>
          <w:szCs w:val="24"/>
        </w:rPr>
        <w:t>CKD</w:t>
      </w:r>
      <w:r w:rsidR="00F42376" w:rsidRPr="001E614D">
        <w:rPr>
          <w:rFonts w:ascii="Times New Roman" w:hAnsi="Times New Roman" w:cs="Times New Roman"/>
          <w:sz w:val="24"/>
          <w:szCs w:val="24"/>
        </w:rPr>
        <w:t xml:space="preserve"> leads </w:t>
      </w:r>
      <w:r w:rsidR="00993E73" w:rsidRPr="001E614D">
        <w:rPr>
          <w:rFonts w:ascii="Times New Roman" w:hAnsi="Times New Roman" w:cs="Times New Roman"/>
          <w:sz w:val="24"/>
          <w:szCs w:val="24"/>
        </w:rPr>
        <w:t>too</w:t>
      </w:r>
      <w:r w:rsidR="00F42376" w:rsidRPr="001E614D">
        <w:rPr>
          <w:rFonts w:ascii="Times New Roman" w:hAnsi="Times New Roman" w:cs="Times New Roman"/>
          <w:sz w:val="24"/>
          <w:szCs w:val="24"/>
        </w:rPr>
        <w:t xml:space="preserve"> many abnormalitie</w:t>
      </w:r>
      <w:r w:rsidR="00F46FDD" w:rsidRPr="001E614D">
        <w:rPr>
          <w:rFonts w:ascii="Times New Roman" w:hAnsi="Times New Roman" w:cs="Times New Roman"/>
          <w:sz w:val="24"/>
          <w:szCs w:val="24"/>
        </w:rPr>
        <w:t>s of cardiovascular system and</w:t>
      </w:r>
      <w:r w:rsidR="00993E73" w:rsidRPr="001E614D">
        <w:rPr>
          <w:rFonts w:ascii="Times New Roman" w:hAnsi="Times New Roman" w:cs="Times New Roman"/>
          <w:sz w:val="24"/>
          <w:szCs w:val="24"/>
        </w:rPr>
        <w:t xml:space="preserve"> mainly kidney itself lead to the disturbance in the filtration of blood which prove very fatal to all the organs as the level of toxins increased in body</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&lt;EndNote&gt;&lt;Cite&gt;&lt;Author&gt;Vilay&lt;/Author&gt;&lt;Year&gt;2019&lt;/Year&gt;&lt;RecNum&gt;620&lt;/RecNum&gt;&lt;DisplayText&gt;(Vilay, 2019)&lt;/DisplayText&gt;&lt;record&gt;&lt;rec-number&gt;620&lt;/rec-number&gt;&lt;foreign-keys&gt;&lt;key app="EN" db-id="xt2exae0qv2t5meds5xxawr9ed5vrfdxvezw" timestamp="1735133585"&gt;620&lt;/key&gt;&lt;/foreign-keys&gt;&lt;ref-type name="Journal Article"&gt;17&lt;/ref-type&gt;&lt;contributors&gt;&lt;authors&gt;&lt;author&gt;Vilay, A Mary&lt;/author&gt;&lt;/authors&gt;&lt;/contributors&gt;&lt;titles&gt;&lt;title&gt;Antibiotic dosing in chronic kidney disease and end-stage renal disease: a focus on contemporary challenges&lt;/title&gt;&lt;secondary-title&gt;Advances in Chronic Kidney Disease&lt;/secondary-title&gt;&lt;/titles&gt;&lt;periodical&gt;&lt;full-title&gt;Advances in Chronic Kidney Disease&lt;/full-title&gt;&lt;/periodical&gt;&lt;pages&gt;61-71&lt;/pages&gt;&lt;volume&gt;26&lt;/volume&gt;&lt;number&gt;1&lt;/number&gt;&lt;dates&gt;&lt;year&gt;2019&lt;/year&gt;&lt;/dates&gt;&lt;isbn&gt;1548-5595&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(Vilay, 2019)</w:t>
      </w:r>
      <w:r w:rsidR="00011F94" w:rsidRPr="001E614D">
        <w:rPr>
          <w:rFonts w:ascii="Times New Roman" w:hAnsi="Times New Roman" w:cs="Times New Roman"/>
          <w:sz w:val="24"/>
          <w:szCs w:val="24"/>
        </w:rPr>
        <w:fldChar w:fldCharType="end"/>
      </w:r>
      <w:r w:rsidR="00993E73" w:rsidRPr="001E614D">
        <w:rPr>
          <w:rFonts w:ascii="Times New Roman" w:hAnsi="Times New Roman" w:cs="Times New Roman"/>
          <w:sz w:val="24"/>
          <w:szCs w:val="24"/>
        </w:rPr>
        <w:t>.</w:t>
      </w:r>
      <w:r w:rsidR="006675D5" w:rsidRPr="001E614D">
        <w:rPr>
          <w:rFonts w:ascii="Times New Roman" w:hAnsi="Times New Roman" w:cs="Times New Roman"/>
          <w:sz w:val="24"/>
          <w:szCs w:val="24"/>
        </w:rPr>
        <w:t xml:space="preserve"> </w:t>
      </w:r>
      <w:r w:rsidR="0041409D" w:rsidRPr="001E614D">
        <w:rPr>
          <w:rFonts w:ascii="Times New Roman" w:hAnsi="Times New Roman" w:cs="Times New Roman"/>
          <w:sz w:val="24"/>
          <w:szCs w:val="24"/>
        </w:rPr>
        <w:t xml:space="preserve">The ckd is the major cause of renal fibrosis </w:t>
      </w:r>
      <w:r w:rsidR="008910D8" w:rsidRPr="001E614D">
        <w:rPr>
          <w:rFonts w:ascii="Times New Roman" w:hAnsi="Times New Roman" w:cs="Times New Roman"/>
          <w:color w:val="202124"/>
          <w:sz w:val="24"/>
          <w:szCs w:val="24"/>
          <w:shd w:val="clear" w:color="auto" w:fill="FFFFFF"/>
        </w:rPr>
        <w:t>renal</w:t>
      </w:r>
      <w:r w:rsidR="0041409D" w:rsidRPr="001E614D">
        <w:rPr>
          <w:rFonts w:ascii="Times New Roman" w:hAnsi="Times New Roman" w:cs="Times New Roman"/>
          <w:color w:val="202124"/>
          <w:sz w:val="24"/>
          <w:szCs w:val="24"/>
          <w:shd w:val="clear" w:color="auto" w:fill="FFFFFF"/>
        </w:rPr>
        <w:t xml:space="preserve"> fibrosis, characterized by tubulointerstitial fibrosis and glomerulosclerosis, is </w:t>
      </w:r>
      <w:r w:rsidR="0041409D" w:rsidRPr="001E614D">
        <w:rPr>
          <w:rFonts w:ascii="Times New Roman" w:hAnsi="Times New Roman" w:cs="Times New Roman"/>
          <w:color w:val="040C28"/>
          <w:sz w:val="24"/>
          <w:szCs w:val="24"/>
        </w:rPr>
        <w:t>the final manifestation of chronic kidney disease</w:t>
      </w:r>
      <w:r w:rsidR="00011F94" w:rsidRPr="001E614D">
        <w:rPr>
          <w:rFonts w:ascii="Times New Roman" w:hAnsi="Times New Roman" w:cs="Times New Roman"/>
          <w:color w:val="202124"/>
          <w:sz w:val="24"/>
          <w:szCs w:val="24"/>
          <w:shd w:val="clear" w:color="auto" w:fill="FFFFFF"/>
        </w:rPr>
        <w:t xml:space="preserve">. </w:t>
      </w:r>
      <w:r w:rsidR="0041409D" w:rsidRPr="001E614D">
        <w:rPr>
          <w:rFonts w:ascii="Times New Roman" w:hAnsi="Times New Roman" w:cs="Times New Roman"/>
          <w:color w:val="202124"/>
          <w:sz w:val="24"/>
          <w:szCs w:val="24"/>
          <w:shd w:val="clear" w:color="auto" w:fill="FFFFFF"/>
        </w:rPr>
        <w:t xml:space="preserve">Renal fibrosis is characterized by an excessive accumulation and deposition of extracellular matrix </w:t>
      </w:r>
      <w:r w:rsidR="00F325FB" w:rsidRPr="001E614D">
        <w:rPr>
          <w:rFonts w:ascii="Times New Roman" w:hAnsi="Times New Roman" w:cs="Times New Roman"/>
          <w:color w:val="202124"/>
          <w:sz w:val="24"/>
          <w:szCs w:val="24"/>
          <w:shd w:val="clear" w:color="auto" w:fill="FFFFFF"/>
        </w:rPr>
        <w:t>components</w:t>
      </w:r>
      <w:r w:rsidR="00011F94" w:rsidRPr="001E614D">
        <w:rPr>
          <w:rFonts w:ascii="Times New Roman" w:hAnsi="Times New Roman" w:cs="Times New Roman"/>
          <w:color w:val="202124"/>
          <w:sz w:val="24"/>
          <w:szCs w:val="24"/>
          <w:shd w:val="clear" w:color="auto" w:fill="FFFFFF"/>
        </w:rPr>
        <w:t xml:space="preserve"> </w:t>
      </w:r>
      <w:r w:rsidR="00011F94" w:rsidRPr="001E614D">
        <w:rPr>
          <w:rFonts w:ascii="Times New Roman" w:hAnsi="Times New Roman" w:cs="Times New Roman"/>
          <w:color w:val="202124"/>
          <w:sz w:val="24"/>
          <w:szCs w:val="24"/>
          <w:shd w:val="clear" w:color="auto" w:fill="FFFFFF"/>
        </w:rPr>
        <w:fldChar w:fldCharType="begin"/>
      </w:r>
      <w:r w:rsidR="00011F94" w:rsidRPr="001E614D">
        <w:rPr>
          <w:rFonts w:ascii="Times New Roman" w:hAnsi="Times New Roman" w:cs="Times New Roman"/>
          <w:color w:val="202124"/>
          <w:sz w:val="24"/>
          <w:szCs w:val="24"/>
          <w:shd w:val="clear" w:color="auto" w:fill="FFFFFF"/>
        </w:rPr>
        <w:instrText xml:space="preserve"> ADDIN EN.CITE &lt;EndNote&gt;&lt;Cite&gt;&lt;Author&gt;Falcone&lt;/Author&gt;&lt;Year&gt;2020&lt;/Year&gt;&lt;RecNum&gt;621&lt;/RecNum&gt;&lt;DisplayText&gt;(Falcone et al., 2020)&lt;/DisplayText&gt;&lt;record&gt;&lt;rec-number&gt;621&lt;/rec-number&gt;&lt;foreign-keys&gt;&lt;key app="EN" db-id="xt2exae0qv2t5meds5xxawr9ed5vrfdxvezw" timestamp="1735133622"&gt;621&lt;/key&gt;&lt;/foreign-keys&gt;&lt;ref-type name="Journal Article"&gt;17&lt;/ref-type&gt;&lt;contributors&gt;&lt;authors&gt;&lt;author&gt;Falcone, Marco&lt;/author&gt;&lt;author&gt;Paul, Mical&lt;/author&gt;&lt;author&gt;Tiseo, Giusy&lt;/author&gt;&lt;author&gt;Yahav, Dafna&lt;/author&gt;&lt;author&gt;Prendki, Virginie&lt;/author&gt;&lt;author&gt;Friberg, Lena E&lt;/author&gt;&lt;author&gt;Guerri, Roberto&lt;/author&gt;&lt;author&gt;Gavazzi, Gaetan&lt;/author&gt;&lt;author&gt;Mussini, Cristina&lt;/author&gt;&lt;author&gt;Tinelli, Marco&lt;/author&gt;&lt;/authors&gt;&lt;/contributors&gt;&lt;titles&gt;&lt;title&gt;Considerations for the optimal management of antibiotic therapy in elderly patients&lt;/title&gt;&lt;secondary-title&gt;Journal of global antimicrobial resistance&lt;/secondary-title&gt;&lt;/titles&gt;&lt;periodical&gt;&lt;full-title&gt;Journal of global antimicrobial resistance&lt;/full-title&gt;&lt;/periodical&gt;&lt;pages&gt;325-333&lt;/pages&gt;&lt;volume&gt;22&lt;/volume&gt;&lt;dates&gt;&lt;year&gt;2020&lt;/year&gt;&lt;/dates&gt;&lt;isbn&gt;2213-7165&lt;/isbn&gt;&lt;urls&gt;&lt;/urls&gt;&lt;/record&gt;&lt;/Cite&gt;&lt;/EndNote&gt;</w:instrText>
      </w:r>
      <w:r w:rsidR="00011F94" w:rsidRPr="001E614D">
        <w:rPr>
          <w:rFonts w:ascii="Times New Roman" w:hAnsi="Times New Roman" w:cs="Times New Roman"/>
          <w:color w:val="202124"/>
          <w:sz w:val="24"/>
          <w:szCs w:val="24"/>
          <w:shd w:val="clear" w:color="auto" w:fill="FFFFFF"/>
        </w:rPr>
        <w:fldChar w:fldCharType="separate"/>
      </w:r>
      <w:r w:rsidR="00011F94" w:rsidRPr="001E614D">
        <w:rPr>
          <w:rFonts w:ascii="Times New Roman" w:hAnsi="Times New Roman" w:cs="Times New Roman"/>
          <w:noProof/>
          <w:color w:val="202124"/>
          <w:sz w:val="24"/>
          <w:szCs w:val="24"/>
          <w:shd w:val="clear" w:color="auto" w:fill="FFFFFF"/>
        </w:rPr>
        <w:t>(Falcone et al., 2020)</w:t>
      </w:r>
      <w:r w:rsidR="00011F94" w:rsidRPr="001E614D">
        <w:rPr>
          <w:rFonts w:ascii="Times New Roman" w:hAnsi="Times New Roman" w:cs="Times New Roman"/>
          <w:color w:val="202124"/>
          <w:sz w:val="24"/>
          <w:szCs w:val="24"/>
          <w:shd w:val="clear" w:color="auto" w:fill="FFFFFF"/>
        </w:rPr>
        <w:fldChar w:fldCharType="end"/>
      </w:r>
      <w:r w:rsidR="0041409D" w:rsidRPr="001E614D">
        <w:rPr>
          <w:rFonts w:ascii="Times New Roman" w:hAnsi="Times New Roman" w:cs="Times New Roman"/>
          <w:color w:val="202124"/>
          <w:sz w:val="24"/>
          <w:szCs w:val="24"/>
          <w:shd w:val="clear" w:color="auto" w:fill="FFFFFF"/>
        </w:rPr>
        <w:t>.</w:t>
      </w:r>
    </w:p>
    <w:p w14:paraId="3F8E165E" w14:textId="77777777" w:rsidR="0041409D" w:rsidRPr="001E614D" w:rsidRDefault="006675D5" w:rsidP="001E614D">
      <w:pPr>
        <w:spacing w:line="360" w:lineRule="auto"/>
        <w:jc w:val="both"/>
        <w:rPr>
          <w:rFonts w:ascii="Times New Roman" w:hAnsi="Times New Roman" w:cs="Times New Roman"/>
          <w:b/>
          <w:color w:val="202124"/>
          <w:sz w:val="24"/>
          <w:szCs w:val="24"/>
          <w:shd w:val="clear" w:color="auto" w:fill="FFFFFF"/>
        </w:rPr>
      </w:pPr>
      <w:r w:rsidRPr="001E614D">
        <w:rPr>
          <w:rFonts w:ascii="Times New Roman" w:hAnsi="Times New Roman" w:cs="Times New Roman"/>
          <w:b/>
          <w:color w:val="202124"/>
          <w:sz w:val="24"/>
          <w:szCs w:val="24"/>
          <w:shd w:val="clear" w:color="auto" w:fill="FFFFFF"/>
        </w:rPr>
        <w:t>Pathophysiology leading to</w:t>
      </w:r>
      <w:r w:rsidR="008910D8" w:rsidRPr="001E614D">
        <w:rPr>
          <w:rFonts w:ascii="Times New Roman" w:hAnsi="Times New Roman" w:cs="Times New Roman"/>
          <w:b/>
          <w:color w:val="202124"/>
          <w:sz w:val="24"/>
          <w:szCs w:val="24"/>
          <w:shd w:val="clear" w:color="auto" w:fill="FFFFFF"/>
        </w:rPr>
        <w:t xml:space="preserve"> </w:t>
      </w:r>
      <w:r w:rsidR="0041409D" w:rsidRPr="001E614D">
        <w:rPr>
          <w:rFonts w:ascii="Times New Roman" w:hAnsi="Times New Roman" w:cs="Times New Roman"/>
          <w:b/>
          <w:color w:val="202124"/>
          <w:sz w:val="24"/>
          <w:szCs w:val="24"/>
          <w:shd w:val="clear" w:color="auto" w:fill="FFFFFF"/>
        </w:rPr>
        <w:t>CKD</w:t>
      </w:r>
    </w:p>
    <w:p w14:paraId="48FCE36C" w14:textId="61178A5D" w:rsidR="0041409D" w:rsidRPr="001E614D" w:rsidRDefault="00750F2C" w:rsidP="001E614D">
      <w:pPr>
        <w:spacing w:line="360" w:lineRule="auto"/>
        <w:jc w:val="both"/>
        <w:rPr>
          <w:rFonts w:ascii="Times New Roman" w:hAnsi="Times New Roman" w:cs="Times New Roman"/>
          <w:sz w:val="24"/>
          <w:szCs w:val="24"/>
        </w:rPr>
      </w:pPr>
      <w:r w:rsidRPr="001E614D">
        <w:rPr>
          <w:rFonts w:ascii="Times New Roman" w:hAnsi="Times New Roman" w:cs="Times New Roman"/>
          <w:color w:val="202124"/>
          <w:sz w:val="24"/>
          <w:szCs w:val="24"/>
          <w:shd w:val="clear" w:color="auto" w:fill="FFFFFF"/>
        </w:rPr>
        <w:t xml:space="preserve">Nephron loss is one of the leading </w:t>
      </w:r>
      <w:r w:rsidR="006675D5" w:rsidRPr="001E614D">
        <w:rPr>
          <w:rFonts w:ascii="Times New Roman" w:hAnsi="Times New Roman" w:cs="Times New Roman"/>
          <w:color w:val="202124"/>
          <w:sz w:val="24"/>
          <w:szCs w:val="24"/>
          <w:shd w:val="clear" w:color="auto" w:fill="FFFFFF"/>
        </w:rPr>
        <w:t>causes</w:t>
      </w:r>
      <w:r w:rsidRPr="001E614D">
        <w:rPr>
          <w:rFonts w:ascii="Times New Roman" w:hAnsi="Times New Roman" w:cs="Times New Roman"/>
          <w:color w:val="202124"/>
          <w:sz w:val="24"/>
          <w:szCs w:val="24"/>
          <w:shd w:val="clear" w:color="auto" w:fill="FFFFFF"/>
        </w:rPr>
        <w:t xml:space="preserve"> of the</w:t>
      </w:r>
      <w:r w:rsidR="008910D8" w:rsidRPr="001E614D">
        <w:rPr>
          <w:rFonts w:ascii="Times New Roman" w:hAnsi="Times New Roman" w:cs="Times New Roman"/>
          <w:color w:val="202124"/>
          <w:sz w:val="24"/>
          <w:szCs w:val="24"/>
          <w:shd w:val="clear" w:color="auto" w:fill="FFFFFF"/>
        </w:rPr>
        <w:t xml:space="preserve"> CKD. </w:t>
      </w:r>
      <w:r w:rsidRPr="001E614D">
        <w:rPr>
          <w:rFonts w:ascii="Times New Roman" w:hAnsi="Times New Roman" w:cs="Times New Roman"/>
          <w:sz w:val="24"/>
          <w:szCs w:val="24"/>
        </w:rPr>
        <w:t>Nephrons are generated in weeks 12–36 of gestation in humans, with a mean of 950,000 nephrons per kidney (with a range of ~200,000 to &gt;2.5 million)</w:t>
      </w:r>
      <w:r w:rsidR="00011F94" w:rsidRPr="001E614D">
        <w:rPr>
          <w:rFonts w:ascii="Times New Roman" w:hAnsi="Times New Roman" w:cs="Times New Roman"/>
          <w:sz w:val="24"/>
          <w:szCs w:val="24"/>
        </w:rPr>
        <w:t xml:space="preserve"> </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&lt;EndNote&gt;&lt;Cite&gt;&lt;Author&gt;Pea&lt;/Author&gt;&lt;Year&gt;2018&lt;/Year&gt;&lt;RecNum&gt;622&lt;/RecNum&gt;&lt;DisplayText&gt;(Pea, 2018)&lt;/DisplayText&gt;&lt;record&gt;&lt;rec-number&gt;622&lt;/rec-number&gt;&lt;foreign-keys&gt;&lt;key app="EN" db-id="xt2exae0qv2t5meds5xxawr9ed5vrfdxvezw" timestamp="1735133646"&gt;622&lt;/key&gt;&lt;/foreign-keys&gt;&lt;ref-type name="Journal Article"&gt;17&lt;/ref-type&gt;&lt;contributors&gt;&lt;authors&gt;&lt;author&gt;Pea, Federico&lt;/author&gt;&lt;/authors&gt;&lt;/contributors&gt;&lt;titles&gt;&lt;title&gt;Pharmacokinetics and drug metabolism of antibiotics in the elderly&lt;/title&gt;&lt;secondary-title&gt;Expert Opinion on Drug Metabolism &amp;amp; Toxicology&lt;/secondary-title&gt;&lt;/titles&gt;&lt;periodical&gt;&lt;full-title&gt;Expert Opinion on Drug Metabolism &amp;amp; Toxicology&lt;/full-title&gt;&lt;/periodical&gt;&lt;pages&gt;1087-1100&lt;/pages&gt;&lt;volume&gt;14&lt;/volume&gt;&lt;number&gt;10&lt;/number&gt;&lt;dates&gt;&lt;year&gt;2018&lt;/year&gt;&lt;/dates&gt;&lt;isbn&gt;1742-5255&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(Pea, 2018)</w:t>
      </w:r>
      <w:r w:rsidR="00011F94" w:rsidRPr="001E614D">
        <w:rPr>
          <w:rFonts w:ascii="Times New Roman" w:hAnsi="Times New Roman" w:cs="Times New Roman"/>
          <w:sz w:val="24"/>
          <w:szCs w:val="24"/>
        </w:rPr>
        <w:fldChar w:fldCharType="end"/>
      </w:r>
      <w:r w:rsidRPr="001E614D">
        <w:rPr>
          <w:rFonts w:ascii="Times New Roman" w:hAnsi="Times New Roman" w:cs="Times New Roman"/>
          <w:sz w:val="24"/>
          <w:szCs w:val="24"/>
        </w:rPr>
        <w:t>. No new nephrons can be generated after this period. During growth, the available nephrons</w:t>
      </w:r>
      <w:r w:rsidR="00C01A73" w:rsidRPr="001E614D">
        <w:rPr>
          <w:rFonts w:ascii="Times New Roman" w:hAnsi="Times New Roman" w:cs="Times New Roman"/>
          <w:sz w:val="24"/>
          <w:szCs w:val="24"/>
        </w:rPr>
        <w:t xml:space="preserve"> can</w:t>
      </w:r>
      <w:r w:rsidRPr="001E614D">
        <w:rPr>
          <w:rFonts w:ascii="Times New Roman" w:hAnsi="Times New Roman" w:cs="Times New Roman"/>
          <w:sz w:val="24"/>
          <w:szCs w:val="24"/>
        </w:rPr>
        <w:t xml:space="preserve"> increase in size to accommodate increased renal demands. Furthermore, GFR decreases with age .with the time load the activity of nephron is increased </w:t>
      </w:r>
      <w:r w:rsidR="008910D8" w:rsidRPr="001E614D">
        <w:rPr>
          <w:rFonts w:ascii="Times New Roman" w:hAnsi="Times New Roman" w:cs="Times New Roman"/>
          <w:sz w:val="24"/>
          <w:szCs w:val="24"/>
        </w:rPr>
        <w:t>impaired</w:t>
      </w:r>
      <w:r w:rsidRPr="001E614D">
        <w:rPr>
          <w:rFonts w:ascii="Times New Roman" w:hAnsi="Times New Roman" w:cs="Times New Roman"/>
          <w:sz w:val="24"/>
          <w:szCs w:val="24"/>
        </w:rPr>
        <w:t xml:space="preserve"> glomerular filtration</w:t>
      </w:r>
      <w:r w:rsidR="00011F94" w:rsidRPr="001E614D">
        <w:rPr>
          <w:rFonts w:ascii="Times New Roman" w:hAnsi="Times New Roman" w:cs="Times New Roman"/>
          <w:sz w:val="24"/>
          <w:szCs w:val="24"/>
        </w:rPr>
        <w:t xml:space="preserve"> </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&lt;EndNote&gt;&lt;Cite&gt;&lt;Author&gt;Arnold&lt;/Author&gt;&lt;Year&gt;2017&lt;/Year&gt;&lt;RecNum&gt;623&lt;/RecNum&gt;&lt;DisplayText&gt;(Arnold, 2017)&lt;/DisplayText&gt;&lt;record&gt;&lt;rec-number&gt;623&lt;/rec-number&gt;&lt;foreign-keys&gt;&lt;key app="EN" db-id="xt2exae0qv2t5meds5xxawr9ed5vrfdxvezw" timestamp="1735133673"&gt;623&lt;/key&gt;&lt;/foreign-keys&gt;&lt;ref-type name="Journal Article"&gt;17&lt;/ref-type&gt;&lt;contributors&gt;&lt;authors&gt;&lt;author&gt;Arnold, Forest W&lt;/author&gt;&lt;/authors&gt;&lt;/contributors&gt;&lt;titles&gt;&lt;title&gt;How antibiotics should be prescribed to hospitalized elderly patients with community-acquired pneumonia&lt;/title&gt;&lt;secondary-title&gt;Drugs &amp;amp; aging&lt;/secondary-title&gt;&lt;/titles&gt;&lt;periodical&gt;&lt;full-title&gt;Drugs &amp;amp; aging&lt;/full-title&gt;&lt;/periodical&gt;&lt;pages&gt;13-20&lt;/pages&gt;&lt;volume&gt;34&lt;/volume&gt;&lt;dates&gt;&lt;year&gt;2017&lt;/year&gt;&lt;/dates&gt;&lt;isbn&gt;1170-229X&lt;/isbn&gt;&lt;urls&gt;&lt;/urls&gt;&lt;/record&gt;&lt;/Cite&gt;&lt;/EndNote&gt;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(Arnold, 2017)</w:t>
      </w:r>
      <w:r w:rsidR="00011F94"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Angiotensin II production and mechanistic target of rapamycin (mTOR) </w:t>
      </w:r>
      <w:r w:rsidR="008910D8" w:rsidRPr="001E614D">
        <w:rPr>
          <w:rFonts w:ascii="Times New Roman" w:hAnsi="Times New Roman" w:cs="Times New Roman"/>
          <w:sz w:val="24"/>
          <w:szCs w:val="24"/>
        </w:rPr>
        <w:t>signaling</w:t>
      </w:r>
      <w:r w:rsidRPr="001E614D">
        <w:rPr>
          <w:rFonts w:ascii="Times New Roman" w:hAnsi="Times New Roman" w:cs="Times New Roman"/>
          <w:sz w:val="24"/>
          <w:szCs w:val="24"/>
        </w:rPr>
        <w:t xml:space="preserve"> maintain persistent podocyte hypertrophy and glomerular </w:t>
      </w:r>
      <w:r w:rsidR="008910D8" w:rsidRPr="001E614D">
        <w:rPr>
          <w:rFonts w:ascii="Times New Roman" w:hAnsi="Times New Roman" w:cs="Times New Roman"/>
          <w:sz w:val="24"/>
          <w:szCs w:val="24"/>
        </w:rPr>
        <w:t>hyper filtration</w:t>
      </w:r>
      <w:r w:rsidRPr="001E614D">
        <w:rPr>
          <w:rFonts w:ascii="Times New Roman" w:hAnsi="Times New Roman" w:cs="Times New Roman"/>
          <w:sz w:val="24"/>
          <w:szCs w:val="24"/>
        </w:rPr>
        <w:t xml:space="preserve"> and ultimately aggravates podocyte loss and proteinuria. Angiotensin II is a peptide hormone that is part of the renin–angiotensin system (RAS) that drives vasoconstriction and aldosterone secretion (and, therefore, sodium retention and an increase of blood pressure</w:t>
      </w:r>
      <w:r w:rsidR="00F325FB" w:rsidRPr="001E614D">
        <w:rPr>
          <w:rFonts w:ascii="Times New Roman" w:hAnsi="Times New Roman" w:cs="Times New Roman"/>
          <w:sz w:val="24"/>
          <w:szCs w:val="24"/>
        </w:rPr>
        <w:t>)</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&lt;EndNote&gt;&lt;Cite&gt;&lt;Author&gt;Heringa&lt;/Author&gt;&lt;Year&gt;2017&lt;/Year&gt;&lt;RecNum&gt;624&lt;/RecNum&gt;&lt;DisplayText&gt;(Heringa, Floor-Schreudering, De Smet, &amp;amp; Bouvy, 2017)&lt;/DisplayText&gt;&lt;record&gt;&lt;rec-number&gt;624&lt;/rec-number&gt;&lt;foreign-keys&gt;&lt;key app="EN" db-id="xt2exae0qv2t5meds5xxawr9ed5vrfdxvezw" timestamp="1735133713"&gt;624&lt;/key&gt;&lt;/foreign-keys&gt;&lt;ref-type name="Journal Article"&gt;17&lt;/ref-type&gt;&lt;contributors&gt;&lt;authors&gt;&lt;author&gt;Heringa, Mette&lt;/author&gt;&lt;author&gt;Floor-Schreudering, Annemieke&lt;/author&gt;&lt;author&gt;De Smet, Peter AGM&lt;/author&gt;&lt;author&gt;Bouvy, Marcel L&lt;/author&gt;&lt;/authors&gt;&lt;/contributors&gt;&lt;titles&gt;&lt;title&gt;Clinical decision support and optional point of care testing of renal function for safe use of antibiotics in elderly patients: a retrospective study in community pharmacy practice&lt;/title&gt;&lt;secondary-title&gt;Drugs &amp;amp; Aging&lt;/secondary-title&gt;&lt;/titles&gt;&lt;periodical&gt;&lt;full-title&gt;Drugs &amp;amp; aging&lt;/full-title&gt;&lt;/periodical&gt;&lt;pages&gt;851-858&lt;/pages&gt;&lt;volume&gt;34&lt;/volume&gt;&lt;dates&gt;&lt;year&gt;2017&lt;/year&gt;&lt;/dates&gt;&lt;isbn&gt;1170-229X&lt;/isbn&gt;&lt;urls&gt;&lt;/urls&gt;&lt;/record&gt;&lt;/Cite&gt;&lt;/EndNote&gt;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(Heringa, Floor-Schreudering, De Smet, &amp; Bouvy, 2017)</w:t>
      </w:r>
      <w:r w:rsidR="00011F94"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Aldosterone, in turn, directly </w:t>
      </w:r>
      <w:r w:rsidRPr="001E614D">
        <w:rPr>
          <w:rFonts w:ascii="Times New Roman" w:hAnsi="Times New Roman" w:cs="Times New Roman"/>
          <w:sz w:val="24"/>
          <w:szCs w:val="24"/>
        </w:rPr>
        <w:lastRenderedPageBreak/>
        <w:t xml:space="preserve">impairs the glomerular barrier sieving function, possibly by inhibiting expression of the podocyte protein </w:t>
      </w:r>
      <w:r w:rsidR="008910D8" w:rsidRPr="001E614D">
        <w:rPr>
          <w:rFonts w:ascii="Times New Roman" w:hAnsi="Times New Roman" w:cs="Times New Roman"/>
          <w:sz w:val="24"/>
          <w:szCs w:val="24"/>
        </w:rPr>
        <w:t>nephron</w:t>
      </w:r>
      <w:r w:rsidRPr="001E614D">
        <w:rPr>
          <w:rFonts w:ascii="Times New Roman" w:hAnsi="Times New Roman" w:cs="Times New Roman"/>
          <w:sz w:val="24"/>
          <w:szCs w:val="24"/>
        </w:rPr>
        <w:t>, which is a structural component of the slit diaphragm necessary for maintaining the glomerular filtration barrier53</w:t>
      </w:r>
      <w:r w:rsidR="00011F94" w:rsidRPr="001E614D">
        <w:rPr>
          <w:rFonts w:ascii="Times New Roman" w:hAnsi="Times New Roman" w:cs="Times New Roman"/>
          <w:sz w:val="24"/>
          <w:szCs w:val="24"/>
        </w:rPr>
        <w:t xml:space="preserve"> </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&lt;EndNote&gt;&lt;Cite&gt;&lt;Author&gt;Cattaneo&lt;/Author&gt;&lt;Year&gt;2022&lt;/Year&gt;&lt;RecNum&gt;625&lt;/RecNum&gt;&lt;DisplayText&gt;(Cattaneo, Falcone, Gervasoni, &amp;amp; Marriott, 2022)&lt;/DisplayText&gt;&lt;record&gt;&lt;rec-number&gt;625&lt;/rec-number&gt;&lt;foreign-keys&gt;&lt;key app="EN" db-id="xt2exae0qv2t5meds5xxawr9ed5vrfdxvezw" timestamp="1735133753"&gt;625&lt;/key&gt;&lt;/foreign-keys&gt;&lt;ref-type name="Journal Article"&gt;17&lt;/ref-type&gt;&lt;contributors&gt;&lt;authors&gt;&lt;author&gt;Cattaneo, Dario&lt;/author&gt;&lt;author&gt;Falcone, Marco&lt;/author&gt;&lt;author&gt;Gervasoni, Cristina&lt;/author&gt;&lt;author&gt;Marriott, Deborah JE&lt;/author&gt;&lt;/authors&gt;&lt;/contributors&gt;&lt;titles&gt;&lt;title&gt;Therapeutic Drug Monitoring of Antibiotics in the Elderly: A narrative review&lt;/title&gt;&lt;secondary-title&gt;Therapeutic Drug Monitoring&lt;/secondary-title&gt;&lt;/titles&gt;&lt;periodical&gt;&lt;full-title&gt;Therapeutic Drug Monitoring&lt;/full-title&gt;&lt;/periodical&gt;&lt;pages&gt;75-85&lt;/pages&gt;&lt;volume&gt;44&lt;/volume&gt;&lt;number&gt;1&lt;/number&gt;&lt;dates&gt;&lt;year&gt;2022&lt;/year&gt;&lt;/dates&gt;&lt;isbn&gt;0163-4356&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(Cattaneo, Falcone, Gervasoni, &amp; Marriott, 2022)</w:t>
      </w:r>
      <w:r w:rsidR="00011F94"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Angiotensin II possibly also contributes to the </w:t>
      </w:r>
      <w:r w:rsidR="001E614D" w:rsidRPr="001E614D">
        <w:rPr>
          <w:rFonts w:ascii="Times New Roman" w:hAnsi="Times New Roman" w:cs="Times New Roman"/>
          <w:sz w:val="24"/>
          <w:szCs w:val="24"/>
        </w:rPr>
        <w:t>deregulated</w:t>
      </w:r>
      <w:r w:rsidRPr="001E614D">
        <w:rPr>
          <w:rFonts w:ascii="Times New Roman" w:hAnsi="Times New Roman" w:cs="Times New Roman"/>
          <w:sz w:val="24"/>
          <w:szCs w:val="24"/>
        </w:rPr>
        <w:t xml:space="preserve"> response of progenitor parietal epithelial cells along Bowman’s capsule, generating FSGS lesions instead of replacing lost podocytes54</w:t>
      </w:r>
      <w:r w:rsidR="00011F94" w:rsidRPr="001E614D">
        <w:rPr>
          <w:rFonts w:ascii="Times New Roman" w:hAnsi="Times New Roman" w:cs="Times New Roman"/>
          <w:sz w:val="24"/>
          <w:szCs w:val="24"/>
        </w:rPr>
        <w:t xml:space="preserve"> </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&lt;EndNote&gt;&lt;Cite&gt;&lt;Author&gt;Gharbi&lt;/Author&gt;&lt;Year&gt;2019&lt;/Year&gt;&lt;RecNum&gt;626&lt;/RecNum&gt;&lt;DisplayText&gt;(Gharbi et al., 2019)&lt;/DisplayText&gt;&lt;record&gt;&lt;rec-number&gt;626&lt;/rec-number&gt;&lt;foreign-keys&gt;&lt;key app="EN" db-id="xt2exae0qv2t5meds5xxawr9ed5vrfdxvezw" timestamp="1735133794"&gt;626&lt;/key&gt;&lt;/foreign-keys&gt;&lt;ref-type name="Journal Article"&gt;17&lt;/ref-type&gt;&lt;contributors&gt;&lt;authors&gt;&lt;author&gt;Gharbi, Myriam&lt;/author&gt;&lt;author&gt;Drysdale, Joseph H&lt;/author&gt;&lt;author&gt;Lishman, Hannah&lt;/author&gt;&lt;author&gt;Goudie, Rosalind&lt;/author&gt;&lt;author&gt;Molokhia, Mariam&lt;/author&gt;&lt;author&gt;Johnson, Alan P&lt;/author&gt;&lt;author&gt;Holmes, Alison H&lt;/author&gt;&lt;author&gt;Aylin, Paul&lt;/author&gt;&lt;/authors&gt;&lt;/contributors&gt;&lt;titles&gt;&lt;title&gt;Antibiotic management of urinary tract infection in elderly patients in primary care and its association with bloodstream infections and all cause mortality: population based cohort study&lt;/title&gt;&lt;secondary-title&gt;bmj&lt;/secondary-title&gt;&lt;/titles&gt;&lt;periodical&gt;&lt;full-title&gt;bmj&lt;/full-title&gt;&lt;/periodical&gt;&lt;volume&gt;364&lt;/volume&gt;&lt;dates&gt;&lt;year&gt;2019&lt;/year&gt;&lt;/dates&gt;&lt;isbn&gt;0959-8138&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(Gharbi et al., 2019)</w:t>
      </w:r>
      <w:r w:rsidR="00011F94"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This structural </w:t>
      </w:r>
      <w:r w:rsidR="008910D8" w:rsidRPr="001E614D">
        <w:rPr>
          <w:rFonts w:ascii="Times New Roman" w:hAnsi="Times New Roman" w:cs="Times New Roman"/>
          <w:sz w:val="24"/>
          <w:szCs w:val="24"/>
        </w:rPr>
        <w:t>remodeling</w:t>
      </w:r>
      <w:r w:rsidRPr="001E614D">
        <w:rPr>
          <w:rFonts w:ascii="Times New Roman" w:hAnsi="Times New Roman" w:cs="Times New Roman"/>
          <w:sz w:val="24"/>
          <w:szCs w:val="24"/>
        </w:rPr>
        <w:t xml:space="preserve"> of the glomerulus presents clinically as proteinuria, which is a marker of nephron damage and is predictive of CKD progression (defined as a GFR decline of &gt;5ml/min/1.73m2 per year or sevenfold the normal rate of loss with ageing. Fibrosis. Nephron loss involves nonspecific wound-healing responses that include</w:t>
      </w:r>
      <w:r w:rsidR="00011F94" w:rsidRPr="001E614D">
        <w:rPr>
          <w:rFonts w:ascii="Times New Roman" w:hAnsi="Times New Roman" w:cs="Times New Roman"/>
          <w:sz w:val="24"/>
          <w:szCs w:val="24"/>
        </w:rPr>
        <w:t xml:space="preserve"> interstitial fibrosis</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&lt;EndNote&gt;&lt;Cite&gt;&lt;Author&gt;Sartelli&lt;/Author&gt;&lt;Year&gt;2021&lt;/Year&gt;&lt;RecNum&gt;627&lt;/RecNum&gt;&lt;DisplayText&gt;(Sartelli, 2021)&lt;/DisplayText&gt;&lt;record&gt;&lt;rec-number&gt;627&lt;/rec-number&gt;&lt;foreign-keys&gt;&lt;key app="EN" db-id="xt2exae0qv2t5meds5xxawr9ed5vrfdxvezw" timestamp="1735133838"&gt;627&lt;/key&gt;&lt;/foreign-keys&gt;&lt;ref-type name="Journal Article"&gt;17&lt;/ref-type&gt;&lt;contributors&gt;&lt;authors&gt;&lt;author&gt;Sartelli, Massimo&lt;/author&gt;&lt;/authors&gt;&lt;/contributors&gt;&lt;titles&gt;&lt;title&gt;Antibiotic Management in the Elderly Patients&lt;/title&gt;&lt;secondary-title&gt;Emergency General Surgery in Geriatrics&lt;/secondary-title&gt;&lt;/titles&gt;&lt;periodical&gt;&lt;full-title&gt;Emergency General Surgery in Geriatrics&lt;/full-title&gt;&lt;/periodical&gt;&lt;pages&gt;173-175&lt;/pages&gt;&lt;dates&gt;&lt;year&gt;2021&lt;/year&gt;&lt;/dates&gt;&lt;isbn&gt;3030622142&lt;/isbn&gt;&lt;urls&gt;&lt;/urls&gt;&lt;/record&gt;&lt;/Cite&gt;&lt;/EndNote&gt;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(Sartelli, 2021)</w:t>
      </w:r>
      <w:r w:rsidR="00011F94" w:rsidRPr="001E614D">
        <w:rPr>
          <w:rFonts w:ascii="Times New Roman" w:hAnsi="Times New Roman" w:cs="Times New Roman"/>
          <w:sz w:val="24"/>
          <w:szCs w:val="24"/>
        </w:rPr>
        <w:fldChar w:fldCharType="end"/>
      </w:r>
      <w:r w:rsidR="00011F94" w:rsidRPr="001E614D">
        <w:rPr>
          <w:rFonts w:ascii="Times New Roman" w:hAnsi="Times New Roman" w:cs="Times New Roman"/>
          <w:sz w:val="24"/>
          <w:szCs w:val="24"/>
        </w:rPr>
        <w:t>.</w:t>
      </w:r>
      <w:r w:rsidRPr="001E614D">
        <w:rPr>
          <w:rFonts w:ascii="Times New Roman" w:hAnsi="Times New Roman" w:cs="Times New Roman"/>
          <w:sz w:val="24"/>
          <w:szCs w:val="24"/>
        </w:rPr>
        <w:t xml:space="preserve"> Infiltrating immune cells, albuminuria and, in diabetes, </w:t>
      </w:r>
      <w:r w:rsidR="008910D8" w:rsidRPr="001E614D">
        <w:rPr>
          <w:rFonts w:ascii="Times New Roman" w:hAnsi="Times New Roman" w:cs="Times New Roman"/>
          <w:sz w:val="24"/>
          <w:szCs w:val="24"/>
        </w:rPr>
        <w:t>glycosuria</w:t>
      </w:r>
      <w:r w:rsidRPr="001E614D">
        <w:rPr>
          <w:rFonts w:ascii="Times New Roman" w:hAnsi="Times New Roman" w:cs="Times New Roman"/>
          <w:sz w:val="24"/>
          <w:szCs w:val="24"/>
        </w:rPr>
        <w:t xml:space="preserve">, activate proximal tubular epithelial cells, resulting in the secretion of proinflammatory and profibrotic mediators that promote interstitial inflammation and </w:t>
      </w:r>
      <w:r w:rsidR="00F325FB" w:rsidRPr="001E614D">
        <w:rPr>
          <w:rFonts w:ascii="Times New Roman" w:hAnsi="Times New Roman" w:cs="Times New Roman"/>
          <w:sz w:val="24"/>
          <w:szCs w:val="24"/>
        </w:rPr>
        <w:t>fibrosis57</w:t>
      </w:r>
      <w:r w:rsidRPr="001E614D">
        <w:rPr>
          <w:rFonts w:ascii="Times New Roman" w:hAnsi="Times New Roman" w:cs="Times New Roman"/>
          <w:sz w:val="24"/>
          <w:szCs w:val="24"/>
        </w:rPr>
        <w:t xml:space="preserve">. Interstitial fibrosis seems to drive further nephron injury through the promotion of renal </w:t>
      </w:r>
      <w:r w:rsidR="008910D8" w:rsidRPr="001E614D">
        <w:rPr>
          <w:rFonts w:ascii="Times New Roman" w:hAnsi="Times New Roman" w:cs="Times New Roman"/>
          <w:sz w:val="24"/>
          <w:szCs w:val="24"/>
        </w:rPr>
        <w:t>ischaemia57,</w:t>
      </w:r>
      <w:r w:rsidRPr="001E614D">
        <w:rPr>
          <w:rFonts w:ascii="Times New Roman" w:hAnsi="Times New Roman" w:cs="Times New Roman"/>
          <w:sz w:val="24"/>
          <w:szCs w:val="24"/>
        </w:rPr>
        <w:t xml:space="preserve"> but as in other organs scar formation might also mechanically stabilize the remaining nephrons58</w:t>
      </w:r>
      <w:r w:rsidR="00011F94" w:rsidRPr="001E614D">
        <w:rPr>
          <w:rFonts w:ascii="Times New Roman" w:hAnsi="Times New Roman" w:cs="Times New Roman"/>
          <w:sz w:val="24"/>
          <w:szCs w:val="24"/>
        </w:rPr>
        <w:t xml:space="preserve"> </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&lt;EndNote&gt;&lt;Cite&gt;&lt;Author&gt;Esme&lt;/Author&gt;&lt;Year&gt;2019&lt;/Year&gt;&lt;RecNum&gt;628&lt;/RecNum&gt;&lt;DisplayText&gt;(Esme, Topeli, Yavuz, &amp;amp; Akova, 2019)&lt;/DisplayText&gt;&lt;record&gt;&lt;rec-number&gt;628&lt;/rec-number&gt;&lt;foreign-keys&gt;&lt;key app="EN" db-id="xt2exae0qv2t5meds5xxawr9ed5vrfdxvezw" timestamp="1735133880"&gt;628&lt;/key&gt;&lt;/foreign-keys&gt;&lt;ref-type name="Journal Article"&gt;17&lt;/ref-type&gt;&lt;contributors&gt;&lt;authors&gt;&lt;author&gt;Esme, Mert&lt;/author&gt;&lt;author&gt;Topeli, Arzu&lt;/author&gt;&lt;author&gt;Yavuz, Burcu Balam&lt;/author&gt;&lt;author&gt;Akova, Murat&lt;/author&gt;&lt;/authors&gt;&lt;/contributors&gt;&lt;titles&gt;&lt;title&gt;Infections in the elderly critically-ill patients&lt;/title&gt;&lt;secondary-title&gt;Frontiers in medicine&lt;/secondary-title&gt;&lt;/titles&gt;&lt;periodical&gt;&lt;full-title&gt;Frontiers in medicine&lt;/full-title&gt;&lt;/periodical&gt;&lt;pages&gt;118&lt;/pages&gt;&lt;volume&gt;6&lt;/volume&gt;&lt;dates&gt;&lt;year&gt;2019&lt;/year&gt;&lt;/dates&gt;&lt;isbn&gt;2296-858X&lt;/isbn&gt;&lt;urls&gt;&lt;/urls&gt;&lt;/record&gt;&lt;/Cite&gt;&lt;/EndNote&gt;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(Esme, Topeli, Yavuz, &amp; Akova, 2019)</w:t>
      </w:r>
      <w:r w:rsidR="00011F94"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The increased tubular transport workload of remnant. </w:t>
      </w:r>
      <w:r w:rsidR="008910D8" w:rsidRPr="001E614D">
        <w:rPr>
          <w:rFonts w:ascii="Times New Roman" w:hAnsi="Times New Roman" w:cs="Times New Roman"/>
          <w:sz w:val="24"/>
          <w:szCs w:val="24"/>
        </w:rPr>
        <w:t>In</w:t>
      </w:r>
      <w:r w:rsidRPr="001E614D">
        <w:rPr>
          <w:rFonts w:ascii="Times New Roman" w:hAnsi="Times New Roman" w:cs="Times New Roman"/>
          <w:sz w:val="24"/>
          <w:szCs w:val="24"/>
        </w:rPr>
        <w:t xml:space="preserve"> kidney </w:t>
      </w:r>
      <w:r w:rsidR="008910D8" w:rsidRPr="001E614D">
        <w:rPr>
          <w:rFonts w:ascii="Times New Roman" w:hAnsi="Times New Roman" w:cs="Times New Roman"/>
          <w:sz w:val="24"/>
          <w:szCs w:val="24"/>
        </w:rPr>
        <w:t>hypo dysplasia</w:t>
      </w:r>
      <w:r w:rsidRPr="001E614D">
        <w:rPr>
          <w:rFonts w:ascii="Times New Roman" w:hAnsi="Times New Roman" w:cs="Times New Roman"/>
          <w:sz w:val="24"/>
          <w:szCs w:val="24"/>
        </w:rPr>
        <w:t>, low nephron count and risk of CKD69–71. Aside from CAKUT, ciliopathies, cystic kidney diseases, tubulopathies and podocytopathies can cause CKD68</w:t>
      </w:r>
      <w:r w:rsidR="008910D8" w:rsidRPr="001E614D">
        <w:rPr>
          <w:rFonts w:ascii="Times New Roman" w:hAnsi="Times New Roman" w:cs="Times New Roman"/>
          <w:sz w:val="24"/>
          <w:szCs w:val="24"/>
        </w:rPr>
        <w:t>, 70</w:t>
      </w:r>
      <w:r w:rsidRPr="001E614D">
        <w:rPr>
          <w:rFonts w:ascii="Times New Roman" w:hAnsi="Times New Roman" w:cs="Times New Roman"/>
          <w:sz w:val="24"/>
          <w:szCs w:val="24"/>
        </w:rPr>
        <w:t>–72. Genetic testing has revealed that ~20% of early-onset CKD (defined as CKD manifesting before 25 years of age) can be attributed to a monogenic cause72</w:t>
      </w:r>
      <w:r w:rsidR="00011F94" w:rsidRPr="001E614D">
        <w:rPr>
          <w:rFonts w:ascii="Times New Roman" w:hAnsi="Times New Roman" w:cs="Times New Roman"/>
          <w:sz w:val="24"/>
          <w:szCs w:val="24"/>
        </w:rPr>
        <w:t xml:space="preserve"> </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&lt;EndNote&gt;&lt;Cite&gt;&lt;Author&gt;Miranda&lt;/Author&gt;&lt;Year&gt;2022&lt;/Year&gt;&lt;RecNum&gt;629&lt;/RecNum&gt;&lt;DisplayText&gt;(Miranda et al., 2022)&lt;/DisplayText&gt;&lt;record&gt;&lt;rec-number&gt;629&lt;/rec-number&gt;&lt;foreign-keys&gt;&lt;key app="EN" db-id="xt2exae0qv2t5meds5xxawr9ed5vrfdxvezw" timestamp="1735133935"&gt;629&lt;/key&gt;&lt;/foreign-keys&gt;&lt;ref-type name="Journal Article"&gt;17&lt;/ref-type&gt;&lt;contributors&gt;&lt;authors&gt;&lt;author&gt;Miranda, María V&lt;/author&gt;&lt;author&gt;González, Fernanda C&lt;/author&gt;&lt;author&gt;Paredes-Godoy, Osvaldo S&lt;/author&gt;&lt;author&gt;Maulén, Mario A&lt;/author&gt;&lt;author&gt;Vásquez, Claudio C&lt;/author&gt;&lt;author&gt;Díaz-Vásquez, Waldo A&lt;/author&gt;&lt;/authors&gt;&lt;/contributors&gt;&lt;titles&gt;&lt;title&gt;Characterization of metal (loid) s and antibiotic resistance in bacteria of human gut microbiota from chronic kidney disease subjects&lt;/title&gt;&lt;secondary-title&gt;Biological Research&lt;/secondary-title&gt;&lt;/titles&gt;&lt;periodical&gt;&lt;full-title&gt;Biological Research&lt;/full-title&gt;&lt;/periodical&gt;&lt;volume&gt;55&lt;/volume&gt;&lt;dates&gt;&lt;year&gt;2022&lt;/year&gt;&lt;/dates&gt;&lt;isbn&gt;0716-9760&lt;/isbn&gt;&lt;urls&gt;&lt;/urls&gt;&lt;/record&gt;&lt;/Cite&gt;&lt;/EndNote&gt;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(Miranda et al., 2022)</w:t>
      </w:r>
      <w:r w:rsidR="00011F94"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Until recently, monogenic causes of CKD were mostly reported in children or adolescents, but genetic variants also contribute as cofactors to CKD progression in adults </w:t>
      </w:r>
      <w:r w:rsidR="002B4213">
        <w:rPr>
          <w:rFonts w:ascii="Times New Roman" w:hAnsi="Times New Roman" w:cs="Times New Roman"/>
          <w:sz w:val="24"/>
          <w:szCs w:val="24"/>
        </w:rPr>
        <w:t>.</w:t>
      </w:r>
      <w:r w:rsidRPr="001E614D">
        <w:rPr>
          <w:rFonts w:ascii="Times New Roman" w:hAnsi="Times New Roman" w:cs="Times New Roman"/>
          <w:sz w:val="24"/>
          <w:szCs w:val="24"/>
        </w:rPr>
        <w:t xml:space="preserve">For example, </w:t>
      </w:r>
      <w:r w:rsidR="008910D8" w:rsidRPr="001E614D">
        <w:rPr>
          <w:rFonts w:ascii="Times New Roman" w:hAnsi="Times New Roman" w:cs="Times New Roman"/>
          <w:sz w:val="24"/>
          <w:szCs w:val="24"/>
        </w:rPr>
        <w:t>an</w:t>
      </w:r>
      <w:r w:rsidRPr="001E614D">
        <w:rPr>
          <w:rFonts w:ascii="Times New Roman" w:hAnsi="Times New Roman" w:cs="Times New Roman"/>
          <w:sz w:val="24"/>
          <w:szCs w:val="24"/>
        </w:rPr>
        <w:t xml:space="preserve"> uromodulin (UMOD) gene variant, present in 17% of the alleles in the general population, is associated with developing CKD73</w:t>
      </w:r>
      <w:r w:rsidR="00011F94" w:rsidRPr="001E614D">
        <w:rPr>
          <w:rFonts w:ascii="Times New Roman" w:hAnsi="Times New Roman" w:cs="Times New Roman"/>
          <w:sz w:val="24"/>
          <w:szCs w:val="24"/>
        </w:rPr>
        <w:t xml:space="preserve"> </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&lt;EndNote&gt;&lt;Cite&gt;&lt;Author&gt;Vacaroiu&lt;/Author&gt;&lt;Year&gt;2022&lt;/Year&gt;&lt;RecNum&gt;630&lt;/RecNum&gt;&lt;DisplayText&gt;(Vacaroiu et al., 2022)&lt;/DisplayText&gt;&lt;record&gt;&lt;rec-number&gt;630&lt;/rec-number&gt;&lt;foreign-keys&gt;&lt;key app="EN" db-id="xt2exae0qv2t5meds5xxawr9ed5vrfdxvezw" timestamp="1735133965"&gt;630&lt;/key&gt;&lt;/foreign-keys&gt;&lt;ref-type name="Journal Article"&gt;17&lt;/ref-type&gt;&lt;contributors&gt;&lt;authors&gt;&lt;author&gt;Vacaroiu, Ileana Adela&lt;/author&gt;&lt;author&gt;Cuiban, Elena&lt;/author&gt;&lt;author&gt;Geavlete, Bogdan Florin&lt;/author&gt;&lt;author&gt;Gheorghita, Valeriu&lt;/author&gt;&lt;author&gt;David, Cristiana&lt;/author&gt;&lt;author&gt;Ene, Cosmin Victor&lt;/author&gt;&lt;author&gt;Bulai, Catalin&lt;/author&gt;&lt;author&gt;Lupusoru, Gabriela Elena&lt;/author&gt;&lt;author&gt;Lupusoru, Mircea&lt;/author&gt;&lt;author&gt;Balcangiu-Stroescu, Andra Elena&lt;/author&gt;&lt;/authors&gt;&lt;/contributors&gt;&lt;titles&gt;&lt;title&gt;Chronic kidney disease—an underestimated risk factor for antimicrobial resistance in patients with urinary tract infections&lt;/title&gt;&lt;secondary-title&gt;Biomedicines&lt;/secondary-title&gt;&lt;/titles&gt;&lt;periodical&gt;&lt;full-title&gt;Biomedicines&lt;/full-title&gt;&lt;/periodical&gt;&lt;pages&gt;2368&lt;/pages&gt;&lt;volume&gt;10&lt;/volume&gt;&lt;number&gt;10&lt;/number&gt;&lt;dates&gt;&lt;year&gt;2022&lt;/year&gt;&lt;/dates&gt;&lt;isbn&gt;2227-9059&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(Vacaroiu et al., 2022)</w:t>
      </w:r>
      <w:r w:rsidR="00011F94"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Another example is gene variants of </w:t>
      </w:r>
      <w:r w:rsidR="001E614D" w:rsidRPr="001E614D">
        <w:rPr>
          <w:rFonts w:ascii="Times New Roman" w:hAnsi="Times New Roman" w:cs="Times New Roman"/>
          <w:sz w:val="24"/>
          <w:szCs w:val="24"/>
        </w:rPr>
        <w:t>Apo lipoprotein</w:t>
      </w:r>
      <w:r w:rsidRPr="001E614D">
        <w:rPr>
          <w:rFonts w:ascii="Times New Roman" w:hAnsi="Times New Roman" w:cs="Times New Roman"/>
          <w:sz w:val="24"/>
          <w:szCs w:val="24"/>
        </w:rPr>
        <w:t xml:space="preserve"> L1 (APOL1) in African Americans, which confer resistance to </w:t>
      </w:r>
      <w:r w:rsidR="008910D8" w:rsidRPr="001E614D">
        <w:rPr>
          <w:rFonts w:ascii="Times New Roman" w:hAnsi="Times New Roman" w:cs="Times New Roman"/>
          <w:sz w:val="24"/>
          <w:szCs w:val="24"/>
        </w:rPr>
        <w:t>Trypanosome</w:t>
      </w:r>
      <w:r w:rsidRPr="001E614D">
        <w:rPr>
          <w:rFonts w:ascii="Times New Roman" w:hAnsi="Times New Roman" w:cs="Times New Roman"/>
          <w:sz w:val="24"/>
          <w:szCs w:val="24"/>
        </w:rPr>
        <w:t xml:space="preserve"> brucei infections in sub-Saharan Africa74 but affect endosomal trafficking and autophagic flux</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&lt;EndNote&gt;&lt;Cite&gt;&lt;Author&gt;Jamil&lt;/Author&gt;&lt;Year&gt;2016&lt;/Year&gt;&lt;RecNum&gt;631&lt;/RecNum&gt;&lt;DisplayText&gt;(Jamil et al., 2016)&lt;/DisplayText&gt;&lt;record&gt;&lt;rec-number&gt;631&lt;/rec-number&gt;&lt;foreign-keys&gt;&lt;key app="EN" db-id="xt2exae0qv2t5meds5xxawr9ed5vrfdxvezw" timestamp="1735133992"&gt;631&lt;/key&gt;&lt;/foreign-keys&gt;&lt;ref-type name="Journal Article"&gt;17&lt;/ref-type&gt;&lt;contributors&gt;&lt;authors&gt;&lt;author&gt;Jamil, Bushra&lt;/author&gt;&lt;author&gt;Bokhari, MT&lt;/author&gt;&lt;author&gt;Saeed, Azhar&lt;/author&gt;&lt;author&gt;Bokhari, Mohammad Zahid Mukhtar&lt;/author&gt;&lt;author&gt;Hussain, Zakir&lt;/author&gt;&lt;author&gt;Khalid, Tayabba&lt;/author&gt;&lt;author&gt;Bukhari, Habib&lt;/author&gt;&lt;author&gt;Imran, Muhammad&lt;/author&gt;&lt;author&gt;Abbasi, Shahid Ahmad&lt;/author&gt;&lt;/authors&gt;&lt;/contributors&gt;&lt;titles&gt;&lt;title&gt;Bacteremia: prevalence and antimicrobial resistance profiling in chronic kidney diseases and renal transplant patients&lt;/title&gt;&lt;secondary-title&gt;J Pak Med Assoc&lt;/secondary-title&gt;&lt;/titles&gt;&lt;periodical&gt;&lt;full-title&gt;J Pak Med Assoc&lt;/full-title&gt;&lt;/periodical&gt;&lt;pages&gt;705-9&lt;/pages&gt;&lt;volume&gt;66&lt;/volume&gt;&lt;number&gt;6&lt;/number&gt;&lt;dates&gt;&lt;year&gt;2016&lt;/year&gt;&lt;/dates&gt;&lt;urls&gt;&lt;/urls&gt;&lt;/record&gt;&lt;/Cite&gt;&lt;/EndNote&gt;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(Jamil et al., 2016)</w:t>
      </w:r>
      <w:r w:rsidR="00011F94"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In the presence of additional inducers of kidney injury (the nature of which remains unclear), these APOL1 variants promote podocyte loss, glomerulosclerosis, nephron loss and CKD progression75. Obesity. A larger glomerular size in moderately </w:t>
      </w:r>
      <w:r w:rsidR="008910D8" w:rsidRPr="001E614D">
        <w:rPr>
          <w:rFonts w:ascii="Times New Roman" w:hAnsi="Times New Roman" w:cs="Times New Roman"/>
          <w:sz w:val="24"/>
          <w:szCs w:val="24"/>
        </w:rPr>
        <w:t>obese</w:t>
      </w:r>
      <w:r w:rsidR="00F325FB" w:rsidRPr="001E614D">
        <w:rPr>
          <w:rFonts w:ascii="Times New Roman" w:hAnsi="Times New Roman" w:cs="Times New Roman"/>
          <w:sz w:val="24"/>
          <w:szCs w:val="24"/>
        </w:rPr>
        <w:t xml:space="preserve"> patients</w:t>
      </w:r>
      <w:r w:rsidR="00011F94" w:rsidRPr="001E614D">
        <w:rPr>
          <w:rFonts w:ascii="Times New Roman" w:hAnsi="Times New Roman" w:cs="Times New Roman"/>
          <w:sz w:val="24"/>
          <w:szCs w:val="24"/>
        </w:rPr>
        <w:t xml:space="preserve"> </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&lt;EndNote&gt;&lt;Cite&gt;&lt;Author&gt;Montoya-Urrego&lt;/Author&gt;&lt;Year&gt;2023&lt;/Year&gt;&lt;RecNum&gt;632&lt;/RecNum&gt;&lt;DisplayText&gt;(Montoya-Urrego, Velasco-Castaño, Quintero Velez, &amp;amp; Jiménez Quiceno, 2023)&lt;/DisplayText&gt;&lt;record&gt;&lt;rec-number&gt;632&lt;/rec-number&gt;&lt;foreign-keys&gt;&lt;key app="EN" db-id="xt2exae0qv2t5meds5xxawr9ed5vrfdxvezw" timestamp="1735134016"&gt;632&lt;/key&gt;&lt;/foreign-keys&gt;&lt;ref-type name="Journal Article"&gt;17&lt;/ref-type&gt;&lt;contributors&gt;&lt;authors&gt;&lt;author&gt;Montoya-Urrego, Daniela&lt;/author&gt;&lt;author&gt;Velasco-Castaño, Juan José&lt;/author&gt;&lt;author&gt;Quintero Velez, Juan C&lt;/author&gt;&lt;author&gt;Jiménez Quiceno, J Natalia&lt;/author&gt;&lt;/authors&gt;&lt;/contributors&gt;&lt;titles&gt;&lt;title&gt;Knowledge, attitudes, and practices (KAP) about antibiotic use in hemodialysis patients with chronic kidney disease and their household contacts, Medellín-Colombia&lt;/title&gt;&lt;secondary-title&gt;Infection and Drug Resistance&lt;/secondary-title&gt;&lt;/titles&gt;&lt;periodical&gt;&lt;full-title&gt;Infection and Drug Resistance&lt;/full-title&gt;&lt;/periodical&gt;&lt;pages&gt;1725-1736&lt;/pages&gt;&lt;dates&gt;&lt;year&gt;2023&lt;/year&gt;&lt;/dates&gt;&lt;isbn&gt;1178-6973&lt;/isbn&gt;&lt;urls&gt;&lt;/urls&gt;&lt;/record&gt;&lt;/Cite&gt;&lt;/EndNote&gt;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(Montoya-Urrego, Velasco-Castaño, Quintero Velez, &amp; Jiménez Quiceno, 2023)</w:t>
      </w:r>
      <w:r w:rsidR="00011F94" w:rsidRPr="001E614D">
        <w:rPr>
          <w:rFonts w:ascii="Times New Roman" w:hAnsi="Times New Roman" w:cs="Times New Roman"/>
          <w:sz w:val="24"/>
          <w:szCs w:val="24"/>
        </w:rPr>
        <w:fldChar w:fldCharType="end"/>
      </w:r>
      <w:r w:rsidR="00A80278" w:rsidRPr="001E614D">
        <w:rPr>
          <w:rFonts w:ascii="Times New Roman" w:hAnsi="Times New Roman" w:cs="Times New Roman"/>
          <w:sz w:val="24"/>
          <w:szCs w:val="24"/>
        </w:rPr>
        <w:t>.</w:t>
      </w:r>
    </w:p>
    <w:p w14:paraId="28AD86D2" w14:textId="77777777" w:rsidR="00BD3416" w:rsidRPr="001E614D" w:rsidRDefault="00D20680" w:rsidP="001E614D">
      <w:pPr>
        <w:spacing w:line="360" w:lineRule="auto"/>
        <w:jc w:val="both"/>
        <w:rPr>
          <w:rFonts w:ascii="Times New Roman" w:hAnsi="Times New Roman" w:cs="Times New Roman"/>
          <w:b/>
          <w:sz w:val="24"/>
          <w:szCs w:val="24"/>
        </w:rPr>
      </w:pPr>
      <w:r w:rsidRPr="001E614D">
        <w:rPr>
          <w:rFonts w:ascii="Times New Roman" w:hAnsi="Times New Roman" w:cs="Times New Roman"/>
          <w:b/>
          <w:sz w:val="24"/>
          <w:szCs w:val="24"/>
        </w:rPr>
        <w:t>Treatment</w:t>
      </w:r>
      <w:r w:rsidR="00BD3416" w:rsidRPr="001E614D">
        <w:rPr>
          <w:rFonts w:ascii="Times New Roman" w:hAnsi="Times New Roman" w:cs="Times New Roman"/>
          <w:b/>
          <w:sz w:val="24"/>
          <w:szCs w:val="24"/>
        </w:rPr>
        <w:t xml:space="preserve"> of CKD</w:t>
      </w:r>
    </w:p>
    <w:p w14:paraId="2419DEF0" w14:textId="77777777" w:rsidR="007F4DAC" w:rsidRPr="001E614D" w:rsidRDefault="00BD3416"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lastRenderedPageBreak/>
        <w:t xml:space="preserve">CKD is a major public health problem nowadays with great </w:t>
      </w:r>
      <w:r w:rsidR="008910D8" w:rsidRPr="001E614D">
        <w:rPr>
          <w:rFonts w:ascii="Times New Roman" w:hAnsi="Times New Roman" w:cs="Times New Roman"/>
          <w:sz w:val="24"/>
          <w:szCs w:val="24"/>
        </w:rPr>
        <w:t>expenses</w:t>
      </w:r>
      <w:r w:rsidRPr="001E614D">
        <w:rPr>
          <w:rFonts w:ascii="Times New Roman" w:hAnsi="Times New Roman" w:cs="Times New Roman"/>
          <w:sz w:val="24"/>
          <w:szCs w:val="24"/>
        </w:rPr>
        <w:t xml:space="preserve">. Over the past some decades it became one of the prevailing problem because of poor </w:t>
      </w:r>
      <w:r w:rsidR="008910D8" w:rsidRPr="001E614D">
        <w:rPr>
          <w:rFonts w:ascii="Times New Roman" w:hAnsi="Times New Roman" w:cs="Times New Roman"/>
          <w:sz w:val="24"/>
          <w:szCs w:val="24"/>
        </w:rPr>
        <w:t>lifestyle, hypertension</w:t>
      </w:r>
      <w:r w:rsidR="00915364" w:rsidRPr="001E614D">
        <w:rPr>
          <w:rFonts w:ascii="Times New Roman" w:hAnsi="Times New Roman" w:cs="Times New Roman"/>
          <w:sz w:val="24"/>
          <w:szCs w:val="24"/>
        </w:rPr>
        <w:t xml:space="preserve"> and exposure of toxic </w:t>
      </w:r>
      <w:r w:rsidR="008910D8" w:rsidRPr="001E614D">
        <w:rPr>
          <w:rFonts w:ascii="Times New Roman" w:hAnsi="Times New Roman" w:cs="Times New Roman"/>
          <w:sz w:val="24"/>
          <w:szCs w:val="24"/>
        </w:rPr>
        <w:t>substances</w:t>
      </w:r>
      <w:r w:rsidR="00011F94" w:rsidRPr="001E614D">
        <w:rPr>
          <w:rFonts w:ascii="Times New Roman" w:hAnsi="Times New Roman" w:cs="Times New Roman"/>
          <w:sz w:val="24"/>
          <w:szCs w:val="24"/>
        </w:rPr>
        <w:t xml:space="preserve"> </w:t>
      </w:r>
      <w:r w:rsidR="00011F94" w:rsidRPr="001E614D">
        <w:rPr>
          <w:rFonts w:ascii="Times New Roman" w:hAnsi="Times New Roman" w:cs="Times New Roman"/>
          <w:sz w:val="24"/>
          <w:szCs w:val="24"/>
        </w:rPr>
        <w:fldChar w:fldCharType="begin"/>
      </w:r>
      <w:r w:rsidR="00011F94" w:rsidRPr="001E614D">
        <w:rPr>
          <w:rFonts w:ascii="Times New Roman" w:hAnsi="Times New Roman" w:cs="Times New Roman"/>
          <w:sz w:val="24"/>
          <w:szCs w:val="24"/>
        </w:rPr>
        <w:instrText xml:space="preserve"> ADDIN EN.CITE &lt;EndNote&gt;&lt;Cite&gt;&lt;Author&gt;Khwaja&lt;/Author&gt;&lt;Year&gt;2007&lt;/Year&gt;&lt;RecNum&gt;633&lt;/RecNum&gt;&lt;DisplayText&gt;(Khwaja, El Kossi, Floege, &amp;amp; El Nahas, 2007)&lt;/DisplayText&gt;&lt;record&gt;&lt;rec-number&gt;633&lt;/rec-number&gt;&lt;foreign-keys&gt;&lt;key app="EN" db-id="xt2exae0qv2t5meds5xxawr9ed5vrfdxvezw" timestamp="1735134060"&gt;633&lt;/key&gt;&lt;/foreign-keys&gt;&lt;ref-type name="Journal Article"&gt;17&lt;/ref-type&gt;&lt;contributors&gt;&lt;authors&gt;&lt;author&gt;Khwaja, A&lt;/author&gt;&lt;author&gt;El Kossi, M&lt;/author&gt;&lt;author&gt;Floege, J&lt;/author&gt;&lt;author&gt;El Nahas, M&lt;/author&gt;&lt;/authors&gt;&lt;/contributors&gt;&lt;titles&gt;&lt;title&gt;The management of CKD: a look into the future&lt;/title&gt;&lt;secondary-title&gt;Kidney international&lt;/secondary-title&gt;&lt;/titles&gt;&lt;periodical&gt;&lt;full-title&gt;Kidney international&lt;/full-title&gt;&lt;/periodical&gt;&lt;pages&gt;1316-1323&lt;/pages&gt;&lt;volume&gt;72&lt;/volume&gt;&lt;number&gt;11&lt;/number&gt;&lt;dates&gt;&lt;year&gt;2007&lt;/year&gt;&lt;/dates&gt;&lt;isbn&gt;0085-2538&lt;/isbn&gt;&lt;urls&gt;&lt;/urls&gt;&lt;/record&gt;&lt;/Cite&gt;&lt;/EndNote&gt;</w:instrText>
      </w:r>
      <w:r w:rsidR="00011F94" w:rsidRPr="001E614D">
        <w:rPr>
          <w:rFonts w:ascii="Times New Roman" w:hAnsi="Times New Roman" w:cs="Times New Roman"/>
          <w:sz w:val="24"/>
          <w:szCs w:val="24"/>
        </w:rPr>
        <w:fldChar w:fldCharType="separate"/>
      </w:r>
      <w:r w:rsidR="00011F94" w:rsidRPr="001E614D">
        <w:rPr>
          <w:rFonts w:ascii="Times New Roman" w:hAnsi="Times New Roman" w:cs="Times New Roman"/>
          <w:noProof/>
          <w:sz w:val="24"/>
          <w:szCs w:val="24"/>
        </w:rPr>
        <w:t>(Khwaja, El Kossi, Floege, &amp; El Nahas, 2007)</w:t>
      </w:r>
      <w:r w:rsidR="00011F94" w:rsidRPr="001E614D">
        <w:rPr>
          <w:rFonts w:ascii="Times New Roman" w:hAnsi="Times New Roman" w:cs="Times New Roman"/>
          <w:sz w:val="24"/>
          <w:szCs w:val="24"/>
        </w:rPr>
        <w:fldChar w:fldCharType="end"/>
      </w:r>
      <w:r w:rsidR="008910D8" w:rsidRPr="001E614D">
        <w:rPr>
          <w:rFonts w:ascii="Times New Roman" w:hAnsi="Times New Roman" w:cs="Times New Roman"/>
          <w:sz w:val="24"/>
          <w:szCs w:val="24"/>
        </w:rPr>
        <w:t>.</w:t>
      </w:r>
      <w:r w:rsidR="00D20680" w:rsidRPr="001E614D">
        <w:rPr>
          <w:rFonts w:ascii="Times New Roman" w:hAnsi="Times New Roman" w:cs="Times New Roman"/>
          <w:sz w:val="24"/>
          <w:szCs w:val="24"/>
        </w:rPr>
        <w:t xml:space="preserve"> </w:t>
      </w:r>
      <w:r w:rsidR="008910D8" w:rsidRPr="001E614D">
        <w:rPr>
          <w:rFonts w:ascii="Times New Roman" w:hAnsi="Times New Roman" w:cs="Times New Roman"/>
          <w:sz w:val="24"/>
          <w:szCs w:val="24"/>
        </w:rPr>
        <w:t>First</w:t>
      </w:r>
      <w:r w:rsidR="00915364" w:rsidRPr="001E614D">
        <w:rPr>
          <w:rFonts w:ascii="Times New Roman" w:hAnsi="Times New Roman" w:cs="Times New Roman"/>
          <w:sz w:val="24"/>
          <w:szCs w:val="24"/>
        </w:rPr>
        <w:t xml:space="preserve"> of all the treatment of ckd involves changes in life </w:t>
      </w:r>
      <w:r w:rsidR="00F325FB" w:rsidRPr="001E614D">
        <w:rPr>
          <w:rFonts w:ascii="Times New Roman" w:hAnsi="Times New Roman" w:cs="Times New Roman"/>
          <w:sz w:val="24"/>
          <w:szCs w:val="24"/>
        </w:rPr>
        <w:t>style which keeps us active and healthy and maintains</w:t>
      </w:r>
      <w:r w:rsidR="00915364" w:rsidRPr="001E614D">
        <w:rPr>
          <w:rFonts w:ascii="Times New Roman" w:hAnsi="Times New Roman" w:cs="Times New Roman"/>
          <w:sz w:val="24"/>
          <w:szCs w:val="24"/>
        </w:rPr>
        <w:t xml:space="preserve"> the health of nephrons and kidney. The food which is good for kidney include </w:t>
      </w:r>
      <w:r w:rsidR="008910D8" w:rsidRPr="001E614D">
        <w:rPr>
          <w:rFonts w:ascii="Times New Roman" w:hAnsi="Times New Roman" w:cs="Times New Roman"/>
          <w:sz w:val="24"/>
          <w:szCs w:val="24"/>
        </w:rPr>
        <w:t>fish, root</w:t>
      </w:r>
      <w:r w:rsidR="00915364" w:rsidRPr="001E614D">
        <w:rPr>
          <w:rFonts w:ascii="Times New Roman" w:hAnsi="Times New Roman" w:cs="Times New Roman"/>
          <w:sz w:val="24"/>
          <w:szCs w:val="24"/>
        </w:rPr>
        <w:t xml:space="preserve"> </w:t>
      </w:r>
      <w:r w:rsidR="008910D8" w:rsidRPr="001E614D">
        <w:rPr>
          <w:rFonts w:ascii="Times New Roman" w:hAnsi="Times New Roman" w:cs="Times New Roman"/>
          <w:sz w:val="24"/>
          <w:szCs w:val="24"/>
        </w:rPr>
        <w:t>vegetables, beans</w:t>
      </w:r>
      <w:r w:rsidR="00915364" w:rsidRPr="001E614D">
        <w:rPr>
          <w:rFonts w:ascii="Times New Roman" w:hAnsi="Times New Roman" w:cs="Times New Roman"/>
          <w:sz w:val="24"/>
          <w:szCs w:val="24"/>
        </w:rPr>
        <w:t xml:space="preserve"> ,</w:t>
      </w:r>
      <w:r w:rsidR="008910D8" w:rsidRPr="001E614D">
        <w:rPr>
          <w:rFonts w:ascii="Times New Roman" w:hAnsi="Times New Roman" w:cs="Times New Roman"/>
          <w:sz w:val="24"/>
          <w:szCs w:val="24"/>
        </w:rPr>
        <w:t>seeds, whole</w:t>
      </w:r>
      <w:r w:rsidR="00915364" w:rsidRPr="001E614D">
        <w:rPr>
          <w:rFonts w:ascii="Times New Roman" w:hAnsi="Times New Roman" w:cs="Times New Roman"/>
          <w:sz w:val="24"/>
          <w:szCs w:val="24"/>
        </w:rPr>
        <w:t xml:space="preserve"> </w:t>
      </w:r>
      <w:r w:rsidR="008910D8" w:rsidRPr="001E614D">
        <w:rPr>
          <w:rFonts w:ascii="Times New Roman" w:hAnsi="Times New Roman" w:cs="Times New Roman"/>
          <w:sz w:val="24"/>
          <w:szCs w:val="24"/>
        </w:rPr>
        <w:t>grains, herbs</w:t>
      </w:r>
      <w:r w:rsidR="00915364" w:rsidRPr="001E614D">
        <w:rPr>
          <w:rFonts w:ascii="Times New Roman" w:hAnsi="Times New Roman" w:cs="Times New Roman"/>
          <w:sz w:val="24"/>
          <w:szCs w:val="24"/>
        </w:rPr>
        <w:t xml:space="preserve"> and eggs along with pomegranate and </w:t>
      </w:r>
      <w:r w:rsidR="008910D8" w:rsidRPr="001E614D">
        <w:rPr>
          <w:rFonts w:ascii="Times New Roman" w:hAnsi="Times New Roman" w:cs="Times New Roman"/>
          <w:sz w:val="24"/>
          <w:szCs w:val="24"/>
        </w:rPr>
        <w:t>avocado</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&lt;EndNote&gt;&lt;Cite&gt;&lt;Author&gt;Levin&lt;/Author&gt;&lt;Year&gt;2008&lt;/Year&gt;&lt;RecNum&gt;634&lt;/RecNum&gt;&lt;DisplayText&gt;(Levin et al., 2008)&lt;/DisplayText&gt;&lt;record&gt;&lt;rec-number&gt;634&lt;/rec-number&gt;&lt;foreign-keys&gt;&lt;key app="EN" db-id="xt2exae0qv2t5meds5xxawr9ed5vrfdxvezw" timestamp="1735134080"&gt;634&lt;/key&gt;&lt;/foreign-keys&gt;&lt;ref-type name="Journal Article"&gt;17&lt;/ref-type&gt;&lt;contributors&gt;&lt;authors&gt;&lt;author&gt;Levin, Adeera&lt;/author&gt;&lt;author&gt;Hemmelgarn, Brenda&lt;/author&gt;&lt;author&gt;Culleton, Bruce&lt;/author&gt;&lt;author&gt;Tobe, Sheldon&lt;/author&gt;&lt;author&gt;McFarlane, Philip&lt;/author&gt;&lt;author&gt;Ruzicka, Marcel&lt;/author&gt;&lt;author&gt;Burns, Kevin&lt;/author&gt;&lt;author&gt;Manns, Braden&lt;/author&gt;&lt;author&gt;White, Colin&lt;/author&gt;&lt;author&gt;Madore, Francoise&lt;/author&gt;&lt;/authors&gt;&lt;/contributors&gt;&lt;titles&gt;&lt;title&gt;Guidelines for the management of chronic kidney disease&lt;/title&gt;&lt;secondary-title&gt;Cmaj&lt;/secondary-title&gt;&lt;/titles&gt;&lt;periodical&gt;&lt;full-title&gt;Cmaj&lt;/full-title&gt;&lt;/periodical&gt;&lt;pages&gt;1154-1162&lt;/pages&gt;&lt;volume&gt;179&lt;/volume&gt;&lt;number&gt;11&lt;/number&gt;&lt;dates&gt;&lt;year&gt;2008&lt;/year&gt;&lt;/dates&gt;&lt;isbn&gt;0820-3946&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(Levin et al., 2008)</w:t>
      </w:r>
      <w:r w:rsidR="00147A0D" w:rsidRPr="001E614D">
        <w:rPr>
          <w:rFonts w:ascii="Times New Roman" w:hAnsi="Times New Roman" w:cs="Times New Roman"/>
          <w:sz w:val="24"/>
          <w:szCs w:val="24"/>
        </w:rPr>
        <w:fldChar w:fldCharType="end"/>
      </w:r>
      <w:r w:rsidR="008910D8" w:rsidRPr="001E614D">
        <w:rPr>
          <w:rFonts w:ascii="Times New Roman" w:hAnsi="Times New Roman" w:cs="Times New Roman"/>
          <w:sz w:val="24"/>
          <w:szCs w:val="24"/>
        </w:rPr>
        <w:t>. Exercise</w:t>
      </w:r>
      <w:r w:rsidR="007F4DAC" w:rsidRPr="001E614D">
        <w:rPr>
          <w:rFonts w:ascii="Times New Roman" w:hAnsi="Times New Roman" w:cs="Times New Roman"/>
          <w:sz w:val="24"/>
          <w:szCs w:val="24"/>
        </w:rPr>
        <w:t xml:space="preserve"> and morning walk is a good source of health update.</w:t>
      </w:r>
      <w:r w:rsidR="00D20680" w:rsidRPr="001E614D">
        <w:rPr>
          <w:rFonts w:ascii="Times New Roman" w:hAnsi="Times New Roman" w:cs="Times New Roman"/>
          <w:sz w:val="24"/>
          <w:szCs w:val="24"/>
        </w:rPr>
        <w:t xml:space="preserve"> </w:t>
      </w:r>
      <w:r w:rsidR="008910D8" w:rsidRPr="001E614D">
        <w:rPr>
          <w:rFonts w:ascii="Times New Roman" w:hAnsi="Times New Roman" w:cs="Times New Roman"/>
          <w:sz w:val="24"/>
          <w:szCs w:val="24"/>
        </w:rPr>
        <w:t>Then</w:t>
      </w:r>
      <w:r w:rsidR="007F4DAC" w:rsidRPr="001E614D">
        <w:rPr>
          <w:rFonts w:ascii="Times New Roman" w:hAnsi="Times New Roman" w:cs="Times New Roman"/>
          <w:sz w:val="24"/>
          <w:szCs w:val="24"/>
        </w:rPr>
        <w:t xml:space="preserve"> medicine therapy is also an important factor to get control </w:t>
      </w:r>
      <w:r w:rsidR="008910D8" w:rsidRPr="001E614D">
        <w:rPr>
          <w:rFonts w:ascii="Times New Roman" w:hAnsi="Times New Roman" w:cs="Times New Roman"/>
          <w:sz w:val="24"/>
          <w:szCs w:val="24"/>
        </w:rPr>
        <w:t>diabetes, hypertension</w:t>
      </w:r>
      <w:r w:rsidR="007F4DAC" w:rsidRPr="001E614D">
        <w:rPr>
          <w:rFonts w:ascii="Times New Roman" w:hAnsi="Times New Roman" w:cs="Times New Roman"/>
          <w:sz w:val="24"/>
          <w:szCs w:val="24"/>
        </w:rPr>
        <w:t xml:space="preserve"> </w:t>
      </w:r>
      <w:r w:rsidR="008910D8" w:rsidRPr="001E614D">
        <w:rPr>
          <w:rFonts w:ascii="Times New Roman" w:hAnsi="Times New Roman" w:cs="Times New Roman"/>
          <w:sz w:val="24"/>
          <w:szCs w:val="24"/>
        </w:rPr>
        <w:t>and high</w:t>
      </w:r>
      <w:r w:rsidR="007F4DAC" w:rsidRPr="001E614D">
        <w:rPr>
          <w:rFonts w:ascii="Times New Roman" w:hAnsi="Times New Roman" w:cs="Times New Roman"/>
          <w:sz w:val="24"/>
          <w:szCs w:val="24"/>
        </w:rPr>
        <w:t xml:space="preserve"> cholesterol levels.</w:t>
      </w:r>
      <w:r w:rsidR="008910D8" w:rsidRPr="001E614D">
        <w:rPr>
          <w:rFonts w:ascii="Times New Roman" w:hAnsi="Times New Roman" w:cs="Times New Roman"/>
          <w:sz w:val="24"/>
          <w:szCs w:val="24"/>
        </w:rPr>
        <w:t xml:space="preserve"> </w:t>
      </w:r>
      <w:r w:rsidR="007F4DAC" w:rsidRPr="001E614D">
        <w:rPr>
          <w:rFonts w:ascii="Times New Roman" w:hAnsi="Times New Roman" w:cs="Times New Roman"/>
          <w:sz w:val="24"/>
          <w:szCs w:val="24"/>
        </w:rPr>
        <w:t xml:space="preserve">Then if the CKD is getting </w:t>
      </w:r>
      <w:r w:rsidR="008910D8" w:rsidRPr="001E614D">
        <w:rPr>
          <w:rFonts w:ascii="Times New Roman" w:hAnsi="Times New Roman" w:cs="Times New Roman"/>
          <w:sz w:val="24"/>
          <w:szCs w:val="24"/>
        </w:rPr>
        <w:t>worse</w:t>
      </w:r>
      <w:r w:rsidR="007F4DAC" w:rsidRPr="001E614D">
        <w:rPr>
          <w:rFonts w:ascii="Times New Roman" w:hAnsi="Times New Roman" w:cs="Times New Roman"/>
          <w:sz w:val="24"/>
          <w:szCs w:val="24"/>
        </w:rPr>
        <w:t xml:space="preserve"> we have two options of treatment including dialysis which may be necessary in end stage kidney failure and kidney </w:t>
      </w:r>
      <w:r w:rsidR="008910D8" w:rsidRPr="001E614D">
        <w:rPr>
          <w:rFonts w:ascii="Times New Roman" w:hAnsi="Times New Roman" w:cs="Times New Roman"/>
          <w:sz w:val="24"/>
          <w:szCs w:val="24"/>
        </w:rPr>
        <w:t>transplant. The</w:t>
      </w:r>
      <w:r w:rsidR="007F4DAC" w:rsidRPr="001E614D">
        <w:rPr>
          <w:rFonts w:ascii="Times New Roman" w:hAnsi="Times New Roman" w:cs="Times New Roman"/>
          <w:sz w:val="24"/>
          <w:szCs w:val="24"/>
        </w:rPr>
        <w:t xml:space="preserve"> dialysis can be done by two ways ne is hemodialysis and peritoneal </w:t>
      </w:r>
      <w:r w:rsidR="00F325FB" w:rsidRPr="001E614D">
        <w:rPr>
          <w:rFonts w:ascii="Times New Roman" w:hAnsi="Times New Roman" w:cs="Times New Roman"/>
          <w:sz w:val="24"/>
          <w:szCs w:val="24"/>
        </w:rPr>
        <w:t>dialysis</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&lt;EndNote&gt;&lt;Cite&gt;&lt;Author&gt;Davison&lt;/Author&gt;&lt;Year&gt;2019&lt;/Year&gt;&lt;RecNum&gt;635&lt;/RecNum&gt;&lt;DisplayText&gt;(Davison et al., 2019)&lt;/DisplayText&gt;&lt;record&gt;&lt;rec-number&gt;635&lt;/rec-number&gt;&lt;foreign-keys&gt;&lt;key app="EN" db-id="xt2exae0qv2t5meds5xxawr9ed5vrfdxvezw" timestamp="1735134105"&gt;635&lt;/key&gt;&lt;/foreign-keys&gt;&lt;ref-type name="Journal Article"&gt;17&lt;/ref-type&gt;&lt;contributors&gt;&lt;authors&gt;&lt;author&gt;Davison, Sara N&lt;/author&gt;&lt;author&gt;Tupala, Beth&lt;/author&gt;&lt;author&gt;Wasylynuk, Betty Ann&lt;/author&gt;&lt;author&gt;Siu, Valerie&lt;/author&gt;&lt;author&gt;Sinnarajah, Aynharan&lt;/author&gt;&lt;author&gt;Triscott, Jean&lt;/author&gt;&lt;/authors&gt;&lt;/contributors&gt;&lt;titles&gt;&lt;title&gt;Recommendations for the care of patients receiving conservative kidney management: focus on management of CKD and symptoms&lt;/title&gt;&lt;secondary-title&gt;Clinical Journal of the American Society of Nephrology&lt;/secondary-title&gt;&lt;/titles&gt;&lt;periodical&gt;&lt;full-title&gt;Clinical Journal of the American Society of Nephrology&lt;/full-title&gt;&lt;/periodical&gt;&lt;pages&gt;626-634&lt;/pages&gt;&lt;volume&gt;14&lt;/volume&gt;&lt;number&gt;4&lt;/number&gt;&lt;dates&gt;&lt;year&gt;2019&lt;/year&gt;&lt;/dates&gt;&lt;isbn&gt;1555-9041&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(Davison et al., 2019)</w:t>
      </w:r>
      <w:r w:rsidR="00147A0D" w:rsidRPr="001E614D">
        <w:rPr>
          <w:rFonts w:ascii="Times New Roman" w:hAnsi="Times New Roman" w:cs="Times New Roman"/>
          <w:sz w:val="24"/>
          <w:szCs w:val="24"/>
        </w:rPr>
        <w:fldChar w:fldCharType="end"/>
      </w:r>
      <w:r w:rsidR="007F4DAC" w:rsidRPr="001E614D">
        <w:rPr>
          <w:rFonts w:ascii="Times New Roman" w:hAnsi="Times New Roman" w:cs="Times New Roman"/>
          <w:sz w:val="24"/>
          <w:szCs w:val="24"/>
        </w:rPr>
        <w:t>.</w:t>
      </w:r>
    </w:p>
    <w:p w14:paraId="0F8A5CF4" w14:textId="77777777" w:rsidR="00BC785A" w:rsidRPr="001E614D" w:rsidRDefault="00BC785A"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t>Aliskiren, a renin inhibitor, was emerged as a highly promising treatment for chronic kidney disease (CKD), demonstrating a substantial reduction in albuminuria compared to a placebo in patients with type 2 diabetes and nephropathy who were also receiving losartan therapy</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&lt;EndNote&gt;&lt;Cite&gt;&lt;Author&gt;Ruiz-Ortega&lt;/Author&gt;&lt;Year&gt;2022&lt;/Year&gt;&lt;RecNum&gt;636&lt;/RecNum&gt;&lt;DisplayText&gt;(Ruiz-Ortega, Lamas, &amp;amp; Ortiz, 2022)&lt;/DisplayText&gt;&lt;record&gt;&lt;rec-number&gt;636&lt;/rec-number&gt;&lt;foreign-keys&gt;&lt;key app="EN" db-id="xt2exae0qv2t5meds5xxawr9ed5vrfdxvezw" timestamp="1735134135"&gt;636&lt;/key&gt;&lt;/foreign-keys&gt;&lt;ref-type name="Journal Article"&gt;17&lt;/ref-type&gt;&lt;contributors&gt;&lt;authors&gt;&lt;author&gt;Ruiz-Ortega, Marta&lt;/author&gt;&lt;author&gt;Lamas, Santiago&lt;/author&gt;&lt;author&gt;Ortiz, Alberto&lt;/author&gt;&lt;/authors&gt;&lt;/contributors&gt;&lt;titles&gt;&lt;title&gt;Antifibrotic agents for the management of CKD: a review&lt;/title&gt;&lt;secondary-title&gt;American Journal of Kidney Diseases&lt;/secondary-title&gt;&lt;/titles&gt;&lt;periodical&gt;&lt;full-title&gt;American Journal of Kidney Diseases&lt;/full-title&gt;&lt;/periodical&gt;&lt;pages&gt;251-263&lt;/pages&gt;&lt;volume&gt;80&lt;/volume&gt;&lt;number&gt;2&lt;/number&gt;&lt;dates&gt;&lt;year&gt;2022&lt;/year&gt;&lt;/dates&gt;&lt;isbn&gt;0272-6386&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(Ruiz-Ortega, Lamas, &amp; Ortiz, 2022)</w:t>
      </w:r>
      <w:r w:rsidR="00147A0D" w:rsidRPr="001E614D">
        <w:rPr>
          <w:rFonts w:ascii="Times New Roman" w:hAnsi="Times New Roman" w:cs="Times New Roman"/>
          <w:sz w:val="24"/>
          <w:szCs w:val="24"/>
        </w:rPr>
        <w:fldChar w:fldCharType="end"/>
      </w:r>
      <w:r w:rsidRPr="001E614D">
        <w:rPr>
          <w:rFonts w:ascii="Times New Roman" w:hAnsi="Times New Roman" w:cs="Times New Roman"/>
          <w:sz w:val="24"/>
          <w:szCs w:val="24"/>
        </w:rPr>
        <w:t>. However, recent findings from a trial investigating aliskiren in combination with RAS inhibitors in individuals with type 2 diabetes and renal impairment have dampened the initial optimism su</w:t>
      </w:r>
      <w:r w:rsidR="00F325FB" w:rsidRPr="001E614D">
        <w:rPr>
          <w:rFonts w:ascii="Times New Roman" w:hAnsi="Times New Roman" w:cs="Times New Roman"/>
          <w:sz w:val="24"/>
          <w:szCs w:val="24"/>
        </w:rPr>
        <w:t>rrounding this novel drug.</w:t>
      </w:r>
      <w:r w:rsidR="00D20680" w:rsidRPr="001E614D">
        <w:rPr>
          <w:rFonts w:ascii="Times New Roman" w:hAnsi="Times New Roman" w:cs="Times New Roman"/>
          <w:sz w:val="24"/>
          <w:szCs w:val="24"/>
        </w:rPr>
        <w:t xml:space="preserve"> </w:t>
      </w:r>
      <w:r w:rsidRPr="001E614D">
        <w:rPr>
          <w:rFonts w:ascii="Times New Roman" w:hAnsi="Times New Roman" w:cs="Times New Roman"/>
          <w:sz w:val="24"/>
          <w:szCs w:val="24"/>
        </w:rPr>
        <w:t>Managing high blood pressure is crucial for preventing and slowing the progression of chronic kidney disease (CKD)</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&lt;EndNote&gt;&lt;Cite&gt;&lt;Author&gt;Wanner&lt;/Author&gt;&lt;Year&gt;2014&lt;/Year&gt;&lt;RecNum&gt;637&lt;/RecNum&gt;&lt;DisplayText&gt;(Wanner &amp;amp; Tonelli, 2014)&lt;/DisplayText&gt;&lt;record&gt;&lt;rec-number&gt;637&lt;/rec-number&gt;&lt;foreign-keys&gt;&lt;key app="EN" db-id="xt2exae0qv2t5meds5xxawr9ed5vrfdxvezw" timestamp="1735134159"&gt;637&lt;/key&gt;&lt;/foreign-keys&gt;&lt;ref-type name="Journal Article"&gt;17&lt;/ref-type&gt;&lt;contributors&gt;&lt;authors&gt;&lt;author&gt;Wanner, Christoph&lt;/author&gt;&lt;author&gt;Tonelli, Marcello&lt;/author&gt;&lt;/authors&gt;&lt;/contributors&gt;&lt;titles&gt;&lt;title&gt;KDIGO Clinical Practice Guideline for Lipid Management in CKD: summary of recommendation statements and clinical approach to the patient&lt;/title&gt;&lt;secondary-title&gt;Kidney international&lt;/secondary-title&gt;&lt;/titles&gt;&lt;periodical&gt;&lt;full-title&gt;Kidney international&lt;/full-title&gt;&lt;/periodical&gt;&lt;pages&gt;1303-1309&lt;/pages&gt;&lt;volume&gt;85&lt;/volume&gt;&lt;number&gt;6&lt;/number&gt;&lt;dates&gt;&lt;year&gt;2014&lt;/year&gt;&lt;/dates&gt;&lt;isbn&gt;0085-2538&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(Wanner &amp; Tonelli, 2014)</w:t>
      </w:r>
      <w:r w:rsidR="00147A0D" w:rsidRPr="001E614D">
        <w:rPr>
          <w:rFonts w:ascii="Times New Roman" w:hAnsi="Times New Roman" w:cs="Times New Roman"/>
          <w:sz w:val="24"/>
          <w:szCs w:val="24"/>
        </w:rPr>
        <w:fldChar w:fldCharType="end"/>
      </w:r>
      <w:r w:rsidRPr="001E614D">
        <w:rPr>
          <w:rFonts w:ascii="Times New Roman" w:hAnsi="Times New Roman" w:cs="Times New Roman"/>
          <w:sz w:val="24"/>
          <w:szCs w:val="24"/>
        </w:rPr>
        <w:t>. Blood pressure control remains essential at all stages of CKD and serves as the foundation of renal and cardiovascular protective therapy. Agents that block the renin-angiotensin-aldosterone system (RAAS), such as ACE inhibitors (ACEi) and angiotensin receptor blockers (ARB), are the first-line treatment, given their proven ability to lower albuminuria</w:t>
      </w:r>
      <w:r w:rsidR="00F325FB" w:rsidRPr="001E614D">
        <w:rPr>
          <w:rFonts w:ascii="Times New Roman" w:hAnsi="Times New Roman" w:cs="Times New Roman"/>
          <w:sz w:val="24"/>
          <w:szCs w:val="24"/>
        </w:rPr>
        <w:t xml:space="preserve"> and provide </w:t>
      </w:r>
      <w:r w:rsidR="001E614D" w:rsidRPr="001E614D">
        <w:rPr>
          <w:rFonts w:ascii="Times New Roman" w:hAnsi="Times New Roman" w:cs="Times New Roman"/>
          <w:sz w:val="24"/>
          <w:szCs w:val="24"/>
        </w:rPr>
        <w:t>Reno protection</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&lt;EndNote&gt;&lt;Cite&gt;&lt;Author&gt;Chen&lt;/Author&gt;&lt;Year&gt;2019&lt;/Year&gt;&lt;RecNum&gt;638&lt;/RecNum&gt;&lt;DisplayText&gt;(Chen, Knicely, &amp;amp; Grams, 2019)&lt;/DisplayText&gt;&lt;record&gt;&lt;rec-number&gt;638&lt;/rec-number&gt;&lt;foreign-keys&gt;&lt;key app="EN" db-id="xt2exae0qv2t5meds5xxawr9ed5vrfdxvezw" timestamp="1735134183"&gt;638&lt;/key&gt;&lt;/foreign-keys&gt;&lt;ref-type name="Journal Article"&gt;17&lt;/ref-type&gt;&lt;contributors&gt;&lt;authors&gt;&lt;author&gt;Chen, Teresa K&lt;/author&gt;&lt;author&gt;Knicely, Daphne H&lt;/author&gt;&lt;author&gt;Grams, Morgan E&lt;/author&gt;&lt;/authors&gt;&lt;/contributors&gt;&lt;titles&gt;&lt;title&gt;Chronic kidney disease diagnosis and management: a review&lt;/title&gt;&lt;secondary-title&gt;Jama&lt;/secondary-title&gt;&lt;/titles&gt;&lt;periodical&gt;&lt;full-title&gt;Jama&lt;/full-title&gt;&lt;/periodical&gt;&lt;pages&gt;1294-1304&lt;/pages&gt;&lt;volume&gt;322&lt;/volume&gt;&lt;number&gt;13&lt;/number&gt;&lt;dates&gt;&lt;year&gt;2019&lt;/year&gt;&lt;/dates&gt;&lt;isbn&gt;0098-7484&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(Chen, Knicely, &amp; Grams, 2019)</w:t>
      </w:r>
      <w:r w:rsidR="00147A0D" w:rsidRPr="001E614D">
        <w:rPr>
          <w:rFonts w:ascii="Times New Roman" w:hAnsi="Times New Roman" w:cs="Times New Roman"/>
          <w:sz w:val="24"/>
          <w:szCs w:val="24"/>
        </w:rPr>
        <w:fldChar w:fldCharType="end"/>
      </w:r>
      <w:r w:rsidR="00F325FB" w:rsidRPr="001E614D">
        <w:rPr>
          <w:rFonts w:ascii="Times New Roman" w:hAnsi="Times New Roman" w:cs="Times New Roman"/>
          <w:sz w:val="24"/>
          <w:szCs w:val="24"/>
        </w:rPr>
        <w:t>.</w:t>
      </w:r>
    </w:p>
    <w:p w14:paraId="4A1CC638" w14:textId="77777777" w:rsidR="00BC785A" w:rsidRPr="001E614D" w:rsidRDefault="00BC785A"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t>RAAS plays a significant role in the progressive loss of organ function in CKD patients. Numerous randomized controlled trials and meta-analyses have demonstrated that RAAS inhibition protects both renal and cardiovascular health</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&lt;EndNote&gt;&lt;Cite&gt;&lt;Author&gt;Arici&lt;/Author&gt;&lt;Year&gt;2014&lt;/Year&gt;&lt;RecNum&gt;639&lt;/RecNum&gt;&lt;DisplayText&gt;(Arici, 2014)&lt;/DisplayText&gt;&lt;record&gt;&lt;rec-number&gt;639&lt;/rec-number&gt;&lt;foreign-keys&gt;&lt;key app="EN" db-id="xt2exae0qv2t5meds5xxawr9ed5vrfdxvezw" timestamp="1735134208"&gt;639&lt;/key&gt;&lt;/foreign-keys&gt;&lt;ref-type name="Book"&gt;6&lt;/ref-type&gt;&lt;contributors&gt;&lt;authors&gt;&lt;author&gt;Arici, Mustafa&lt;/author&gt;&lt;/authors&gt;&lt;/contributors&gt;&lt;titles&gt;&lt;title&gt;Management of chronic kidney disease&lt;/title&gt;&lt;/titles&gt;&lt;dates&gt;&lt;year&gt;2014&lt;/year&gt;&lt;/dates&gt;&lt;publisher&gt;Springer&lt;/publisher&gt;&lt;isbn&gt;3642546366&lt;/isbn&gt;&lt;urls&gt;&lt;/urls&gt;&lt;/record&gt;&lt;/Cite&gt;&lt;/EndNote&gt;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(Arici, 2014)</w:t>
      </w:r>
      <w:r w:rsidR="00147A0D"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This has led to the hypothesis that intensified RAAS blockade could offer enhanced protection against major adverse renal and cardiovascular outcomes. Following this approach, combinations such as ACEi and ARB or ACEi/ARB with direct renin inhibitors (DRIs) have been explored. Dual therapy has shown greater efficacy than monotherapy in reducing urinary albumin excretion and blood </w:t>
      </w:r>
      <w:r w:rsidRPr="001E614D">
        <w:rPr>
          <w:rFonts w:ascii="Times New Roman" w:hAnsi="Times New Roman" w:cs="Times New Roman"/>
          <w:sz w:val="24"/>
          <w:szCs w:val="24"/>
        </w:rPr>
        <w:lastRenderedPageBreak/>
        <w:t>pressure</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&lt;EndNote&gt;&lt;Cite&gt;&lt;Author&gt;Vassalotti&lt;/Author&gt;&lt;Year&gt;2016&lt;/Year&gt;&lt;RecNum&gt;640&lt;/RecNum&gt;&lt;DisplayText&gt;(Vassalotti et al., 2016)&lt;/DisplayText&gt;&lt;record&gt;&lt;rec-number&gt;640&lt;/rec-number&gt;&lt;foreign-keys&gt;&lt;key app="EN" db-id="xt2exae0qv2t5meds5xxawr9ed5vrfdxvezw" timestamp="1735134236"&gt;640&lt;/key&gt;&lt;/foreign-keys&gt;&lt;ref-type name="Journal Article"&gt;17&lt;/ref-type&gt;&lt;contributors&gt;&lt;authors&gt;&lt;author&gt;Vassalotti, Joseph A&lt;/author&gt;&lt;author&gt;Centor, Robert&lt;/author&gt;&lt;author&gt;Turner, Barbara J&lt;/author&gt;&lt;author&gt;Greer, Raquel C&lt;/author&gt;&lt;author&gt;Choi, Michael&lt;/author&gt;&lt;author&gt;Sequist, Thomas D&lt;/author&gt;&lt;author&gt;National Kidney Foundation Kidney Disease Outcomes Quality Initiative&lt;/author&gt;&lt;/authors&gt;&lt;/contributors&gt;&lt;titles&gt;&lt;title&gt;Practical approach to detection and management of chronic kidney disease for the primary care clinician&lt;/title&gt;&lt;secondary-title&gt;The American journal of medicine&lt;/secondary-title&gt;&lt;/titles&gt;&lt;periodical&gt;&lt;full-title&gt;The American journal of medicine&lt;/full-title&gt;&lt;/periodical&gt;&lt;pages&gt;153-162. e7&lt;/pages&gt;&lt;volume&gt;129&lt;/volume&gt;&lt;number&gt;2&lt;/number&gt;&lt;dates&gt;&lt;year&gt;2016&lt;/year&gt;&lt;/dates&gt;&lt;isbn&gt;0002-9343&lt;/isbn&gt;&lt;urls&gt;&lt;/urls&gt;&lt;/record&gt;&lt;/Cite&gt;&lt;/EndNote&gt;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(Vassalotti et al., 2016)</w:t>
      </w:r>
      <w:r w:rsidR="00147A0D"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The </w:t>
      </w:r>
      <w:r w:rsidR="001E614D" w:rsidRPr="001E614D">
        <w:rPr>
          <w:rFonts w:ascii="Times New Roman" w:hAnsi="Times New Roman" w:cs="Times New Roman"/>
          <w:sz w:val="24"/>
          <w:szCs w:val="24"/>
        </w:rPr>
        <w:t>Reno protective</w:t>
      </w:r>
      <w:r w:rsidRPr="001E614D">
        <w:rPr>
          <w:rFonts w:ascii="Times New Roman" w:hAnsi="Times New Roman" w:cs="Times New Roman"/>
          <w:sz w:val="24"/>
          <w:szCs w:val="24"/>
        </w:rPr>
        <w:t xml:space="preserve"> effects of RAAS inhibitors have been validated across diverse types of renal diseases, including diabetic nephropathy, hypertensive nephrosclerosis, and non-diabetic nephropathies. Since lowering albuminuria slows the progression of renal function loss, it should be considered a distinct therapeutic target in CKD management. Additionally, lipid-lowering treatments have demonstrated cardiovascular benefits in CKD patients, further supporting a comprehensive approach to protecting kidney an</w:t>
      </w:r>
      <w:r w:rsidR="00F325FB" w:rsidRPr="001E614D">
        <w:rPr>
          <w:rFonts w:ascii="Times New Roman" w:hAnsi="Times New Roman" w:cs="Times New Roman"/>
          <w:sz w:val="24"/>
          <w:szCs w:val="24"/>
        </w:rPr>
        <w:t>d cardiovascular health</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&lt;EndNote&gt;&lt;Cite&gt;&lt;Author&gt;Koncicki&lt;/Author&gt;&lt;Year&gt;2017&lt;/Year&gt;&lt;RecNum&gt;641&lt;/RecNum&gt;&lt;DisplayText&gt;(Koncicki, Unruh, &amp;amp; Schell, 2017)&lt;/DisplayText&gt;&lt;record&gt;&lt;rec-number&gt;641&lt;/rec-number&gt;&lt;foreign-keys&gt;&lt;key app="EN" db-id="xt2exae0qv2t5meds5xxawr9ed5vrfdxvezw" timestamp="1735134259"&gt;641&lt;/key&gt;&lt;/foreign-keys&gt;&lt;ref-type name="Journal Article"&gt;17&lt;/ref-type&gt;&lt;contributors&gt;&lt;authors&gt;&lt;author&gt;Koncicki, Holly M&lt;/author&gt;&lt;author&gt;Unruh, Mark&lt;/author&gt;&lt;author&gt;Schell, Jane O&lt;/author&gt;&lt;/authors&gt;&lt;/contributors&gt;&lt;titles&gt;&lt;title&gt;Pain management in CKD: a guide for nephrology providers&lt;/title&gt;&lt;secondary-title&gt;American journal of kidney diseases&lt;/secondary-title&gt;&lt;/titles&gt;&lt;periodical&gt;&lt;full-title&gt;American Journal of Kidney Diseases&lt;/full-title&gt;&lt;/periodical&gt;&lt;pages&gt;451-460&lt;/pages&gt;&lt;volume&gt;69&lt;/volume&gt;&lt;number&gt;3&lt;/number&gt;&lt;dates&gt;&lt;year&gt;2017&lt;/year&gt;&lt;/dates&gt;&lt;isbn&gt;0272-6386&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(Koncicki, Unruh, &amp; Schell, 2017)</w:t>
      </w:r>
      <w:r w:rsidR="00147A0D" w:rsidRPr="001E614D">
        <w:rPr>
          <w:rFonts w:ascii="Times New Roman" w:hAnsi="Times New Roman" w:cs="Times New Roman"/>
          <w:sz w:val="24"/>
          <w:szCs w:val="24"/>
        </w:rPr>
        <w:fldChar w:fldCharType="end"/>
      </w:r>
      <w:r w:rsidR="00F325FB" w:rsidRPr="001E614D">
        <w:rPr>
          <w:rFonts w:ascii="Times New Roman" w:hAnsi="Times New Roman" w:cs="Times New Roman"/>
          <w:sz w:val="24"/>
          <w:szCs w:val="24"/>
        </w:rPr>
        <w:t>.</w:t>
      </w:r>
    </w:p>
    <w:p w14:paraId="4CED3A6B" w14:textId="77777777" w:rsidR="00BC785A" w:rsidRPr="001E614D" w:rsidRDefault="00BC785A"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t>Inhibiting sodium-glucose transport has emerged as a novel approach to achieving glycemic control. Sodium-glucose co-transporter 2 (SGLT-2) inhibitors work by reversibly blocking the SGLT-2 protein found in the proximal tubule of the kidney</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&lt;EndNote&gt;&lt;Cite&gt;&lt;Author&gt;D’Alessandro&lt;/Author&gt;&lt;Year&gt;2016&lt;/Year&gt;&lt;RecNum&gt;642&lt;/RecNum&gt;&lt;DisplayText&gt;(D’Alessandro et al., 2016)&lt;/DisplayText&gt;&lt;record&gt;&lt;rec-number&gt;642&lt;/rec-number&gt;&lt;foreign-keys&gt;&lt;key app="EN" db-id="xt2exae0qv2t5meds5xxawr9ed5vrfdxvezw" timestamp="1735134284"&gt;642&lt;/key&gt;&lt;/foreign-keys&gt;&lt;ref-type name="Journal Article"&gt;17&lt;/ref-type&gt;&lt;contributors&gt;&lt;authors&gt;&lt;author&gt;D’Alessandro, Claudia&lt;/author&gt;&lt;author&gt;Piccoli, Giorgina Barbara&lt;/author&gt;&lt;author&gt;Calella, Patrizia&lt;/author&gt;&lt;author&gt;Brunori, Giuliano&lt;/author&gt;&lt;author&gt;Pasticci, Franca&lt;/author&gt;&lt;author&gt;Egidi, Maria Francesca&lt;/author&gt;&lt;author&gt;Capizzi, Irene&lt;/author&gt;&lt;author&gt;Bellizzi, Vincenzo&lt;/author&gt;&lt;author&gt;Cupisti, Adamasco&lt;/author&gt;&lt;/authors&gt;&lt;/contributors&gt;&lt;titles&gt;&lt;title&gt;“Dietaly”: practical issues for the nutritional management of CKD patients in Italy&lt;/title&gt;&lt;secondary-title&gt;BMC nephrology&lt;/secondary-title&gt;&lt;/titles&gt;&lt;periodical&gt;&lt;full-title&gt;BMC nephrology&lt;/full-title&gt;&lt;/periodical&gt;&lt;pages&gt;1-18&lt;/pages&gt;&lt;volume&gt;17&lt;/volume&gt;&lt;dates&gt;&lt;year&gt;2016&lt;/year&gt;&lt;/dates&gt;&lt;urls&gt;&lt;/urls&gt;&lt;/record&gt;&lt;/Cite&gt;&lt;/EndNote&gt;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(D’Alessandro et al., 2016)</w:t>
      </w:r>
      <w:r w:rsidR="00147A0D" w:rsidRPr="001E614D">
        <w:rPr>
          <w:rFonts w:ascii="Times New Roman" w:hAnsi="Times New Roman" w:cs="Times New Roman"/>
          <w:sz w:val="24"/>
          <w:szCs w:val="24"/>
        </w:rPr>
        <w:fldChar w:fldCharType="end"/>
      </w:r>
      <w:r w:rsidRPr="001E614D">
        <w:rPr>
          <w:rFonts w:ascii="Times New Roman" w:hAnsi="Times New Roman" w:cs="Times New Roman"/>
          <w:sz w:val="24"/>
          <w:szCs w:val="24"/>
        </w:rPr>
        <w:t>. Under normal physiological conditions, this transporter facilitates the nearly complete reabsorption of glucose to maintain appropriate glucose levels. By inhibiting SGLT-2, these drugs enhance urinary glucose excretion while reducing fasting plasma glucose and HbA1c levels.</w:t>
      </w:r>
      <w:r w:rsidR="00D20680" w:rsidRPr="001E614D">
        <w:rPr>
          <w:rFonts w:ascii="Times New Roman" w:hAnsi="Times New Roman" w:cs="Times New Roman"/>
          <w:sz w:val="24"/>
          <w:szCs w:val="24"/>
        </w:rPr>
        <w:t xml:space="preserve"> </w:t>
      </w:r>
      <w:r w:rsidRPr="001E614D">
        <w:rPr>
          <w:rFonts w:ascii="Times New Roman" w:hAnsi="Times New Roman" w:cs="Times New Roman"/>
          <w:sz w:val="24"/>
          <w:szCs w:val="24"/>
        </w:rPr>
        <w:t>Emerging evidence highlights the critical role of vitamin D in maintaining renal and cardiovascular health</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&lt;EndNote&gt;&lt;Cite&gt;&lt;Author&gt;Shah&lt;/Author&gt;&lt;Year&gt;2015&lt;/Year&gt;&lt;RecNum&gt;643&lt;/RecNum&gt;&lt;DisplayText&gt;(Shah, Kalantar-Zadeh, &amp;amp; Kopple, 2015)&lt;/DisplayText&gt;&lt;record&gt;&lt;rec-number&gt;643&lt;/rec-number&gt;&lt;foreign-keys&gt;&lt;key app="EN" db-id="xt2exae0qv2t5meds5xxawr9ed5vrfdxvezw" timestamp="1735134309"&gt;643&lt;/key&gt;&lt;/foreign-keys&gt;&lt;ref-type name="Journal Article"&gt;17&lt;/ref-type&gt;&lt;contributors&gt;&lt;authors&gt;&lt;author&gt;Shah, Anuja P&lt;/author&gt;&lt;author&gt;Kalantar-Zadeh, Kamyar&lt;/author&gt;&lt;author&gt;Kopple, Joel D&lt;/author&gt;&lt;/authors&gt;&lt;/contributors&gt;&lt;titles&gt;&lt;title&gt;Is there a role for ketoacid supplements in the management of CKD?&lt;/title&gt;&lt;secondary-title&gt;American journal of kidney diseases&lt;/secondary-title&gt;&lt;/titles&gt;&lt;periodical&gt;&lt;full-title&gt;American Journal of Kidney Diseases&lt;/full-title&gt;&lt;/periodical&gt;&lt;pages&gt;659-673&lt;/pages&gt;&lt;volume&gt;65&lt;/volume&gt;&lt;number&gt;5&lt;/number&gt;&lt;dates&gt;&lt;year&gt;2015&lt;/year&gt;&lt;/dates&gt;&lt;isbn&gt;0272-6386&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(Shah, Kalantar-Zadeh, &amp; Kopple, 2015)</w:t>
      </w:r>
      <w:r w:rsidR="00147A0D"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Individuals with chronic kidney disease (CKD) tend to have lower vitamin D levels compared to healthy individuals. Observational studies have shown that CKD patients treated with vitamin D receptor activators experience improved survival outcomes compared to those who remain untreated. One proposed mechanism behind the antiproteinuric effects of vitamin D receptor agonists, such as paricalcitol, is their ability </w:t>
      </w:r>
      <w:r w:rsidR="00F325FB" w:rsidRPr="001E614D">
        <w:rPr>
          <w:rFonts w:ascii="Times New Roman" w:hAnsi="Times New Roman" w:cs="Times New Roman"/>
          <w:sz w:val="24"/>
          <w:szCs w:val="24"/>
        </w:rPr>
        <w:t>to inhibit renin activity</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&lt;EndNote&gt;&lt;Cite&gt;&lt;Author&gt;de Boer&lt;/Author&gt;&lt;Year&gt;2020&lt;/Year&gt;&lt;RecNum&gt;644&lt;/RecNum&gt;&lt;DisplayText&gt;(de Boer et al., 2020)&lt;/DisplayText&gt;&lt;record&gt;&lt;rec-number&gt;644&lt;/rec-number&gt;&lt;foreign-keys&gt;&lt;key app="EN" db-id="xt2exae0qv2t5meds5xxawr9ed5vrfdxvezw" timestamp="1735134334"&gt;644&lt;/key&gt;&lt;/foreign-keys&gt;&lt;ref-type name="Journal Article"&gt;17&lt;/ref-type&gt;&lt;contributors&gt;&lt;authors&gt;&lt;author&gt;de Boer, Ian H&lt;/author&gt;&lt;author&gt;Caramori, M Luiza&lt;/author&gt;&lt;author&gt;Chan, Juliana CN&lt;/author&gt;&lt;author&gt;Heerspink, Hiddo JL&lt;/author&gt;&lt;author&gt;Hurst, Clint&lt;/author&gt;&lt;author&gt;Khunti, Kamlesh&lt;/author&gt;&lt;author&gt;Liew, Adrian&lt;/author&gt;&lt;author&gt;Michos, Erin D&lt;/author&gt;&lt;author&gt;Navaneethan, Sankar D&lt;/author&gt;&lt;author&gt;Olowu, Wasiu A&lt;/author&gt;&lt;/authors&gt;&lt;/contributors&gt;&lt;titles&gt;&lt;title&gt;KDIGO 2020 clinical practice guideline for diabetes management in chronic kidney disease&lt;/title&gt;&lt;secondary-title&gt;Kidney international&lt;/secondary-title&gt;&lt;/titles&gt;&lt;periodical&gt;&lt;full-title&gt;Kidney international&lt;/full-title&gt;&lt;/periodical&gt;&lt;pages&gt;S1-S115&lt;/pages&gt;&lt;volume&gt;98&lt;/volume&gt;&lt;number&gt;4&lt;/number&gt;&lt;dates&gt;&lt;year&gt;2020&lt;/year&gt;&lt;/dates&gt;&lt;isbn&gt;0085-2538&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(de Boer et al., 2020)</w:t>
      </w:r>
      <w:r w:rsidR="00147A0D" w:rsidRPr="001E614D">
        <w:rPr>
          <w:rFonts w:ascii="Times New Roman" w:hAnsi="Times New Roman" w:cs="Times New Roman"/>
          <w:sz w:val="24"/>
          <w:szCs w:val="24"/>
        </w:rPr>
        <w:fldChar w:fldCharType="end"/>
      </w:r>
      <w:r w:rsidR="00F325FB" w:rsidRPr="001E614D">
        <w:rPr>
          <w:rFonts w:ascii="Times New Roman" w:hAnsi="Times New Roman" w:cs="Times New Roman"/>
          <w:sz w:val="24"/>
          <w:szCs w:val="24"/>
        </w:rPr>
        <w:t>.</w:t>
      </w:r>
      <w:r w:rsidRPr="001E614D">
        <w:rPr>
          <w:rFonts w:ascii="Times New Roman" w:hAnsi="Times New Roman" w:cs="Times New Roman"/>
          <w:sz w:val="24"/>
          <w:szCs w:val="24"/>
        </w:rPr>
        <w:t xml:space="preserve"> Additionally, new drugs are being developed to slow the progression of renal disease by targeting pathways downstream of proteinuria. For instance, pirfenidone, a TGF-β inhibitor, has demonstrated potential in reducing renal function decline. However, its safety profile is a concern, especially in diabetic patients, due to a high rate of treatment d</w:t>
      </w:r>
      <w:r w:rsidR="00F325FB" w:rsidRPr="001E614D">
        <w:rPr>
          <w:rFonts w:ascii="Times New Roman" w:hAnsi="Times New Roman" w:cs="Times New Roman"/>
          <w:sz w:val="24"/>
          <w:szCs w:val="24"/>
        </w:rPr>
        <w:t>iscontinuation in studies</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&lt;EndNote&gt;&lt;Cite&gt;&lt;Author&gt;Nakayama&lt;/Author&gt;&lt;Year&gt;2024&lt;/Year&gt;&lt;RecNum&gt;645&lt;/RecNum&gt;&lt;DisplayText&gt;(Nakayama, Kabayama, &amp;amp; Miyazaki, 2024)&lt;/DisplayText&gt;&lt;record&gt;&lt;rec-number&gt;645&lt;/rec-number&gt;&lt;foreign-keys&gt;&lt;key app="EN" db-id="xt2exae0qv2t5meds5xxawr9ed5vrfdxvezw" timestamp="1735134365"&gt;645&lt;/key&gt;&lt;/foreign-keys&gt;&lt;ref-type name="Journal Article"&gt;17&lt;/ref-type&gt;&lt;contributors&gt;&lt;authors&gt;&lt;author&gt;Nakayama, Masaaki&lt;/author&gt;&lt;author&gt;Kabayama, Shigeru&lt;/author&gt;&lt;author&gt;Miyazaki, Mariko&lt;/author&gt;&lt;/authors&gt;&lt;/contributors&gt;&lt;titles&gt;&lt;title&gt;Application of Electrolyzed Hydrogen Water for Management of Chronic Kidney Disease and Dialysis Treatment—Perspective View&lt;/title&gt;&lt;secondary-title&gt;Antioxidants&lt;/secondary-title&gt;&lt;/titles&gt;&lt;periodical&gt;&lt;full-title&gt;Antioxidants&lt;/full-title&gt;&lt;/periodical&gt;&lt;pages&gt;90&lt;/pages&gt;&lt;volume&gt;13&lt;/volume&gt;&lt;number&gt;1&lt;/number&gt;&lt;dates&gt;&lt;year&gt;2024&lt;/year&gt;&lt;/dates&gt;&lt;isbn&gt;2076-3921&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(Nakayama, Kabayama, &amp; Miyazaki, 2024)</w:t>
      </w:r>
      <w:r w:rsidR="00147A0D" w:rsidRPr="001E614D">
        <w:rPr>
          <w:rFonts w:ascii="Times New Roman" w:hAnsi="Times New Roman" w:cs="Times New Roman"/>
          <w:sz w:val="24"/>
          <w:szCs w:val="24"/>
        </w:rPr>
        <w:fldChar w:fldCharType="end"/>
      </w:r>
      <w:r w:rsidR="00F325FB" w:rsidRPr="001E614D">
        <w:rPr>
          <w:rFonts w:ascii="Times New Roman" w:hAnsi="Times New Roman" w:cs="Times New Roman"/>
          <w:sz w:val="24"/>
          <w:szCs w:val="24"/>
        </w:rPr>
        <w:t>.</w:t>
      </w:r>
    </w:p>
    <w:p w14:paraId="43E7002D" w14:textId="77777777" w:rsidR="00BC785A" w:rsidRPr="001E614D" w:rsidRDefault="00BC785A"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t xml:space="preserve">High blood pressure and albuminuria, key risk factors for cardiovascular and renal complications, are closely linked to low-grade inflammation. Growing evidence highlights the role of inflammation in CKD progression, offering potential new targets for treatment. One such anti-inflammatory agent, bindarit, inhibits monocyte </w:t>
      </w:r>
      <w:r w:rsidR="001E614D" w:rsidRPr="001E614D">
        <w:rPr>
          <w:rFonts w:ascii="Times New Roman" w:hAnsi="Times New Roman" w:cs="Times New Roman"/>
          <w:sz w:val="24"/>
          <w:szCs w:val="24"/>
        </w:rPr>
        <w:t>chemo attractant</w:t>
      </w:r>
      <w:r w:rsidRPr="001E614D">
        <w:rPr>
          <w:rFonts w:ascii="Times New Roman" w:hAnsi="Times New Roman" w:cs="Times New Roman"/>
          <w:sz w:val="24"/>
          <w:szCs w:val="24"/>
        </w:rPr>
        <w:t xml:space="preserve"> protein-1 (MCP-1) and has shown promise in slowing renal disease progression and improving survival in murine lupus models</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&lt;EndNote&gt;&lt;Cite&gt;&lt;Author&gt;Levin&lt;/Author&gt;&lt;Year&gt;2024&lt;/Year&gt;&lt;RecNum&gt;646&lt;/RecNum&gt;&lt;DisplayText&gt;(Levin et al., 2024)&lt;/DisplayText&gt;&lt;record&gt;&lt;rec-number&gt;646&lt;/rec-number&gt;&lt;foreign-keys&gt;&lt;key app="EN" db-id="xt2exae0qv2t5meds5xxawr9ed5vrfdxvezw" timestamp="1735134392"&gt;646&lt;/key&gt;&lt;/foreign-keys&gt;&lt;ref-type name="Journal Article"&gt;17&lt;/ref-type&gt;&lt;contributors&gt;&lt;authors&gt;&lt;author&gt;Levin, Adeera&lt;/author&gt;&lt;author&gt;Ahmed, Sofia B&lt;/author&gt;&lt;author&gt;Carrero, Juan Jesus&lt;/author&gt;&lt;author&gt;Foster, Bethany&lt;/author&gt;&lt;author&gt;Francis, Anna&lt;/author&gt;&lt;author&gt;Hall, Rasheeda K&lt;/author&gt;&lt;author&gt;Herrington, Will G&lt;/author&gt;&lt;author&gt;Hill, Guy&lt;/author&gt;&lt;author&gt;Inker, Lesley A&lt;/author&gt;&lt;author&gt;Kazancıoğlu, Rümeyza&lt;/author&gt;&lt;/authors&gt;&lt;/contributors&gt;&lt;titles&gt;&lt;title&gt;Executive summary of the KDIGO 2024 Clinical Practice Guideline for the Evaluation and Management of Chronic Kidney Disease: known knowns and known unknowns&lt;/title&gt;&lt;secondary-title&gt;Kidney international&lt;/secondary-title&gt;&lt;/titles&gt;&lt;periodical&gt;&lt;full-title&gt;Kidney international&lt;/full-title&gt;&lt;/periodical&gt;&lt;pages&gt;684-701&lt;/pages&gt;&lt;volume&gt;105&lt;/volume&gt;&lt;number&gt;4&lt;/number&gt;&lt;dates&gt;&lt;year&gt;2024&lt;/year&gt;&lt;/dates&gt;&lt;isbn&gt;0085-2538&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(Levin et al., 2024)</w:t>
      </w:r>
      <w:r w:rsidR="00147A0D" w:rsidRPr="001E614D">
        <w:rPr>
          <w:rFonts w:ascii="Times New Roman" w:hAnsi="Times New Roman" w:cs="Times New Roman"/>
          <w:sz w:val="24"/>
          <w:szCs w:val="24"/>
        </w:rPr>
        <w:fldChar w:fldCharType="end"/>
      </w:r>
      <w:r w:rsidRPr="001E614D">
        <w:rPr>
          <w:rFonts w:ascii="Times New Roman" w:hAnsi="Times New Roman" w:cs="Times New Roman"/>
          <w:sz w:val="24"/>
          <w:szCs w:val="24"/>
        </w:rPr>
        <w:t>. (1,3)</w:t>
      </w:r>
      <w:r w:rsidR="00D20680" w:rsidRPr="001E614D">
        <w:rPr>
          <w:rFonts w:ascii="Times New Roman" w:hAnsi="Times New Roman" w:cs="Times New Roman"/>
          <w:sz w:val="24"/>
          <w:szCs w:val="24"/>
        </w:rPr>
        <w:t xml:space="preserve"> </w:t>
      </w:r>
      <w:r w:rsidRPr="001E614D">
        <w:rPr>
          <w:rFonts w:ascii="Times New Roman" w:hAnsi="Times New Roman" w:cs="Times New Roman"/>
          <w:sz w:val="24"/>
          <w:szCs w:val="24"/>
        </w:rPr>
        <w:t xml:space="preserve">The endothelin system is persistently activated in nephropathy, </w:t>
      </w:r>
      <w:r w:rsidRPr="001E614D">
        <w:rPr>
          <w:rFonts w:ascii="Times New Roman" w:hAnsi="Times New Roman" w:cs="Times New Roman"/>
          <w:sz w:val="24"/>
          <w:szCs w:val="24"/>
        </w:rPr>
        <w:lastRenderedPageBreak/>
        <w:t>with endothelin binding to ETA receptors causing vasoconstriction, sodium retention, podocyte dysfunction, and subsequent glomerular damage, proteinuria, and renal decline. Blocking ETA receptors presents a potential strategy to reduce renal complications. Additionally, endothelin's interaction with tubular proteins may contribu</w:t>
      </w:r>
      <w:r w:rsidR="00F325FB" w:rsidRPr="001E614D">
        <w:rPr>
          <w:rFonts w:ascii="Times New Roman" w:hAnsi="Times New Roman" w:cs="Times New Roman"/>
          <w:sz w:val="24"/>
          <w:szCs w:val="24"/>
        </w:rPr>
        <w:t>te to renal fibrosis</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&lt;EndNote&gt;&lt;Cite&gt;&lt;Author&gt;Elkeraie&lt;/Author&gt;&lt;Year&gt;2024&lt;/Year&gt;&lt;RecNum&gt;647&lt;/RecNum&gt;&lt;DisplayText&gt;(Elkeraie et al., 2024)&lt;/DisplayText&gt;&lt;record&gt;&lt;rec-number&gt;647&lt;/rec-number&gt;&lt;foreign-keys&gt;&lt;key app="EN" db-id="xt2exae0qv2t5meds5xxawr9ed5vrfdxvezw" timestamp="1735134416"&gt;647&lt;/key&gt;&lt;/foreign-keys&gt;&lt;ref-type name="Journal Article"&gt;17&lt;/ref-type&gt;&lt;contributors&gt;&lt;authors&gt;&lt;author&gt;Elkeraie, Ahmed Fathi&lt;/author&gt;&lt;author&gt;Al-Ghamdi, Saeed&lt;/author&gt;&lt;author&gt;Abu-Alfa, Ali K&lt;/author&gt;&lt;author&gt;Alotaibi, Torki&lt;/author&gt;&lt;author&gt;AlSaedi, Ali Jasim&lt;/author&gt;&lt;author&gt;AlSuwaida, Abdulkareem&lt;/author&gt;&lt;author&gt;Arici, Mustafa&lt;/author&gt;&lt;author&gt;Ecder, Tevfik&lt;/author&gt;&lt;author&gt;Ghnaimat, Mohammad&lt;/author&gt;&lt;author&gt;Hafez, Mohamed Hany&lt;/author&gt;&lt;/authors&gt;&lt;/contributors&gt;&lt;titles&gt;&lt;title&gt;Impact of Sodium-Glucose Cotransporter-2 inhibitors in the management of chronic kidney disease: A Middle East and Africa perspective&lt;/title&gt;&lt;secondary-title&gt;International Journal of Nephrology and Renovascular Disease&lt;/secondary-title&gt;&lt;/titles&gt;&lt;periodical&gt;&lt;full-title&gt;International Journal of Nephrology and Renovascular Disease&lt;/full-title&gt;&lt;/periodical&gt;&lt;pages&gt;1-16&lt;/pages&gt;&lt;dates&gt;&lt;year&gt;2024&lt;/year&gt;&lt;/dates&gt;&lt;isbn&gt;1178-7058&lt;/isbn&gt;&lt;urls&gt;&lt;/urls&gt;&lt;/record&gt;&lt;/Cite&gt;&lt;/EndNote&gt;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(Elkeraie et al., 2024)</w:t>
      </w:r>
      <w:r w:rsidR="00147A0D" w:rsidRPr="001E614D">
        <w:rPr>
          <w:rFonts w:ascii="Times New Roman" w:hAnsi="Times New Roman" w:cs="Times New Roman"/>
          <w:sz w:val="24"/>
          <w:szCs w:val="24"/>
        </w:rPr>
        <w:fldChar w:fldCharType="end"/>
      </w:r>
      <w:r w:rsidR="00F325FB" w:rsidRPr="001E614D">
        <w:rPr>
          <w:rFonts w:ascii="Times New Roman" w:hAnsi="Times New Roman" w:cs="Times New Roman"/>
          <w:sz w:val="24"/>
          <w:szCs w:val="24"/>
        </w:rPr>
        <w:t>.</w:t>
      </w:r>
      <w:r w:rsidR="00D20680" w:rsidRPr="001E614D">
        <w:rPr>
          <w:rFonts w:ascii="Times New Roman" w:hAnsi="Times New Roman" w:cs="Times New Roman"/>
          <w:sz w:val="24"/>
          <w:szCs w:val="24"/>
        </w:rPr>
        <w:t xml:space="preserve"> </w:t>
      </w:r>
      <w:r w:rsidRPr="001E614D">
        <w:rPr>
          <w:rFonts w:ascii="Times New Roman" w:hAnsi="Times New Roman" w:cs="Times New Roman"/>
          <w:sz w:val="24"/>
          <w:szCs w:val="24"/>
        </w:rPr>
        <w:t xml:space="preserve">Monocyte </w:t>
      </w:r>
      <w:r w:rsidR="001E614D" w:rsidRPr="001E614D">
        <w:rPr>
          <w:rFonts w:ascii="Times New Roman" w:hAnsi="Times New Roman" w:cs="Times New Roman"/>
          <w:sz w:val="24"/>
          <w:szCs w:val="24"/>
        </w:rPr>
        <w:t>chemo attractant</w:t>
      </w:r>
      <w:r w:rsidRPr="001E614D">
        <w:rPr>
          <w:rFonts w:ascii="Times New Roman" w:hAnsi="Times New Roman" w:cs="Times New Roman"/>
          <w:sz w:val="24"/>
          <w:szCs w:val="24"/>
        </w:rPr>
        <w:t xml:space="preserve"> protein-1 (MCP-1), a powerful cytokine, is crucial in triggering and maintaining chronic inflammation in renal tissues. It stimulates the activation of monocytes, macrophages, and other pro-inflammatory cytokines. Evidence suggests that inhibiting MCP-1 can lower albuminuria and enhan</w:t>
      </w:r>
      <w:r w:rsidR="00F325FB" w:rsidRPr="001E614D">
        <w:rPr>
          <w:rFonts w:ascii="Times New Roman" w:hAnsi="Times New Roman" w:cs="Times New Roman"/>
          <w:sz w:val="24"/>
          <w:szCs w:val="24"/>
        </w:rPr>
        <w:t>ce long-term renal function</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&lt;EndNote&gt;&lt;Cite&gt;&lt;Author&gt;Samal&lt;/Author&gt;&lt;Year&gt;2024&lt;/Year&gt;&lt;RecNum&gt;648&lt;/RecNum&gt;&lt;DisplayText&gt;(Samal et al., 2024)&lt;/DisplayText&gt;&lt;record&gt;&lt;rec-number&gt;648&lt;/rec-number&gt;&lt;foreign-keys&gt;&lt;key app="EN" db-id="xt2exae0qv2t5meds5xxawr9ed5vrfdxvezw" timestamp="1735134440"&gt;648&lt;/key&gt;&lt;/foreign-keys&gt;&lt;ref-type name="Journal Article"&gt;17&lt;/ref-type&gt;&lt;contributors&gt;&lt;authors&gt;&lt;author&gt;Samal, Lipika&lt;/author&gt;&lt;author&gt;Kilgallon, John L&lt;/author&gt;&lt;author&gt;Lipsitz, Stuart&lt;/author&gt;&lt;author&gt;Baer, Heather J&lt;/author&gt;&lt;author&gt;McCoy, Allison&lt;/author&gt;&lt;author&gt;Gannon, Michael&lt;/author&gt;&lt;author&gt;Noonan, Sarah&lt;/author&gt;&lt;author&gt;Dunk, Ryan&lt;/author&gt;&lt;author&gt;Chen, Sarah W&lt;/author&gt;&lt;author&gt;Chay, Weng Ian&lt;/author&gt;&lt;/authors&gt;&lt;/contributors&gt;&lt;titles&gt;&lt;title&gt;Clinical decision support for hypertension management in chronic kidney disease: a randomized clinical trial&lt;/title&gt;&lt;secondary-title&gt;JAMA Internal Medicine&lt;/secondary-title&gt;&lt;/titles&gt;&lt;periodical&gt;&lt;full-title&gt;JAMA Internal Medicine&lt;/full-title&gt;&lt;/periodical&gt;&lt;pages&gt;484-492&lt;/pages&gt;&lt;volume&gt;184&lt;/volume&gt;&lt;number&gt;5&lt;/number&gt;&lt;dates&gt;&lt;year&gt;2024&lt;/year&gt;&lt;/dates&gt;&lt;isbn&gt;2168-6106&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(Samal et al., 2024)</w:t>
      </w:r>
      <w:r w:rsidR="00147A0D" w:rsidRPr="001E614D">
        <w:rPr>
          <w:rFonts w:ascii="Times New Roman" w:hAnsi="Times New Roman" w:cs="Times New Roman"/>
          <w:sz w:val="24"/>
          <w:szCs w:val="24"/>
        </w:rPr>
        <w:fldChar w:fldCharType="end"/>
      </w:r>
      <w:r w:rsidR="00F325FB" w:rsidRPr="001E614D">
        <w:rPr>
          <w:rFonts w:ascii="Times New Roman" w:hAnsi="Times New Roman" w:cs="Times New Roman"/>
          <w:sz w:val="24"/>
          <w:szCs w:val="24"/>
        </w:rPr>
        <w:t>.</w:t>
      </w:r>
    </w:p>
    <w:p w14:paraId="0FFE8801" w14:textId="77777777" w:rsidR="00BC785A" w:rsidRPr="001E614D" w:rsidRDefault="00BC785A" w:rsidP="001E614D">
      <w:pPr>
        <w:spacing w:line="360" w:lineRule="auto"/>
        <w:jc w:val="both"/>
        <w:rPr>
          <w:rFonts w:ascii="Times New Roman" w:hAnsi="Times New Roman" w:cs="Times New Roman"/>
          <w:b/>
          <w:bCs/>
          <w:sz w:val="24"/>
          <w:szCs w:val="24"/>
          <w:u w:val="single"/>
        </w:rPr>
      </w:pPr>
      <w:r w:rsidRPr="001E614D">
        <w:rPr>
          <w:rFonts w:ascii="Times New Roman" w:hAnsi="Times New Roman" w:cs="Times New Roman"/>
          <w:b/>
          <w:bCs/>
          <w:sz w:val="24"/>
          <w:szCs w:val="24"/>
        </w:rPr>
        <w:t>Dialysis</w:t>
      </w:r>
    </w:p>
    <w:p w14:paraId="32B4570B" w14:textId="77777777" w:rsidR="00BC785A" w:rsidRPr="001E614D" w:rsidRDefault="00BC785A"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t>Dialysis is the process of removing waste and excess water from the blood, serving as an artificial substitute for kidney function, particularly in cases of renal failure. While dialysis cannot fully replicate the kidneys' functions, it partially manages them through diffusion and ultrafiltration</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&lt;EndNote&gt;&lt;Cite&gt;&lt;Author&gt;Himmelfarb&lt;/Author&gt;&lt;Year&gt;2020&lt;/Year&gt;&lt;RecNum&gt;649&lt;/RecNum&gt;&lt;DisplayText&gt;(Himmelfarb, Vanholder, Mehrotra, &amp;amp; Tonelli, 2020)&lt;/DisplayText&gt;&lt;record&gt;&lt;rec-number&gt;649&lt;/rec-number&gt;&lt;foreign-keys&gt;&lt;key app="EN" db-id="xt2exae0qv2t5meds5xxawr9ed5vrfdxvezw" timestamp="1735134478"&gt;649&lt;/key&gt;&lt;/foreign-keys&gt;&lt;ref-type name="Journal Article"&gt;17&lt;/ref-type&gt;&lt;contributors&gt;&lt;authors&gt;&lt;author&gt;Himmelfarb, Jonathan&lt;/author&gt;&lt;author&gt;Vanholder, Raymond&lt;/author&gt;&lt;author&gt;Mehrotra, Rajnish&lt;/author&gt;&lt;author&gt;Tonelli, Marcello&lt;/author&gt;&lt;/authors&gt;&lt;/contributors&gt;&lt;titles&gt;&lt;title&gt;The current and future landscape of dialysis&lt;/title&gt;&lt;secondary-title&gt;Nature Reviews Nephrology&lt;/secondary-title&gt;&lt;/titles&gt;&lt;periodical&gt;&lt;full-title&gt;Nature Reviews Nephrology&lt;/full-title&gt;&lt;/periodical&gt;&lt;pages&gt;573-585&lt;/pages&gt;&lt;volume&gt;16&lt;/volume&gt;&lt;number&gt;10&lt;/number&gt;&lt;dates&gt;&lt;year&gt;2020&lt;/year&gt;&lt;/dates&gt;&lt;isbn&gt;1759-5061&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(Himmelfarb, Vanholder, Mehrotra, &amp; Tonelli, 2020)</w:t>
      </w:r>
      <w:r w:rsidR="00147A0D" w:rsidRPr="001E614D">
        <w:rPr>
          <w:rFonts w:ascii="Times New Roman" w:hAnsi="Times New Roman" w:cs="Times New Roman"/>
          <w:sz w:val="24"/>
          <w:szCs w:val="24"/>
        </w:rPr>
        <w:fldChar w:fldCharType="end"/>
      </w:r>
      <w:r w:rsidRPr="001E614D">
        <w:rPr>
          <w:rFonts w:ascii="Times New Roman" w:hAnsi="Times New Roman" w:cs="Times New Roman"/>
          <w:sz w:val="24"/>
          <w:szCs w:val="24"/>
        </w:rPr>
        <w:t>. This procedure becomes necessary in chronic renal failure (CRF) when the glomerular filtration rate drops below 15 ml/min/1.73m². Dialysis can be performed through two methods: hemodialysis, which uses a machine or artificial kidney-like device, and peritoneal dialysis, which employs the peritoneal membrane as a filter</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&lt;EndNote&gt;&lt;Cite&gt;&lt;Author&gt;Cozzolino&lt;/Author&gt;&lt;Year&gt;2018&lt;/Year&gt;&lt;RecNum&gt;650&lt;/RecNum&gt;&lt;DisplayText&gt;(Cozzolino et al., 2018)&lt;/DisplayText&gt;&lt;record&gt;&lt;rec-number&gt;650&lt;/rec-number&gt;&lt;foreign-keys&gt;&lt;key app="EN" db-id="xt2exae0qv2t5meds5xxawr9ed5vrfdxvezw" timestamp="1735134507"&gt;650&lt;/key&gt;&lt;/foreign-keys&gt;&lt;ref-type name="Journal Article"&gt;17&lt;/ref-type&gt;&lt;contributors&gt;&lt;authors&gt;&lt;author&gt;Cozzolino, Mario&lt;/author&gt;&lt;author&gt;Mangano, Michela&lt;/author&gt;&lt;author&gt;Stucchi, Andrea&lt;/author&gt;&lt;author&gt;Ciceri, Paola&lt;/author&gt;&lt;author&gt;Conte, Ferruccio&lt;/author&gt;&lt;author&gt;Galassi, Andrea&lt;/author&gt;&lt;/authors&gt;&lt;/contributors&gt;&lt;titles&gt;&lt;title&gt;Cardiovascular disease in dialysis patients&lt;/title&gt;&lt;secondary-title&gt;Nephrology Dialysis Transplantation&lt;/secondary-title&gt;&lt;/titles&gt;&lt;periodical&gt;&lt;full-title&gt;Nephrology Dialysis Transplantation&lt;/full-title&gt;&lt;/periodical&gt;&lt;pages&gt;iii28-iii34&lt;/pages&gt;&lt;volume&gt;33&lt;/volume&gt;&lt;number&gt;suppl_3&lt;/number&gt;&lt;dates&gt;&lt;year&gt;2018&lt;/year&gt;&lt;/dates&gt;&lt;isbn&gt;0931-0509&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(Cozzolino et al., 2018)</w:t>
      </w:r>
      <w:r w:rsidR="00147A0D" w:rsidRPr="001E614D">
        <w:rPr>
          <w:rFonts w:ascii="Times New Roman" w:hAnsi="Times New Roman" w:cs="Times New Roman"/>
          <w:sz w:val="24"/>
          <w:szCs w:val="24"/>
        </w:rPr>
        <w:fldChar w:fldCharType="end"/>
      </w:r>
      <w:r w:rsidRPr="001E614D">
        <w:rPr>
          <w:rFonts w:ascii="Times New Roman" w:hAnsi="Times New Roman" w:cs="Times New Roman"/>
          <w:sz w:val="24"/>
          <w:szCs w:val="24"/>
        </w:rPr>
        <w:t>. The core mechanism of dialysis involves the diffusion of solutes across a semipermeable membrane. Metabolic waste products like urea and creatinine move down their concentration gradients from the blood into the dialysate. However, patients undergoing dialysis, especially during the first three months of hemodialysis, face a high mortality rate</w:t>
      </w:r>
      <w:r w:rsidR="00147A0D" w:rsidRPr="001E614D">
        <w:rPr>
          <w:rFonts w:ascii="Times New Roman" w:hAnsi="Times New Roman" w:cs="Times New Roman"/>
          <w:sz w:val="24"/>
          <w:szCs w:val="24"/>
        </w:rPr>
        <w:fldChar w:fldCharType="begin"/>
      </w:r>
      <w:r w:rsidR="005E55DD" w:rsidRPr="001E614D">
        <w:rPr>
          <w:rFonts w:ascii="Times New Roman" w:hAnsi="Times New Roman" w:cs="Times New Roman"/>
          <w:sz w:val="24"/>
          <w:szCs w:val="24"/>
        </w:rPr>
        <w:instrText xml:space="preserve"> ADDIN EN.CITE &lt;EndNote&gt;&lt;Cite&gt;&lt;Author&gt;Li&lt;/Author&gt;&lt;Year&gt;2017&lt;/Year&gt;&lt;RecNum&gt;651&lt;/RecNum&gt;&lt;DisplayText&gt;(P. K.-T. Li et al., 2017)&lt;/DisplayText&gt;&lt;record&gt;&lt;rec-number&gt;651&lt;/rec-number&gt;&lt;foreign-keys&gt;&lt;key app="EN" db-id="xt2exae0qv2t5meds5xxawr9ed5vrfdxvezw" timestamp="1735134531"&gt;651&lt;/key&gt;&lt;/foreign-keys&gt;&lt;ref-type name="Journal Article"&gt;17&lt;/ref-type&gt;&lt;contributors&gt;&lt;authors&gt;&lt;author&gt;Li, Philip Kam-Tao&lt;/author&gt;&lt;author&gt;Chow, Kai Ming&lt;/author&gt;&lt;author&gt;Van de Luijtgaarden, Moniek WM&lt;/author&gt;&lt;author&gt;Johnson, David W&lt;/author&gt;&lt;author&gt;Jager, Kitty J&lt;/author&gt;&lt;author&gt;Mehrotra, Rajnish&lt;/author&gt;&lt;author&gt;Naicker, Sarala&lt;/author&gt;&lt;author&gt;Pecoits-Filho, Roberto&lt;/author&gt;&lt;author&gt;Yu, Xue Qing&lt;/author&gt;&lt;author&gt;Lameire, Norbert&lt;/author&gt;&lt;/authors&gt;&lt;/contributors&gt;&lt;titles&gt;&lt;title&gt;Changes in the worldwide epidemiology of peritoneal dialysis&lt;/title&gt;&lt;secondary-title&gt;Nature Reviews Nephrology&lt;/secondary-title&gt;&lt;/titles&gt;&lt;periodical&gt;&lt;full-title&gt;Nature Reviews Nephrology&lt;/full-title&gt;&lt;/periodical&gt;&lt;pages&gt;90-103&lt;/pages&gt;&lt;volume&gt;13&lt;/volume&gt;&lt;number&gt;2&lt;/number&gt;&lt;dates&gt;&lt;year&gt;2017&lt;/year&gt;&lt;/dates&gt;&lt;isbn&gt;1759-5061&lt;/isbn&gt;&lt;urls&gt;&lt;/urls&gt;&lt;/record&gt;&lt;/Cite&gt;&lt;/EndNote&gt;</w:instrText>
      </w:r>
      <w:r w:rsidR="00147A0D" w:rsidRPr="001E614D">
        <w:rPr>
          <w:rFonts w:ascii="Times New Roman" w:hAnsi="Times New Roman" w:cs="Times New Roman"/>
          <w:sz w:val="24"/>
          <w:szCs w:val="24"/>
        </w:rPr>
        <w:fldChar w:fldCharType="separate"/>
      </w:r>
      <w:r w:rsidR="005E55DD" w:rsidRPr="001E614D">
        <w:rPr>
          <w:rFonts w:ascii="Times New Roman" w:hAnsi="Times New Roman" w:cs="Times New Roman"/>
          <w:noProof/>
          <w:sz w:val="24"/>
          <w:szCs w:val="24"/>
        </w:rPr>
        <w:t>(P. K.-T. Li et al., 2017)</w:t>
      </w:r>
      <w:r w:rsidR="00147A0D"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Hypotension, often caused by ultrafiltration-induced volume depletion, is the most common complication during dialysis. Other adverse </w:t>
      </w:r>
      <w:r w:rsidR="00F325FB" w:rsidRPr="001E614D">
        <w:rPr>
          <w:rFonts w:ascii="Times New Roman" w:hAnsi="Times New Roman" w:cs="Times New Roman"/>
          <w:sz w:val="24"/>
          <w:szCs w:val="24"/>
        </w:rPr>
        <w:t>effects include hypersensitivity reactions, ranging from mild itching and hive</w:t>
      </w:r>
      <w:r w:rsidRPr="001E614D">
        <w:rPr>
          <w:rFonts w:ascii="Times New Roman" w:hAnsi="Times New Roman" w:cs="Times New Roman"/>
          <w:sz w:val="24"/>
          <w:szCs w:val="24"/>
        </w:rPr>
        <w:t xml:space="preserve"> to severe anaphylactic shock. These reactions may result from allergies to ethylene oxide, used for sterilizing the dialyzer, or from sensitivity to certain membrane materials like polyacrylonitrile. Notably, polyacrylonitrile-related reactions are more common in patients using angiotensin-converting </w:t>
      </w:r>
      <w:r w:rsidR="00F325FB" w:rsidRPr="001E614D">
        <w:rPr>
          <w:rFonts w:ascii="Times New Roman" w:hAnsi="Times New Roman" w:cs="Times New Roman"/>
          <w:sz w:val="24"/>
          <w:szCs w:val="24"/>
        </w:rPr>
        <w:t>enzyme (ACE) inhibitors</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&lt;EndNote&gt;&lt;Cite&gt;&lt;Author&gt;Bello&lt;/Author&gt;&lt;Year&gt;2022&lt;/Year&gt;&lt;RecNum&gt;652&lt;/RecNum&gt;&lt;DisplayText&gt;(Bello et al., 2022)&lt;/DisplayText&gt;&lt;record&gt;&lt;rec-number&gt;652&lt;/rec-number&gt;&lt;foreign-keys&gt;&lt;key app="EN" db-id="xt2exae0qv2t5meds5xxawr9ed5vrfdxvezw" timestamp="1735134563"&gt;652&lt;/key&gt;&lt;/foreign-keys&gt;&lt;ref-type name="Journal Article"&gt;17&lt;/ref-type&gt;&lt;contributors&gt;&lt;authors&gt;&lt;author&gt;Bello, Aminu K&lt;/author&gt;&lt;author&gt;Okpechi, Ikechi G&lt;/author&gt;&lt;author&gt;Osman, Mohamed A&lt;/author&gt;&lt;author&gt;Cho, Yeoungjee&lt;/author&gt;&lt;author&gt;Cullis, Brett&lt;/author&gt;&lt;author&gt;Htay, Htay&lt;/author&gt;&lt;author&gt;Jha, Vivekanand&lt;/author&gt;&lt;author&gt;Makusidi, Muhammad A&lt;/author&gt;&lt;author&gt;McCulloch, Mignon&lt;/author&gt;&lt;author&gt;Shah, Nikhil&lt;/author&gt;&lt;/authors&gt;&lt;/contributors&gt;&lt;titles&gt;&lt;title&gt;Epidemiology of peritoneal dialysis outcomes&lt;/title&gt;&lt;secondary-title&gt;Nature Reviews Nephrology&lt;/secondary-title&gt;&lt;/titles&gt;&lt;periodical&gt;&lt;full-title&gt;Nature Reviews Nephrology&lt;/full-title&gt;&lt;/periodical&gt;&lt;pages&gt;779-793&lt;/pages&gt;&lt;volume&gt;18&lt;/volume&gt;&lt;number&gt;12&lt;/number&gt;&lt;dates&gt;&lt;year&gt;2022&lt;/year&gt;&lt;/dates&gt;&lt;isbn&gt;1759-5061&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(Bello et al., 2022)</w:t>
      </w:r>
      <w:r w:rsidR="00147A0D" w:rsidRPr="001E614D">
        <w:rPr>
          <w:rFonts w:ascii="Times New Roman" w:hAnsi="Times New Roman" w:cs="Times New Roman"/>
          <w:sz w:val="24"/>
          <w:szCs w:val="24"/>
        </w:rPr>
        <w:fldChar w:fldCharType="end"/>
      </w:r>
      <w:r w:rsidR="00F325FB" w:rsidRPr="001E614D">
        <w:rPr>
          <w:rFonts w:ascii="Times New Roman" w:hAnsi="Times New Roman" w:cs="Times New Roman"/>
          <w:sz w:val="24"/>
          <w:szCs w:val="24"/>
        </w:rPr>
        <w:t>.</w:t>
      </w:r>
    </w:p>
    <w:p w14:paraId="4B7C222D" w14:textId="77777777" w:rsidR="00BC785A" w:rsidRPr="001E614D" w:rsidRDefault="00BC785A"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t xml:space="preserve">When prescribing for dialysis patients, it is crucial to determine whether a drug undergoes renal clearance and if dose adjustments are necessary. Adjustments can involve lowering the dose, extending the dosing interval, or combining both strategies. The key factors influencing dose </w:t>
      </w:r>
      <w:r w:rsidRPr="001E614D">
        <w:rPr>
          <w:rFonts w:ascii="Times New Roman" w:hAnsi="Times New Roman" w:cs="Times New Roman"/>
          <w:sz w:val="24"/>
          <w:szCs w:val="24"/>
        </w:rPr>
        <w:lastRenderedPageBreak/>
        <w:t>modification in dialysis patients are the drug’s renal clearance and therapeutic index</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&lt;EndNote&gt;&lt;Cite&gt;&lt;Author&gt;Neves&lt;/Author&gt;&lt;Year&gt;2021&lt;/Year&gt;&lt;RecNum&gt;653&lt;/RecNum&gt;&lt;DisplayText&gt;(Neves, Sesso, Thomé, Lugon, &amp;amp; Nascimento, 2021)&lt;/DisplayText&gt;&lt;record&gt;&lt;rec-number&gt;653&lt;/rec-number&gt;&lt;foreign-keys&gt;&lt;key app="EN" db-id="xt2exae0qv2t5meds5xxawr9ed5vrfdxvezw" timestamp="1735134590"&gt;653&lt;/key&gt;&lt;/foreign-keys&gt;&lt;ref-type name="Journal Article"&gt;17&lt;/ref-type&gt;&lt;contributors&gt;&lt;authors&gt;&lt;author&gt;Neves, Precil Diego Miranda de Menezes&lt;/author&gt;&lt;author&gt;Sesso, Ricardo de Castro Cintra&lt;/author&gt;&lt;author&gt;Thomé, Fernando Saldanha&lt;/author&gt;&lt;author&gt;Lugon, Jocemir Ronaldo&lt;/author&gt;&lt;author&gt;Nascimento, Marcelo Mazza&lt;/author&gt;&lt;/authors&gt;&lt;/contributors&gt;&lt;titles&gt;&lt;title&gt;Brazilian dialysis survey 2019&lt;/title&gt;&lt;secondary-title&gt;Brazilian Journal of Nephrology&lt;/secondary-title&gt;&lt;/titles&gt;&lt;periodical&gt;&lt;full-title&gt;Brazilian Journal of Nephrology&lt;/full-title&gt;&lt;/periodical&gt;&lt;pages&gt;217-227&lt;/pages&gt;&lt;volume&gt;43&lt;/volume&gt;&lt;dates&gt;&lt;year&gt;2021&lt;/year&gt;&lt;/dates&gt;&lt;isbn&gt;0101-2800&lt;/isbn&gt;&lt;urls&gt;&lt;/urls&gt;&lt;/record&gt;&lt;/Cite&gt;&lt;/EndNote&gt;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(Neves, Sesso, Thomé, Lugon, &amp; Nascimento, 2021)</w:t>
      </w:r>
      <w:r w:rsidR="00147A0D" w:rsidRPr="001E614D">
        <w:rPr>
          <w:rFonts w:ascii="Times New Roman" w:hAnsi="Times New Roman" w:cs="Times New Roman"/>
          <w:sz w:val="24"/>
          <w:szCs w:val="24"/>
        </w:rPr>
        <w:fldChar w:fldCharType="end"/>
      </w:r>
      <w:r w:rsidRPr="001E614D">
        <w:rPr>
          <w:rFonts w:ascii="Times New Roman" w:hAnsi="Times New Roman" w:cs="Times New Roman"/>
          <w:sz w:val="24"/>
          <w:szCs w:val="24"/>
        </w:rPr>
        <w:t>. Dialysis patients experience extracorporeal clearance of small molecules, including many medications. Hemodialysis, being intermittent, can lead to relatively rapid drug clearance, posing challenges, particularly for once-daily medications like antibiotics. In contrast, peritoneal dialysis offers slower and steadier clearance, making timing less critical. Pain management in dialysis patients is often inadequate</w:t>
      </w:r>
      <w:r w:rsidR="00147A0D" w:rsidRPr="001E614D">
        <w:rPr>
          <w:rFonts w:ascii="Times New Roman" w:hAnsi="Times New Roman" w:cs="Times New Roman"/>
          <w:sz w:val="24"/>
          <w:szCs w:val="24"/>
        </w:rPr>
        <w:fldChar w:fldCharType="begin"/>
      </w:r>
      <w:r w:rsidR="00147A0D" w:rsidRPr="001E614D">
        <w:rPr>
          <w:rFonts w:ascii="Times New Roman" w:hAnsi="Times New Roman" w:cs="Times New Roman"/>
          <w:sz w:val="24"/>
          <w:szCs w:val="24"/>
        </w:rPr>
        <w:instrText xml:space="preserve"> ADDIN EN.CITE &lt;EndNote&gt;&lt;Cite&gt;&lt;Author&gt;Chen&lt;/Author&gt;&lt;Year&gt;2019&lt;/Year&gt;&lt;RecNum&gt;654&lt;/RecNum&gt;&lt;DisplayText&gt;(N. Chen et al., 2019)&lt;/DisplayText&gt;&lt;record&gt;&lt;rec-number&gt;654&lt;/rec-number&gt;&lt;foreign-keys&gt;&lt;key app="EN" db-id="xt2exae0qv2t5meds5xxawr9ed5vrfdxvezw" timestamp="1735134965"&gt;654&lt;/key&gt;&lt;/foreign-keys&gt;&lt;ref-type name="Journal Article"&gt;17&lt;/ref-type&gt;&lt;contributors&gt;&lt;authors&gt;&lt;author&gt;Chen, Nan&lt;/author&gt;&lt;author&gt;Hao, Chuanming&lt;/author&gt;&lt;author&gt;Liu, Bi-Cheng&lt;/author&gt;&lt;author&gt;Lin, Hongli&lt;/author&gt;&lt;author&gt;Wang, Caili&lt;/author&gt;&lt;author&gt;Xing, Changying&lt;/author&gt;&lt;author&gt;Liang, Xinling&lt;/author&gt;&lt;author&gt;Jiang, Gengru&lt;/author&gt;&lt;author&gt;Liu, Zhengrong&lt;/author&gt;&lt;author&gt;Li, Xuemei&lt;/author&gt;&lt;/authors&gt;&lt;/contributors&gt;&lt;titles&gt;&lt;title&gt;Roxadustat treatment for anemia in patients undergoing long-term dialysis&lt;/title&gt;&lt;secondary-title&gt;New England Journal of Medicine&lt;/secondary-title&gt;&lt;/titles&gt;&lt;periodical&gt;&lt;full-title&gt;New England Journal of Medicine&lt;/full-title&gt;&lt;/periodical&gt;&lt;pages&gt;1011-1022&lt;/pages&gt;&lt;volume&gt;381&lt;/volume&gt;&lt;number&gt;11&lt;/number&gt;&lt;dates&gt;&lt;year&gt;2019&lt;/year&gt;&lt;/dates&gt;&lt;isbn&gt;0028-4793&lt;/isbn&gt;&lt;urls&gt;&lt;/urls&gt;&lt;/record&gt;&lt;/Cite&gt;&lt;/EndNote&gt;</w:instrText>
      </w:r>
      <w:r w:rsidR="00147A0D" w:rsidRPr="001E614D">
        <w:rPr>
          <w:rFonts w:ascii="Times New Roman" w:hAnsi="Times New Roman" w:cs="Times New Roman"/>
          <w:sz w:val="24"/>
          <w:szCs w:val="24"/>
        </w:rPr>
        <w:fldChar w:fldCharType="separate"/>
      </w:r>
      <w:r w:rsidR="00147A0D" w:rsidRPr="001E614D">
        <w:rPr>
          <w:rFonts w:ascii="Times New Roman" w:hAnsi="Times New Roman" w:cs="Times New Roman"/>
          <w:noProof/>
          <w:sz w:val="24"/>
          <w:szCs w:val="24"/>
        </w:rPr>
        <w:t>(N. Chen et al., 2019)</w:t>
      </w:r>
      <w:r w:rsidR="00147A0D" w:rsidRPr="001E614D">
        <w:rPr>
          <w:rFonts w:ascii="Times New Roman" w:hAnsi="Times New Roman" w:cs="Times New Roman"/>
          <w:sz w:val="24"/>
          <w:szCs w:val="24"/>
        </w:rPr>
        <w:fldChar w:fldCharType="end"/>
      </w:r>
      <w:r w:rsidRPr="001E614D">
        <w:rPr>
          <w:rFonts w:ascii="Times New Roman" w:hAnsi="Times New Roman" w:cs="Times New Roman"/>
          <w:sz w:val="24"/>
          <w:szCs w:val="24"/>
        </w:rPr>
        <w:t>. Paracetamol is the preferred simple analgesic due to its safety and lack of dose adjustment requirements. Non-steroidal anti-inflammatory drugs (NSAIDs) should be avoided despite reduced nephrotoxicity concerns, as they can cause sodium retention, hypertension, and gastrointestinal side effects. For severe pain, hydromorphone is recommended as it is 5–7 times more potent than morphine, requiring low starting doses (0.5–1 mg orally every 6 hours)</w:t>
      </w:r>
      <w:r w:rsidR="007D4B03" w:rsidRPr="001E614D">
        <w:rPr>
          <w:rFonts w:ascii="Times New Roman" w:hAnsi="Times New Roman" w:cs="Times New Roman"/>
          <w:sz w:val="24"/>
          <w:szCs w:val="24"/>
        </w:rPr>
        <w:fldChar w:fldCharType="begin"/>
      </w:r>
      <w:r w:rsidR="007D4B03" w:rsidRPr="001E614D">
        <w:rPr>
          <w:rFonts w:ascii="Times New Roman" w:hAnsi="Times New Roman" w:cs="Times New Roman"/>
          <w:sz w:val="24"/>
          <w:szCs w:val="24"/>
        </w:rPr>
        <w:instrText xml:space="preserve"> ADDIN EN.CITE &lt;EndNote&gt;&lt;Cite&gt;&lt;Author&gt;Htay&lt;/Author&gt;&lt;Year&gt;2018&lt;/Year&gt;&lt;RecNum&gt;655&lt;/RecNum&gt;&lt;DisplayText&gt;(Htay et al., 2018)&lt;/DisplayText&gt;&lt;record&gt;&lt;rec-number&gt;655&lt;/rec-number&gt;&lt;foreign-keys&gt;&lt;key app="EN" db-id="xt2exae0qv2t5meds5xxawr9ed5vrfdxvezw" timestamp="1735135018"&gt;655&lt;/key&gt;&lt;/foreign-keys&gt;&lt;ref-type name="Journal Article"&gt;17&lt;/ref-type&gt;&lt;contributors&gt;&lt;authors&gt;&lt;author&gt;Htay, Htay&lt;/author&gt;&lt;author&gt;Johnson, David W&lt;/author&gt;&lt;author&gt;Wiggins, Kathryn J&lt;/author&gt;&lt;author&gt;Badve, Sunil V&lt;/author&gt;&lt;author&gt;Craig, Jonathan C&lt;/author&gt;&lt;author&gt;Strippoli, Giovanni FM&lt;/author&gt;&lt;author&gt;Cho, Yeoungjee&lt;/author&gt;&lt;/authors&gt;&lt;/contributors&gt;&lt;titles&gt;&lt;title&gt;Biocompatible dialysis fluids for peritoneal dialysis&lt;/title&gt;&lt;secondary-title&gt;Cochrane Database of Systematic Reviews&lt;/secondary-title&gt;&lt;/titles&gt;&lt;periodical&gt;&lt;full-title&gt;Cochrane Database of Systematic Reviews&lt;/full-title&gt;&lt;/periodical&gt;&lt;number&gt;10&lt;/number&gt;&lt;dates&gt;&lt;year&gt;2018&lt;/year&gt;&lt;/dates&gt;&lt;isbn&gt;1465-1858&lt;/isbn&gt;&lt;urls&gt;&lt;/urls&gt;&lt;/record&gt;&lt;/Cite&gt;&lt;/EndNote&gt;</w:instrText>
      </w:r>
      <w:r w:rsidR="007D4B03" w:rsidRPr="001E614D">
        <w:rPr>
          <w:rFonts w:ascii="Times New Roman" w:hAnsi="Times New Roman" w:cs="Times New Roman"/>
          <w:sz w:val="24"/>
          <w:szCs w:val="24"/>
        </w:rPr>
        <w:fldChar w:fldCharType="separate"/>
      </w:r>
      <w:r w:rsidR="007D4B03" w:rsidRPr="001E614D">
        <w:rPr>
          <w:rFonts w:ascii="Times New Roman" w:hAnsi="Times New Roman" w:cs="Times New Roman"/>
          <w:noProof/>
          <w:sz w:val="24"/>
          <w:szCs w:val="24"/>
        </w:rPr>
        <w:t>(Htay et al., 2018)</w:t>
      </w:r>
      <w:r w:rsidR="007D4B03"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Antibiotics frequently require dose adjustments for dialysis patients. Significant dose reductions are necessary for quinolones, sulfamethoxazole-trimethoprim, glycopeptides, and aminoglycosides. Cephalosporins and penicillins, having broader therapeutic indices, vary in their adjustment needs. For diabetic patients on dialysis, reduced insulin clearance increases the risk of hypoglycemia with insulin and insulin secretagogues (sulfonylureas). Gliclazide and glipizide are the preferred sulfonylureas because of their short half-lives </w:t>
      </w:r>
      <w:r w:rsidR="00F325FB" w:rsidRPr="001E614D">
        <w:rPr>
          <w:rFonts w:ascii="Times New Roman" w:hAnsi="Times New Roman" w:cs="Times New Roman"/>
          <w:sz w:val="24"/>
          <w:szCs w:val="24"/>
        </w:rPr>
        <w:t>and lack of active metabolites</w:t>
      </w:r>
      <w:r w:rsidR="007D4B03" w:rsidRPr="001E614D">
        <w:rPr>
          <w:rFonts w:ascii="Times New Roman" w:hAnsi="Times New Roman" w:cs="Times New Roman"/>
          <w:sz w:val="24"/>
          <w:szCs w:val="24"/>
        </w:rPr>
        <w:fldChar w:fldCharType="begin"/>
      </w:r>
      <w:r w:rsidR="007D4B03" w:rsidRPr="001E614D">
        <w:rPr>
          <w:rFonts w:ascii="Times New Roman" w:hAnsi="Times New Roman" w:cs="Times New Roman"/>
          <w:sz w:val="24"/>
          <w:szCs w:val="24"/>
        </w:rPr>
        <w:instrText xml:space="preserve"> ADDIN EN.CITE &lt;EndNote&gt;&lt;Cite&gt;&lt;Author&gt;Masakane&lt;/Author&gt;&lt;Year&gt;2015&lt;/Year&gt;&lt;RecNum&gt;656&lt;/RecNum&gt;&lt;DisplayText&gt;(Masakane et al., 2015)&lt;/DisplayText&gt;&lt;record&gt;&lt;rec-number&gt;656&lt;/rec-number&gt;&lt;foreign-keys&gt;&lt;key app="EN" db-id="xt2exae0qv2t5meds5xxawr9ed5vrfdxvezw" timestamp="1735135115"&gt;656&lt;/key&gt;&lt;/foreign-keys&gt;&lt;ref-type name="Journal Article"&gt;17&lt;/ref-type&gt;&lt;contributors&gt;&lt;authors&gt;&lt;author&gt;Masakane, Ikuto&lt;/author&gt;&lt;author&gt;Nakai, Shigeru&lt;/author&gt;&lt;author&gt;Ogata, Satoshi&lt;/author&gt;&lt;author&gt;Kimata, Naoki&lt;/author&gt;&lt;author&gt;Hanafusa, Norio&lt;/author&gt;&lt;author&gt;Hamano, Takayuki&lt;/author&gt;&lt;author&gt;Wakai, Kenji&lt;/author&gt;&lt;author&gt;Wada, Atsushi&lt;/author&gt;&lt;author&gt;Nitta, Kosaku&lt;/author&gt;&lt;/authors&gt;&lt;/contributors&gt;&lt;titles&gt;&lt;title&gt;An overview of regular dialysis treatment in Japan (as of 31 December 2013)&lt;/title&gt;&lt;secondary-title&gt;Therapeutic Apheresis and Dialysis&lt;/secondary-title&gt;&lt;/titles&gt;&lt;periodical&gt;&lt;full-title&gt;Therapeutic Apheresis and Dialysis&lt;/full-title&gt;&lt;/periodical&gt;&lt;pages&gt;540-574&lt;/pages&gt;&lt;volume&gt;19&lt;/volume&gt;&lt;number&gt;6&lt;/number&gt;&lt;dates&gt;&lt;year&gt;2015&lt;/year&gt;&lt;/dates&gt;&lt;isbn&gt;1744-9979&lt;/isbn&gt;&lt;urls&gt;&lt;/urls&gt;&lt;/record&gt;&lt;/Cite&gt;&lt;/EndNote&gt;</w:instrText>
      </w:r>
      <w:r w:rsidR="007D4B03" w:rsidRPr="001E614D">
        <w:rPr>
          <w:rFonts w:ascii="Times New Roman" w:hAnsi="Times New Roman" w:cs="Times New Roman"/>
          <w:sz w:val="24"/>
          <w:szCs w:val="24"/>
        </w:rPr>
        <w:fldChar w:fldCharType="separate"/>
      </w:r>
      <w:r w:rsidR="007D4B03" w:rsidRPr="001E614D">
        <w:rPr>
          <w:rFonts w:ascii="Times New Roman" w:hAnsi="Times New Roman" w:cs="Times New Roman"/>
          <w:noProof/>
          <w:sz w:val="24"/>
          <w:szCs w:val="24"/>
        </w:rPr>
        <w:t>(Masakane et al., 2015)</w:t>
      </w:r>
      <w:r w:rsidR="007D4B03" w:rsidRPr="001E614D">
        <w:rPr>
          <w:rFonts w:ascii="Times New Roman" w:hAnsi="Times New Roman" w:cs="Times New Roman"/>
          <w:sz w:val="24"/>
          <w:szCs w:val="24"/>
        </w:rPr>
        <w:fldChar w:fldCharType="end"/>
      </w:r>
      <w:r w:rsidR="00F325FB" w:rsidRPr="001E614D">
        <w:rPr>
          <w:rFonts w:ascii="Times New Roman" w:hAnsi="Times New Roman" w:cs="Times New Roman"/>
          <w:sz w:val="24"/>
          <w:szCs w:val="24"/>
        </w:rPr>
        <w:t>.</w:t>
      </w:r>
    </w:p>
    <w:p w14:paraId="743808BD" w14:textId="77777777" w:rsidR="00BC785A" w:rsidRPr="001E614D" w:rsidRDefault="00BC785A" w:rsidP="001E614D">
      <w:pPr>
        <w:spacing w:line="360" w:lineRule="auto"/>
        <w:jc w:val="both"/>
        <w:rPr>
          <w:rFonts w:ascii="Times New Roman" w:hAnsi="Times New Roman" w:cs="Times New Roman"/>
          <w:sz w:val="24"/>
          <w:szCs w:val="24"/>
        </w:rPr>
      </w:pPr>
      <w:r w:rsidRPr="001E614D">
        <w:rPr>
          <w:rFonts w:ascii="Times New Roman" w:hAnsi="Times New Roman" w:cs="Times New Roman"/>
          <w:b/>
          <w:bCs/>
          <w:sz w:val="24"/>
          <w:szCs w:val="24"/>
        </w:rPr>
        <w:t>Kidney Failure</w:t>
      </w:r>
    </w:p>
    <w:p w14:paraId="24B4262F" w14:textId="77777777" w:rsidR="00BC785A" w:rsidRPr="001E614D" w:rsidRDefault="00BC785A"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t>Chronic kidney disease (CKD) involves the gradual decline of kidney function, eventually progressing to chronic kidney failure (CKF), which is traditionally classified as mild, moderate, or severe</w:t>
      </w:r>
      <w:r w:rsidR="00B12549" w:rsidRPr="001E614D">
        <w:rPr>
          <w:rFonts w:ascii="Times New Roman" w:hAnsi="Times New Roman" w:cs="Times New Roman"/>
          <w:sz w:val="24"/>
          <w:szCs w:val="24"/>
        </w:rPr>
        <w:fldChar w:fldCharType="begin"/>
      </w:r>
      <w:r w:rsidR="00B12549" w:rsidRPr="001E614D">
        <w:rPr>
          <w:rFonts w:ascii="Times New Roman" w:hAnsi="Times New Roman" w:cs="Times New Roman"/>
          <w:sz w:val="24"/>
          <w:szCs w:val="24"/>
        </w:rPr>
        <w:instrText xml:space="preserve"> ADDIN EN.CITE &lt;EndNote&gt;&lt;Cite&gt;&lt;Author&gt;Tangri&lt;/Author&gt;&lt;Year&gt;2011&lt;/Year&gt;&lt;RecNum&gt;657&lt;/RecNum&gt;&lt;DisplayText&gt;(Tangri et al., 2011)&lt;/DisplayText&gt;&lt;record&gt;&lt;rec-number&gt;657&lt;/rec-number&gt;&lt;foreign-keys&gt;&lt;key app="EN" db-id="xt2exae0qv2t5meds5xxawr9ed5vrfdxvezw" timestamp="1735473549"&gt;657&lt;/key&gt;&lt;/foreign-keys&gt;&lt;ref-type name="Journal Article"&gt;17&lt;/ref-type&gt;&lt;contributors&gt;&lt;authors&gt;&lt;author&gt;Tangri, Navdeep&lt;/author&gt;&lt;author&gt;Stevens, Lesley A&lt;/author&gt;&lt;author&gt;Griffith, John&lt;/author&gt;&lt;author&gt;Tighiouart, Hocine&lt;/author&gt;&lt;author&gt;Djurdjev, Ognjenka&lt;/author&gt;&lt;author&gt;Naimark, David&lt;/author&gt;&lt;author&gt;Levin, Adeera&lt;/author&gt;&lt;author&gt;Levey, Andrew S&lt;/author&gt;&lt;/authors&gt;&lt;/contributors&gt;&lt;titles&gt;&lt;title&gt;A predictive model for progression of chronic kidney disease to kidney failure&lt;/title&gt;&lt;secondary-title&gt;Jama&lt;/secondary-title&gt;&lt;/titles&gt;&lt;periodical&gt;&lt;full-title&gt;Jama&lt;/full-title&gt;&lt;/periodical&gt;&lt;pages&gt;1553-1559&lt;/pages&gt;&lt;volume&gt;305&lt;/volume&gt;&lt;number&gt;15&lt;/number&gt;&lt;dates&gt;&lt;year&gt;2011&lt;/year&gt;&lt;/dates&gt;&lt;isbn&gt;0098-7484&lt;/isbn&gt;&lt;urls&gt;&lt;/urls&gt;&lt;/record&gt;&lt;/Cite&gt;&lt;/EndNote&gt;</w:instrText>
      </w:r>
      <w:r w:rsidR="00B12549" w:rsidRPr="001E614D">
        <w:rPr>
          <w:rFonts w:ascii="Times New Roman" w:hAnsi="Times New Roman" w:cs="Times New Roman"/>
          <w:sz w:val="24"/>
          <w:szCs w:val="24"/>
        </w:rPr>
        <w:fldChar w:fldCharType="separate"/>
      </w:r>
      <w:r w:rsidR="00B12549" w:rsidRPr="001E614D">
        <w:rPr>
          <w:rFonts w:ascii="Times New Roman" w:hAnsi="Times New Roman" w:cs="Times New Roman"/>
          <w:noProof/>
          <w:sz w:val="24"/>
          <w:szCs w:val="24"/>
        </w:rPr>
        <w:t>(Tangri et al., 2011)</w:t>
      </w:r>
      <w:r w:rsidR="00B12549" w:rsidRPr="001E614D">
        <w:rPr>
          <w:rFonts w:ascii="Times New Roman" w:hAnsi="Times New Roman" w:cs="Times New Roman"/>
          <w:sz w:val="24"/>
          <w:szCs w:val="24"/>
        </w:rPr>
        <w:fldChar w:fldCharType="end"/>
      </w:r>
      <w:r w:rsidRPr="001E614D">
        <w:rPr>
          <w:rFonts w:ascii="Times New Roman" w:hAnsi="Times New Roman" w:cs="Times New Roman"/>
          <w:sz w:val="24"/>
          <w:szCs w:val="24"/>
        </w:rPr>
        <w:t>. A global consensus now categorizes CKF into five stages based on glomerular filtration rate (GFR) and signs of kidney damage. Stage 5 represents complete kidney failure, where the kidneys can no longer maintain homeostasis, leading to a metabolic state incompatible with life. While dialysis helps reduce metabolite accumulation, it can deplete critical metabolic regulators and induce chronic inflammation, contributing to secondary complications such as atherosclerosis, cardiovascular disease, malnutrition, anemia, and renal bone disease</w:t>
      </w:r>
      <w:r w:rsidR="00B12549" w:rsidRPr="001E614D">
        <w:rPr>
          <w:rFonts w:ascii="Times New Roman" w:hAnsi="Times New Roman" w:cs="Times New Roman"/>
          <w:sz w:val="24"/>
          <w:szCs w:val="24"/>
        </w:rPr>
        <w:fldChar w:fldCharType="begin"/>
      </w:r>
      <w:r w:rsidR="00B12549" w:rsidRPr="001E614D">
        <w:rPr>
          <w:rFonts w:ascii="Times New Roman" w:hAnsi="Times New Roman" w:cs="Times New Roman"/>
          <w:sz w:val="24"/>
          <w:szCs w:val="24"/>
        </w:rPr>
        <w:instrText xml:space="preserve"> ADDIN EN.CITE &lt;EndNote&gt;&lt;Cite&gt;&lt;Author&gt;Ortiz&lt;/Author&gt;&lt;Year&gt;2014&lt;/Year&gt;&lt;RecNum&gt;658&lt;/RecNum&gt;&lt;DisplayText&gt;(Ortiz et al., 2014)&lt;/DisplayText&gt;&lt;record&gt;&lt;rec-number&gt;658&lt;/rec-number&gt;&lt;foreign-keys&gt;&lt;key app="EN" db-id="xt2exae0qv2t5meds5xxawr9ed5vrfdxvezw" timestamp="1735473589"&gt;658&lt;/key&gt;&lt;/foreign-keys&gt;&lt;ref-type name="Journal Article"&gt;17&lt;/ref-type&gt;&lt;contributors&gt;&lt;authors&gt;&lt;author&gt;Ortiz, Alberto&lt;/author&gt;&lt;author&gt;Covic, Adrian&lt;/author&gt;&lt;author&gt;Fliser, Danilo&lt;/author&gt;&lt;author&gt;Fouque, Denis&lt;/author&gt;&lt;author&gt;Goldsmith, David&lt;/author&gt;&lt;author&gt;Kanbay, Mehmet&lt;/author&gt;&lt;author&gt;Mallamaci, Francesca&lt;/author&gt;&lt;author&gt;Massy, Ziad A&lt;/author&gt;&lt;author&gt;Rossignol, Patrick&lt;/author&gt;&lt;author&gt;Vanholder, Raymond&lt;/author&gt;&lt;/authors&gt;&lt;/contributors&gt;&lt;titles&gt;&lt;title&gt;Epidemiology, contributors to, and clinical trials of mortality risk in chronic kidney failure&lt;/title&gt;&lt;secondary-title&gt;The lancet&lt;/secondary-title&gt;&lt;/titles&gt;&lt;periodical&gt;&lt;full-title&gt;The Lancet&lt;/full-title&gt;&lt;/periodical&gt;&lt;pages&gt;1831-1843&lt;/pages&gt;&lt;volume&gt;383&lt;/volume&gt;&lt;number&gt;9931&lt;/number&gt;&lt;dates&gt;&lt;year&gt;2014&lt;/year&gt;&lt;/dates&gt;&lt;isbn&gt;0140-6736&lt;/isbn&gt;&lt;urls&gt;&lt;/urls&gt;&lt;/record&gt;&lt;/Cite&gt;&lt;/EndNote&gt;</w:instrText>
      </w:r>
      <w:r w:rsidR="00B12549" w:rsidRPr="001E614D">
        <w:rPr>
          <w:rFonts w:ascii="Times New Roman" w:hAnsi="Times New Roman" w:cs="Times New Roman"/>
          <w:sz w:val="24"/>
          <w:szCs w:val="24"/>
        </w:rPr>
        <w:fldChar w:fldCharType="separate"/>
      </w:r>
      <w:r w:rsidR="00B12549" w:rsidRPr="001E614D">
        <w:rPr>
          <w:rFonts w:ascii="Times New Roman" w:hAnsi="Times New Roman" w:cs="Times New Roman"/>
          <w:noProof/>
          <w:sz w:val="24"/>
          <w:szCs w:val="24"/>
        </w:rPr>
        <w:t>(Ortiz et al., 2014)</w:t>
      </w:r>
      <w:r w:rsidR="00B12549" w:rsidRPr="001E614D">
        <w:rPr>
          <w:rFonts w:ascii="Times New Roman" w:hAnsi="Times New Roman" w:cs="Times New Roman"/>
          <w:sz w:val="24"/>
          <w:szCs w:val="24"/>
        </w:rPr>
        <w:fldChar w:fldCharType="end"/>
      </w:r>
      <w:r w:rsidRPr="001E614D">
        <w:rPr>
          <w:rFonts w:ascii="Times New Roman" w:hAnsi="Times New Roman" w:cs="Times New Roman"/>
          <w:sz w:val="24"/>
          <w:szCs w:val="24"/>
        </w:rPr>
        <w:t>. These issues significantly worsen the prognosis and quality of life for CKF patients while increasing treatment costs. Early diagnosis and effective management of CKD, including its complications, can i</w:t>
      </w:r>
      <w:r w:rsidR="00F325FB" w:rsidRPr="001E614D">
        <w:rPr>
          <w:rFonts w:ascii="Times New Roman" w:hAnsi="Times New Roman" w:cs="Times New Roman"/>
          <w:sz w:val="24"/>
          <w:szCs w:val="24"/>
        </w:rPr>
        <w:t xml:space="preserve">mprove patient outcomes. </w:t>
      </w:r>
      <w:r w:rsidRPr="001E614D">
        <w:rPr>
          <w:rFonts w:ascii="Times New Roman" w:hAnsi="Times New Roman" w:cs="Times New Roman"/>
          <w:sz w:val="24"/>
          <w:szCs w:val="24"/>
        </w:rPr>
        <w:t xml:space="preserve">Treatment strategies include </w:t>
      </w:r>
      <w:r w:rsidRPr="001E614D">
        <w:rPr>
          <w:rFonts w:ascii="Times New Roman" w:hAnsi="Times New Roman" w:cs="Times New Roman"/>
          <w:sz w:val="24"/>
          <w:szCs w:val="24"/>
        </w:rPr>
        <w:lastRenderedPageBreak/>
        <w:t>maintaining consistent blood pressure control, preventing malnutrition, anemia, and hyperparathyroidism, and addressing metabolic disorders. Preservation of kidney function can be supported through non-pharmacological measures like dietary and lifestyle modifications, alongside CKD-specific pharmacological treatments</w:t>
      </w:r>
      <w:r w:rsidR="00B12549" w:rsidRPr="001E614D">
        <w:rPr>
          <w:rFonts w:ascii="Times New Roman" w:hAnsi="Times New Roman" w:cs="Times New Roman"/>
          <w:sz w:val="24"/>
          <w:szCs w:val="24"/>
        </w:rPr>
        <w:fldChar w:fldCharType="begin"/>
      </w:r>
      <w:r w:rsidR="00B12549" w:rsidRPr="001E614D">
        <w:rPr>
          <w:rFonts w:ascii="Times New Roman" w:hAnsi="Times New Roman" w:cs="Times New Roman"/>
          <w:sz w:val="24"/>
          <w:szCs w:val="24"/>
        </w:rPr>
        <w:instrText xml:space="preserve"> ADDIN EN.CITE &lt;EndNote&gt;&lt;Cite&gt;&lt;Author&gt;Grams&lt;/Author&gt;&lt;Year&gt;2016&lt;/Year&gt;&lt;RecNum&gt;659&lt;/RecNum&gt;&lt;DisplayText&gt;(Grams et al., 2016)&lt;/DisplayText&gt;&lt;record&gt;&lt;rec-number&gt;659&lt;/rec-number&gt;&lt;foreign-keys&gt;&lt;key app="EN" db-id="xt2exae0qv2t5meds5xxawr9ed5vrfdxvezw" timestamp="1735473622"&gt;659&lt;/key&gt;&lt;/foreign-keys&gt;&lt;ref-type name="Journal Article"&gt;17&lt;/ref-type&gt;&lt;contributors&gt;&lt;authors&gt;&lt;author&gt;Grams, Morgan E&lt;/author&gt;&lt;author&gt;Sang, Yingying&lt;/author&gt;&lt;author&gt;Levey, Andrew S&lt;/author&gt;&lt;author&gt;Matsushita, Kunihiro&lt;/author&gt;&lt;author&gt;Ballew, Shoshana&lt;/author&gt;&lt;author&gt;Chang, Alex R&lt;/author&gt;&lt;author&gt;Chow, Eric KH&lt;/author&gt;&lt;author&gt;Kasiske, Bertram L&lt;/author&gt;&lt;author&gt;Kovesdy, Csaba P&lt;/author&gt;&lt;author&gt;Nadkarni, Girish N&lt;/author&gt;&lt;/authors&gt;&lt;/contributors&gt;&lt;titles&gt;&lt;title&gt;Kidney-failure risk projection for the living kidney-donor candidate&lt;/title&gt;&lt;secondary-title&gt;New England Journal of Medicine&lt;/secondary-title&gt;&lt;/titles&gt;&lt;periodical&gt;&lt;full-title&gt;New England Journal of Medicine&lt;/full-title&gt;&lt;/periodical&gt;&lt;pages&gt;411-421&lt;/pages&gt;&lt;volume&gt;374&lt;/volume&gt;&lt;number&gt;5&lt;/number&gt;&lt;dates&gt;&lt;year&gt;2016&lt;/year&gt;&lt;/dates&gt;&lt;isbn&gt;0028-4793&lt;/isbn&gt;&lt;urls&gt;&lt;/urls&gt;&lt;/record&gt;&lt;/Cite&gt;&lt;/EndNote&gt;</w:instrText>
      </w:r>
      <w:r w:rsidR="00B12549" w:rsidRPr="001E614D">
        <w:rPr>
          <w:rFonts w:ascii="Times New Roman" w:hAnsi="Times New Roman" w:cs="Times New Roman"/>
          <w:sz w:val="24"/>
          <w:szCs w:val="24"/>
        </w:rPr>
        <w:fldChar w:fldCharType="separate"/>
      </w:r>
      <w:r w:rsidR="00B12549" w:rsidRPr="001E614D">
        <w:rPr>
          <w:rFonts w:ascii="Times New Roman" w:hAnsi="Times New Roman" w:cs="Times New Roman"/>
          <w:noProof/>
          <w:sz w:val="24"/>
          <w:szCs w:val="24"/>
        </w:rPr>
        <w:t>(Grams et al., 2016)</w:t>
      </w:r>
      <w:r w:rsidR="00B12549" w:rsidRPr="001E614D">
        <w:rPr>
          <w:rFonts w:ascii="Times New Roman" w:hAnsi="Times New Roman" w:cs="Times New Roman"/>
          <w:sz w:val="24"/>
          <w:szCs w:val="24"/>
        </w:rPr>
        <w:fldChar w:fldCharType="end"/>
      </w:r>
      <w:r w:rsidRPr="001E614D">
        <w:rPr>
          <w:rFonts w:ascii="Times New Roman" w:hAnsi="Times New Roman" w:cs="Times New Roman"/>
          <w:sz w:val="24"/>
          <w:szCs w:val="24"/>
        </w:rPr>
        <w:t>. Medications that modulate intrarenal hemodynamics, such as renin-angiotensin-aldosterone system (RAAS) inhibitors and SGLT2 inhibitors, help protect kidney function by reducing intraglomerular pressure independently of blood pressure and glucose control. Additionally, newer agents like non-steroidal mineralocorticoid receptor antagonists may offer kidney protection through anti-inflammator</w:t>
      </w:r>
      <w:r w:rsidR="00F325FB" w:rsidRPr="001E614D">
        <w:rPr>
          <w:rFonts w:ascii="Times New Roman" w:hAnsi="Times New Roman" w:cs="Times New Roman"/>
          <w:sz w:val="24"/>
          <w:szCs w:val="24"/>
        </w:rPr>
        <w:t>y and antifibrotic effects</w:t>
      </w:r>
      <w:r w:rsidR="00B12549" w:rsidRPr="001E614D">
        <w:rPr>
          <w:rFonts w:ascii="Times New Roman" w:hAnsi="Times New Roman" w:cs="Times New Roman"/>
          <w:sz w:val="24"/>
          <w:szCs w:val="24"/>
        </w:rPr>
        <w:fldChar w:fldCharType="begin"/>
      </w:r>
      <w:r w:rsidR="00B12549" w:rsidRPr="001E614D">
        <w:rPr>
          <w:rFonts w:ascii="Times New Roman" w:hAnsi="Times New Roman" w:cs="Times New Roman"/>
          <w:sz w:val="24"/>
          <w:szCs w:val="24"/>
        </w:rPr>
        <w:instrText xml:space="preserve"> ADDIN EN.CITE &lt;EndNote&gt;&lt;Cite&gt;&lt;Author&gt;Hallan&lt;/Author&gt;&lt;Year&gt;2011&lt;/Year&gt;&lt;RecNum&gt;660&lt;/RecNum&gt;&lt;DisplayText&gt;(Hallan &amp;amp; Orth, 2011)&lt;/DisplayText&gt;&lt;record&gt;&lt;rec-number&gt;660&lt;/rec-number&gt;&lt;foreign-keys&gt;&lt;key app="EN" db-id="xt2exae0qv2t5meds5xxawr9ed5vrfdxvezw" timestamp="1735473647"&gt;660&lt;/key&gt;&lt;/foreign-keys&gt;&lt;ref-type name="Journal Article"&gt;17&lt;/ref-type&gt;&lt;contributors&gt;&lt;authors&gt;&lt;author&gt;Hallan, Stein I&lt;/author&gt;&lt;author&gt;Orth, Stephan R&lt;/author&gt;&lt;/authors&gt;&lt;/contributors&gt;&lt;titles&gt;&lt;title&gt;Smoking is a risk factor in the progression to kidney failure&lt;/title&gt;&lt;secondary-title&gt;Kidney international&lt;/secondary-title&gt;&lt;/titles&gt;&lt;periodical&gt;&lt;full-title&gt;Kidney international&lt;/full-title&gt;&lt;/periodical&gt;&lt;pages&gt;516-523&lt;/pages&gt;&lt;volume&gt;80&lt;/volume&gt;&lt;number&gt;5&lt;/number&gt;&lt;dates&gt;&lt;year&gt;2011&lt;/year&gt;&lt;/dates&gt;&lt;isbn&gt;0085-2538&lt;/isbn&gt;&lt;urls&gt;&lt;/urls&gt;&lt;/record&gt;&lt;/Cite&gt;&lt;/EndNote&gt;</w:instrText>
      </w:r>
      <w:r w:rsidR="00B12549" w:rsidRPr="001E614D">
        <w:rPr>
          <w:rFonts w:ascii="Times New Roman" w:hAnsi="Times New Roman" w:cs="Times New Roman"/>
          <w:sz w:val="24"/>
          <w:szCs w:val="24"/>
        </w:rPr>
        <w:fldChar w:fldCharType="separate"/>
      </w:r>
      <w:r w:rsidR="00B12549" w:rsidRPr="001E614D">
        <w:rPr>
          <w:rFonts w:ascii="Times New Roman" w:hAnsi="Times New Roman" w:cs="Times New Roman"/>
          <w:noProof/>
          <w:sz w:val="24"/>
          <w:szCs w:val="24"/>
        </w:rPr>
        <w:t>(Hallan &amp; Orth, 2011)</w:t>
      </w:r>
      <w:r w:rsidR="00B12549" w:rsidRPr="001E614D">
        <w:rPr>
          <w:rFonts w:ascii="Times New Roman" w:hAnsi="Times New Roman" w:cs="Times New Roman"/>
          <w:sz w:val="24"/>
          <w:szCs w:val="24"/>
        </w:rPr>
        <w:fldChar w:fldCharType="end"/>
      </w:r>
      <w:r w:rsidR="00F325FB" w:rsidRPr="001E614D">
        <w:rPr>
          <w:rFonts w:ascii="Times New Roman" w:hAnsi="Times New Roman" w:cs="Times New Roman"/>
          <w:sz w:val="24"/>
          <w:szCs w:val="24"/>
        </w:rPr>
        <w:t>.</w:t>
      </w:r>
    </w:p>
    <w:p w14:paraId="2E29A5BA" w14:textId="77777777" w:rsidR="00987A80" w:rsidRPr="001E614D" w:rsidRDefault="001E614D" w:rsidP="001E614D">
      <w:pPr>
        <w:spacing w:line="360" w:lineRule="auto"/>
        <w:jc w:val="both"/>
        <w:rPr>
          <w:rFonts w:ascii="Times New Roman" w:hAnsi="Times New Roman" w:cs="Times New Roman"/>
          <w:b/>
          <w:sz w:val="24"/>
          <w:szCs w:val="24"/>
        </w:rPr>
      </w:pPr>
      <w:r w:rsidRPr="001E614D">
        <w:rPr>
          <w:rFonts w:ascii="Times New Roman" w:hAnsi="Times New Roman" w:cs="Times New Roman"/>
          <w:b/>
          <w:sz w:val="24"/>
          <w:szCs w:val="24"/>
        </w:rPr>
        <w:t>Nosocomial</w:t>
      </w:r>
      <w:r w:rsidR="006675D5" w:rsidRPr="001E614D">
        <w:rPr>
          <w:rFonts w:ascii="Times New Roman" w:hAnsi="Times New Roman" w:cs="Times New Roman"/>
          <w:b/>
          <w:sz w:val="24"/>
          <w:szCs w:val="24"/>
        </w:rPr>
        <w:t xml:space="preserve"> infections</w:t>
      </w:r>
    </w:p>
    <w:p w14:paraId="0EC7A372" w14:textId="77777777" w:rsidR="00987A80" w:rsidRPr="001E614D" w:rsidRDefault="00987A80"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t xml:space="preserve">Nosocomial infections, also called hospital-acquired infections or HAIs, are those infections the patients acquire during their stay in a health care facility which at admission time were </w:t>
      </w:r>
      <w:r w:rsidR="001E614D" w:rsidRPr="001E614D">
        <w:rPr>
          <w:rFonts w:ascii="Times New Roman" w:hAnsi="Times New Roman" w:cs="Times New Roman"/>
          <w:sz w:val="24"/>
          <w:szCs w:val="24"/>
        </w:rPr>
        <w:t>neither present nor</w:t>
      </w:r>
      <w:r w:rsidRPr="001E614D">
        <w:rPr>
          <w:rFonts w:ascii="Times New Roman" w:hAnsi="Times New Roman" w:cs="Times New Roman"/>
          <w:sz w:val="24"/>
          <w:szCs w:val="24"/>
        </w:rPr>
        <w:t xml:space="preserve"> incubating. The typical presentation of these infections occurs after 48 hours following admission but may occur even after discharge when related to hospitalization</w:t>
      </w:r>
      <w:r w:rsidR="00B12549" w:rsidRPr="001E614D">
        <w:rPr>
          <w:rFonts w:ascii="Times New Roman" w:hAnsi="Times New Roman" w:cs="Times New Roman"/>
          <w:sz w:val="24"/>
          <w:szCs w:val="24"/>
        </w:rPr>
        <w:fldChar w:fldCharType="begin"/>
      </w:r>
      <w:r w:rsidR="00B12549" w:rsidRPr="001E614D">
        <w:rPr>
          <w:rFonts w:ascii="Times New Roman" w:hAnsi="Times New Roman" w:cs="Times New Roman"/>
          <w:sz w:val="24"/>
          <w:szCs w:val="24"/>
        </w:rPr>
        <w:instrText xml:space="preserve"> ADDIN EN.CITE &lt;EndNote&gt;&lt;Cite&gt;&lt;Author&gt;Kollef&lt;/Author&gt;&lt;Year&gt;2021&lt;/Year&gt;&lt;RecNum&gt;661&lt;/RecNum&gt;&lt;DisplayText&gt;(Kollef, Torres, Shorr, Martin-Loeches, &amp;amp; Micek, 2021)&lt;/DisplayText&gt;&lt;record&gt;&lt;rec-number&gt;661&lt;/rec-number&gt;&lt;foreign-keys&gt;&lt;key app="EN" db-id="xt2exae0qv2t5meds5xxawr9ed5vrfdxvezw" timestamp="1735473775"&gt;661&lt;/key&gt;&lt;/foreign-keys&gt;&lt;ref-type name="Journal Article"&gt;17&lt;/ref-type&gt;&lt;contributors&gt;&lt;authors&gt;&lt;author&gt;Kollef, Marin H&lt;/author&gt;&lt;author&gt;Torres, Antoni&lt;/author&gt;&lt;author&gt;Shorr, Andrew F&lt;/author&gt;&lt;author&gt;Martin-Loeches, Ignacio&lt;/author&gt;&lt;author&gt;Micek, Scott T&lt;/author&gt;&lt;/authors&gt;&lt;/contributors&gt;&lt;titles&gt;&lt;title&gt;Nosocomial infection&lt;/title&gt;&lt;secondary-title&gt;Critical care medicine&lt;/secondary-title&gt;&lt;/titles&gt;&lt;periodical&gt;&lt;full-title&gt;Critical care medicine&lt;/full-title&gt;&lt;/periodical&gt;&lt;pages&gt;169-187&lt;/pages&gt;&lt;volume&gt;49&lt;/volume&gt;&lt;number&gt;2&lt;/number&gt;&lt;dates&gt;&lt;year&gt;2021&lt;/year&gt;&lt;/dates&gt;&lt;isbn&gt;0090-3493&lt;/isbn&gt;&lt;urls&gt;&lt;/urls&gt;&lt;/record&gt;&lt;/Cite&gt;&lt;/EndNote&gt;</w:instrText>
      </w:r>
      <w:r w:rsidR="00B12549" w:rsidRPr="001E614D">
        <w:rPr>
          <w:rFonts w:ascii="Times New Roman" w:hAnsi="Times New Roman" w:cs="Times New Roman"/>
          <w:sz w:val="24"/>
          <w:szCs w:val="24"/>
        </w:rPr>
        <w:fldChar w:fldCharType="separate"/>
      </w:r>
      <w:r w:rsidR="00B12549" w:rsidRPr="001E614D">
        <w:rPr>
          <w:rFonts w:ascii="Times New Roman" w:hAnsi="Times New Roman" w:cs="Times New Roman"/>
          <w:noProof/>
          <w:sz w:val="24"/>
          <w:szCs w:val="24"/>
        </w:rPr>
        <w:t>(Kollef, Torres, Shorr, Martin-Loeches, &amp; Micek, 2021)</w:t>
      </w:r>
      <w:r w:rsidR="00B12549" w:rsidRPr="001E614D">
        <w:rPr>
          <w:rFonts w:ascii="Times New Roman" w:hAnsi="Times New Roman" w:cs="Times New Roman"/>
          <w:sz w:val="24"/>
          <w:szCs w:val="24"/>
        </w:rPr>
        <w:fldChar w:fldCharType="end"/>
      </w:r>
      <w:r w:rsidRPr="001E614D">
        <w:rPr>
          <w:rFonts w:ascii="Times New Roman" w:hAnsi="Times New Roman" w:cs="Times New Roman"/>
          <w:sz w:val="24"/>
          <w:szCs w:val="24"/>
        </w:rPr>
        <w:t>. Criteria for nosocomial infection definition are broad and tend to focus on identifying infections attributable to healthcare interventions or the hospital environment. Nosocomial infections have significant implications in public health because they rank high among the factors contributing to increased morbidity, mortality, and healthcare costs worldwide</w:t>
      </w:r>
      <w:r w:rsidR="00B12549" w:rsidRPr="001E614D">
        <w:rPr>
          <w:rFonts w:ascii="Times New Roman" w:hAnsi="Times New Roman" w:cs="Times New Roman"/>
          <w:sz w:val="24"/>
          <w:szCs w:val="24"/>
        </w:rPr>
        <w:fldChar w:fldCharType="begin"/>
      </w:r>
      <w:r w:rsidR="00B12549" w:rsidRPr="001E614D">
        <w:rPr>
          <w:rFonts w:ascii="Times New Roman" w:hAnsi="Times New Roman" w:cs="Times New Roman"/>
          <w:sz w:val="24"/>
          <w:szCs w:val="24"/>
        </w:rPr>
        <w:instrText xml:space="preserve"> ADDIN EN.CITE &lt;EndNote&gt;&lt;Cite&gt;&lt;Author&gt;Khan&lt;/Author&gt;&lt;Year&gt;2015&lt;/Year&gt;&lt;RecNum&gt;662&lt;/RecNum&gt;&lt;DisplayText&gt;(Khan, Ahmad, &amp;amp; Mehboob, 2015)&lt;/DisplayText&gt;&lt;record&gt;&lt;rec-number&gt;662&lt;/rec-number&gt;&lt;foreign-keys&gt;&lt;key app="EN" db-id="xt2exae0qv2t5meds5xxawr9ed5vrfdxvezw" timestamp="1735473803"&gt;662&lt;/key&gt;&lt;/foreign-keys&gt;&lt;ref-type name="Journal Article"&gt;17&lt;/ref-type&gt;&lt;contributors&gt;&lt;authors&gt;&lt;author&gt;Khan, Hassan Ahmed&lt;/author&gt;&lt;author&gt;Ahmad, Aftab&lt;/author&gt;&lt;author&gt;Mehboob, Riffat&lt;/author&gt;&lt;/authors&gt;&lt;/contributors&gt;&lt;titles&gt;&lt;title&gt;Nosocomial infections and their control strategies&lt;/title&gt;&lt;secondary-title&gt;Asian pacific journal of tropical biomedicine&lt;/secondary-title&gt;&lt;/titles&gt;&lt;periodical&gt;&lt;full-title&gt;Asian pacific journal of tropical biomedicine&lt;/full-title&gt;&lt;/periodical&gt;&lt;pages&gt;509-514&lt;/pages&gt;&lt;volume&gt;5&lt;/volume&gt;&lt;number&gt;7&lt;/number&gt;&lt;dates&gt;&lt;year&gt;2015&lt;/year&gt;&lt;/dates&gt;&lt;isbn&gt;2221-1691&lt;/isbn&gt;&lt;urls&gt;&lt;/urls&gt;&lt;/record&gt;&lt;/Cite&gt;&lt;/EndNote&gt;</w:instrText>
      </w:r>
      <w:r w:rsidR="00B12549" w:rsidRPr="001E614D">
        <w:rPr>
          <w:rFonts w:ascii="Times New Roman" w:hAnsi="Times New Roman" w:cs="Times New Roman"/>
          <w:sz w:val="24"/>
          <w:szCs w:val="24"/>
        </w:rPr>
        <w:fldChar w:fldCharType="separate"/>
      </w:r>
      <w:r w:rsidR="00B12549" w:rsidRPr="001E614D">
        <w:rPr>
          <w:rFonts w:ascii="Times New Roman" w:hAnsi="Times New Roman" w:cs="Times New Roman"/>
          <w:noProof/>
          <w:sz w:val="24"/>
          <w:szCs w:val="24"/>
        </w:rPr>
        <w:t>(Khan, Ahmad, &amp; Mehboob, 2015)</w:t>
      </w:r>
      <w:r w:rsidR="00B12549" w:rsidRPr="001E614D">
        <w:rPr>
          <w:rFonts w:ascii="Times New Roman" w:hAnsi="Times New Roman" w:cs="Times New Roman"/>
          <w:sz w:val="24"/>
          <w:szCs w:val="24"/>
        </w:rPr>
        <w:fldChar w:fldCharType="end"/>
      </w:r>
      <w:r w:rsidRPr="001E614D">
        <w:rPr>
          <w:rFonts w:ascii="Times New Roman" w:hAnsi="Times New Roman" w:cs="Times New Roman"/>
          <w:sz w:val="24"/>
          <w:szCs w:val="24"/>
        </w:rPr>
        <w:t>. Such infections also target patients whose underlying conditions require prolonged hospital stays and inserted invasive medical devices. The problem of nosocomial infections contributes to antimicrobial resistance issues, which is a factor that complicates treatment and challenges infection control measures. For instance, the SDNI has shown that the definitions cannot be standardized since differences would impact surveillance, reporting, and management practices. Such nosocomial infections are a real cause to make constant efforts in finding ways to develop effective prevention, control, and surveillance programs that will improve patient safety and healthcare outcomes</w:t>
      </w:r>
      <w:r w:rsidR="00B12549" w:rsidRPr="001E614D">
        <w:rPr>
          <w:rFonts w:ascii="Times New Roman" w:hAnsi="Times New Roman" w:cs="Times New Roman"/>
          <w:sz w:val="24"/>
          <w:szCs w:val="24"/>
        </w:rPr>
        <w:fldChar w:fldCharType="begin"/>
      </w:r>
      <w:r w:rsidR="00B12549" w:rsidRPr="001E614D">
        <w:rPr>
          <w:rFonts w:ascii="Times New Roman" w:hAnsi="Times New Roman" w:cs="Times New Roman"/>
          <w:sz w:val="24"/>
          <w:szCs w:val="24"/>
        </w:rPr>
        <w:instrText xml:space="preserve"> ADDIN EN.CITE &lt;EndNote&gt;&lt;Cite&gt;&lt;Author&gt;Edwardson&lt;/Author&gt;&lt;Year&gt;2019&lt;/Year&gt;&lt;RecNum&gt;663&lt;/RecNum&gt;&lt;DisplayText&gt;(Edwardson &amp;amp; Cairns, 2019)&lt;/DisplayText&gt;&lt;record&gt;&lt;rec-number&gt;663&lt;/rec-number&gt;&lt;foreign-keys&gt;&lt;key app="EN" db-id="xt2exae0qv2t5meds5xxawr9ed5vrfdxvezw" timestamp="1735473825"&gt;663&lt;/key&gt;&lt;/foreign-keys&gt;&lt;ref-type name="Journal Article"&gt;17&lt;/ref-type&gt;&lt;contributors&gt;&lt;authors&gt;&lt;author&gt;Edwardson, Stuart&lt;/author&gt;&lt;author&gt;Cairns, Chris&lt;/author&gt;&lt;/authors&gt;&lt;/contributors&gt;&lt;titles&gt;&lt;title&gt;Nosocomial infections in the ICU&lt;/title&gt;&lt;secondary-title&gt;Anaesthesia &amp;amp; Intensive Care Medicine&lt;/secondary-title&gt;&lt;/titles&gt;&lt;periodical&gt;&lt;full-title&gt;Anaesthesia &amp;amp; Intensive Care Medicine&lt;/full-title&gt;&lt;/periodical&gt;&lt;pages&gt;14-18&lt;/pages&gt;&lt;volume&gt;20&lt;/volume&gt;&lt;number&gt;1&lt;/number&gt;&lt;dates&gt;&lt;year&gt;2019&lt;/year&gt;&lt;/dates&gt;&lt;isbn&gt;1472-0299&lt;/isbn&gt;&lt;urls&gt;&lt;/urls&gt;&lt;/record&gt;&lt;/Cite&gt;&lt;/EndNote&gt;</w:instrText>
      </w:r>
      <w:r w:rsidR="00B12549" w:rsidRPr="001E614D">
        <w:rPr>
          <w:rFonts w:ascii="Times New Roman" w:hAnsi="Times New Roman" w:cs="Times New Roman"/>
          <w:sz w:val="24"/>
          <w:szCs w:val="24"/>
        </w:rPr>
        <w:fldChar w:fldCharType="separate"/>
      </w:r>
      <w:r w:rsidR="00B12549" w:rsidRPr="001E614D">
        <w:rPr>
          <w:rFonts w:ascii="Times New Roman" w:hAnsi="Times New Roman" w:cs="Times New Roman"/>
          <w:noProof/>
          <w:sz w:val="24"/>
          <w:szCs w:val="24"/>
        </w:rPr>
        <w:t>(Edwardson &amp; Cairns, 2019)</w:t>
      </w:r>
      <w:r w:rsidR="00B12549" w:rsidRPr="001E614D">
        <w:rPr>
          <w:rFonts w:ascii="Times New Roman" w:hAnsi="Times New Roman" w:cs="Times New Roman"/>
          <w:sz w:val="24"/>
          <w:szCs w:val="24"/>
        </w:rPr>
        <w:fldChar w:fldCharType="end"/>
      </w:r>
      <w:r w:rsidRPr="001E614D">
        <w:rPr>
          <w:rFonts w:ascii="Times New Roman" w:hAnsi="Times New Roman" w:cs="Times New Roman"/>
          <w:sz w:val="24"/>
          <w:szCs w:val="24"/>
        </w:rPr>
        <w:t>.</w:t>
      </w:r>
    </w:p>
    <w:p w14:paraId="1BD5FBD9" w14:textId="77777777" w:rsidR="00987A80" w:rsidRPr="001E614D" w:rsidRDefault="00987A80"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t xml:space="preserve"> Nosocomial infections are a significant challenge to the healthcare systems in many regions of the world since their rates vary with different regions, healthcare settings, and populations. A nosocomial infection hits millions of patients every year; however, the critical care area, or ICU, </w:t>
      </w:r>
      <w:r w:rsidRPr="001E614D">
        <w:rPr>
          <w:rFonts w:ascii="Times New Roman" w:hAnsi="Times New Roman" w:cs="Times New Roman"/>
          <w:sz w:val="24"/>
          <w:szCs w:val="24"/>
        </w:rPr>
        <w:lastRenderedPageBreak/>
        <w:t>becomes a specific hotspot due to critical patient conditions and the repeated use of invasive devices</w:t>
      </w:r>
      <w:r w:rsidR="00B12549" w:rsidRPr="001E614D">
        <w:rPr>
          <w:rFonts w:ascii="Times New Roman" w:hAnsi="Times New Roman" w:cs="Times New Roman"/>
          <w:sz w:val="24"/>
          <w:szCs w:val="24"/>
        </w:rPr>
        <w:fldChar w:fldCharType="begin"/>
      </w:r>
      <w:r w:rsidR="00B12549" w:rsidRPr="001E614D">
        <w:rPr>
          <w:rFonts w:ascii="Times New Roman" w:hAnsi="Times New Roman" w:cs="Times New Roman"/>
          <w:sz w:val="24"/>
          <w:szCs w:val="24"/>
        </w:rPr>
        <w:instrText xml:space="preserve"> ADDIN EN.CITE &lt;EndNote&gt;&lt;Cite&gt;&lt;Author&gt;Khan&lt;/Author&gt;&lt;Year&gt;2017&lt;/Year&gt;&lt;RecNum&gt;664&lt;/RecNum&gt;&lt;DisplayText&gt;(Khan, Baig, &amp;amp; Mehboob, 2017)&lt;/DisplayText&gt;&lt;record&gt;&lt;rec-number&gt;664&lt;/rec-number&gt;&lt;foreign-keys&gt;&lt;key app="EN" db-id="xt2exae0qv2t5meds5xxawr9ed5vrfdxvezw" timestamp="1735473869"&gt;664&lt;/key&gt;&lt;/foreign-keys&gt;&lt;ref-type name="Journal Article"&gt;17&lt;/ref-type&gt;&lt;contributors&gt;&lt;authors&gt;&lt;author&gt;Khan, Hassan Ahmed&lt;/author&gt;&lt;author&gt;Baig, Fatima Kanwal&lt;/author&gt;&lt;author&gt;Mehboob, Riffat&lt;/author&gt;&lt;/authors&gt;&lt;/contributors&gt;&lt;titles&gt;&lt;title&gt;Nosocomial infections: Epidemiology, prevention, control and surveillance&lt;/title&gt;&lt;secondary-title&gt;Asian Pacific Journal of Tropical Biomedicine&lt;/secondary-title&gt;&lt;/titles&gt;&lt;periodical&gt;&lt;full-title&gt;Asian pacific journal of tropical biomedicine&lt;/full-title&gt;&lt;/periodical&gt;&lt;pages&gt;478-482&lt;/pages&gt;&lt;volume&gt;7&lt;/volume&gt;&lt;number&gt;5&lt;/number&gt;&lt;dates&gt;&lt;year&gt;2017&lt;/year&gt;&lt;/dates&gt;&lt;isbn&gt;2221-1691&lt;/isbn&gt;&lt;urls&gt;&lt;/urls&gt;&lt;/record&gt;&lt;/Cite&gt;&lt;/EndNote&gt;</w:instrText>
      </w:r>
      <w:r w:rsidR="00B12549" w:rsidRPr="001E614D">
        <w:rPr>
          <w:rFonts w:ascii="Times New Roman" w:hAnsi="Times New Roman" w:cs="Times New Roman"/>
          <w:sz w:val="24"/>
          <w:szCs w:val="24"/>
        </w:rPr>
        <w:fldChar w:fldCharType="separate"/>
      </w:r>
      <w:r w:rsidR="00B12549" w:rsidRPr="001E614D">
        <w:rPr>
          <w:rFonts w:ascii="Times New Roman" w:hAnsi="Times New Roman" w:cs="Times New Roman"/>
          <w:noProof/>
          <w:sz w:val="24"/>
          <w:szCs w:val="24"/>
        </w:rPr>
        <w:t>(Khan, Baig, &amp; Mehboob, 2017)</w:t>
      </w:r>
      <w:r w:rsidR="00B12549" w:rsidRPr="001E614D">
        <w:rPr>
          <w:rFonts w:ascii="Times New Roman" w:hAnsi="Times New Roman" w:cs="Times New Roman"/>
          <w:sz w:val="24"/>
          <w:szCs w:val="24"/>
        </w:rPr>
        <w:fldChar w:fldCharType="end"/>
      </w:r>
      <w:r w:rsidRPr="001E614D">
        <w:rPr>
          <w:rFonts w:ascii="Times New Roman" w:hAnsi="Times New Roman" w:cs="Times New Roman"/>
          <w:sz w:val="24"/>
          <w:szCs w:val="24"/>
        </w:rPr>
        <w:t>. Nosocomial infections formed significant percentages of cases in ICUs, which include ventilator-associated pneumonia, bloodstream infection, and catheter-associated urinary tract infection. Studies on Italian ICUs reported infection rates as high as 20%, mainly attributed to the length of time that patients have to spend in the hospitals, this includes mechanical ventilation, and their immunity is compromised. Nosocomial infections, in general, have an overall prevalence between 5% to 15%, depending on the healthcare infrastructure, infection control practices, and the resources available</w:t>
      </w:r>
      <w:r w:rsidR="00B12549" w:rsidRPr="001E614D">
        <w:rPr>
          <w:rFonts w:ascii="Times New Roman" w:hAnsi="Times New Roman" w:cs="Times New Roman"/>
          <w:sz w:val="24"/>
          <w:szCs w:val="24"/>
        </w:rPr>
        <w:fldChar w:fldCharType="begin"/>
      </w:r>
      <w:r w:rsidR="00B12549" w:rsidRPr="001E614D">
        <w:rPr>
          <w:rFonts w:ascii="Times New Roman" w:hAnsi="Times New Roman" w:cs="Times New Roman"/>
          <w:sz w:val="24"/>
          <w:szCs w:val="24"/>
        </w:rPr>
        <w:instrText xml:space="preserve"> ADDIN EN.CITE &lt;EndNote&gt;&lt;Cite&gt;&lt;Author&gt;Trubiano&lt;/Author&gt;&lt;Year&gt;2015&lt;/Year&gt;&lt;RecNum&gt;665&lt;/RecNum&gt;&lt;DisplayText&gt;(Trubiano &amp;amp; Padiglione, 2015)&lt;/DisplayText&gt;&lt;record&gt;&lt;rec-number&gt;665&lt;/rec-number&gt;&lt;foreign-keys&gt;&lt;key app="EN" db-id="xt2exae0qv2t5meds5xxawr9ed5vrfdxvezw" timestamp="1735473894"&gt;665&lt;/key&gt;&lt;/foreign-keys&gt;&lt;ref-type name="Journal Article"&gt;17&lt;/ref-type&gt;&lt;contributors&gt;&lt;authors&gt;&lt;author&gt;Trubiano, Jason A&lt;/author&gt;&lt;author&gt;Padiglione, Alexander A&lt;/author&gt;&lt;/authors&gt;&lt;/contributors&gt;&lt;titles&gt;&lt;title&gt;Nosocomial infections in the intensive care unit&lt;/title&gt;&lt;secondary-title&gt;Anaesthesia &amp;amp; Intensive Care Medicine&lt;/secondary-title&gt;&lt;/titles&gt;&lt;periodical&gt;&lt;full-title&gt;Anaesthesia &amp;amp; Intensive Care Medicine&lt;/full-title&gt;&lt;/periodical&gt;&lt;pages&gt;598-602&lt;/pages&gt;&lt;volume&gt;16&lt;/volume&gt;&lt;number&gt;12&lt;/number&gt;&lt;dates&gt;&lt;year&gt;2015&lt;/year&gt;&lt;/dates&gt;&lt;isbn&gt;1472-0299&lt;/isbn&gt;&lt;urls&gt;&lt;/urls&gt;&lt;/record&gt;&lt;/Cite&gt;&lt;/EndNote&gt;</w:instrText>
      </w:r>
      <w:r w:rsidR="00B12549" w:rsidRPr="001E614D">
        <w:rPr>
          <w:rFonts w:ascii="Times New Roman" w:hAnsi="Times New Roman" w:cs="Times New Roman"/>
          <w:sz w:val="24"/>
          <w:szCs w:val="24"/>
        </w:rPr>
        <w:fldChar w:fldCharType="separate"/>
      </w:r>
      <w:r w:rsidR="00B12549" w:rsidRPr="001E614D">
        <w:rPr>
          <w:rFonts w:ascii="Times New Roman" w:hAnsi="Times New Roman" w:cs="Times New Roman"/>
          <w:noProof/>
          <w:sz w:val="24"/>
          <w:szCs w:val="24"/>
        </w:rPr>
        <w:t>(Trubiano &amp; Padiglione, 2015)</w:t>
      </w:r>
      <w:r w:rsidR="00B12549" w:rsidRPr="001E614D">
        <w:rPr>
          <w:rFonts w:ascii="Times New Roman" w:hAnsi="Times New Roman" w:cs="Times New Roman"/>
          <w:sz w:val="24"/>
          <w:szCs w:val="24"/>
        </w:rPr>
        <w:fldChar w:fldCharType="end"/>
      </w:r>
      <w:r w:rsidRPr="001E614D">
        <w:rPr>
          <w:rFonts w:ascii="Times New Roman" w:hAnsi="Times New Roman" w:cs="Times New Roman"/>
          <w:sz w:val="24"/>
          <w:szCs w:val="24"/>
        </w:rPr>
        <w:t>.</w:t>
      </w:r>
    </w:p>
    <w:p w14:paraId="7B2B667B" w14:textId="77777777" w:rsidR="00987A80" w:rsidRPr="001E614D" w:rsidRDefault="00987A80"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t xml:space="preserve">Specific pathogens are associated with these infections, including such bacterial agents like Escherichia coli, Staphylococcus aureus and Klebsiella </w:t>
      </w:r>
      <w:r w:rsidR="001E614D" w:rsidRPr="001E614D">
        <w:rPr>
          <w:rFonts w:ascii="Times New Roman" w:hAnsi="Times New Roman" w:cs="Times New Roman"/>
          <w:sz w:val="24"/>
          <w:szCs w:val="24"/>
        </w:rPr>
        <w:t>pneumonia</w:t>
      </w:r>
      <w:r w:rsidRPr="001E614D">
        <w:rPr>
          <w:rFonts w:ascii="Times New Roman" w:hAnsi="Times New Roman" w:cs="Times New Roman"/>
          <w:sz w:val="24"/>
          <w:szCs w:val="24"/>
        </w:rPr>
        <w:t xml:space="preserve">. </w:t>
      </w:r>
      <w:r w:rsidRPr="001E614D">
        <w:rPr>
          <w:rFonts w:ascii="Times New Roman" w:eastAsia="Arial" w:hAnsi="Times New Roman" w:cs="Times New Roman"/>
          <w:sz w:val="24"/>
          <w:szCs w:val="24"/>
          <w:shd w:val="clear" w:color="auto" w:fill="FFFFFF"/>
        </w:rPr>
        <w:t>Fungal pathogens, especially Candida species, are very much linked to current reports; such infections have particularly been seen in immunocompromised patients and also on admiss</w:t>
      </w:r>
      <w:r w:rsidR="00F325FB" w:rsidRPr="001E614D">
        <w:rPr>
          <w:rFonts w:ascii="Times New Roman" w:eastAsia="Arial" w:hAnsi="Times New Roman" w:cs="Times New Roman"/>
          <w:sz w:val="24"/>
          <w:szCs w:val="24"/>
          <w:shd w:val="clear" w:color="auto" w:fill="FFFFFF"/>
        </w:rPr>
        <w:t>ion into high-risk ICU settings</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&lt;EndNote&gt;&lt;Cite&gt;&lt;Author&gt;Ramasethu&lt;/Author&gt;&lt;Year&gt;2017&lt;/Year&gt;&lt;RecNum&gt;666&lt;/RecNum&gt;&lt;DisplayText&gt;(Ramasethu, 2017)&lt;/DisplayText&gt;&lt;record&gt;&lt;rec-number&gt;666&lt;/rec-number&gt;&lt;foreign-keys&gt;&lt;key app="EN" db-id="xt2exae0qv2t5meds5xxawr9ed5vrfdxvezw" timestamp="1735473918"&gt;666&lt;/key&gt;&lt;/foreign-keys&gt;&lt;ref-type name="Journal Article"&gt;17&lt;/ref-type&gt;&lt;contributors&gt;&lt;authors&gt;&lt;author&gt;Ramasethu, Jayashree&lt;/author&gt;&lt;/authors&gt;&lt;/contributors&gt;&lt;titles&gt;&lt;title&gt;Prevention and treatment of neonatal nosocomial infections&lt;/title&gt;&lt;secondary-title&gt;Maternal health, neonatology and perinatology&lt;/secondary-title&gt;&lt;/titles&gt;&lt;periodical&gt;&lt;full-title&gt;Maternal health, neonatology and perinatology&lt;/full-title&gt;&lt;/periodical&gt;&lt;pages&gt;1-11&lt;/pages&gt;&lt;volume&gt;3&lt;/volume&gt;&lt;dates&gt;&lt;year&gt;2017&lt;/year&gt;&lt;/dates&gt;&lt;urls&gt;&lt;/urls&gt;&lt;/record&gt;&lt;/Cite&gt;&lt;/EndNote&gt;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(Ramasethu, 2017)</w:t>
      </w:r>
      <w:r w:rsidR="005E55DD" w:rsidRPr="001E614D">
        <w:rPr>
          <w:rFonts w:ascii="Times New Roman" w:eastAsia="Arial" w:hAnsi="Times New Roman" w:cs="Times New Roman"/>
          <w:sz w:val="24"/>
          <w:szCs w:val="24"/>
          <w:shd w:val="clear" w:color="auto" w:fill="FFFFFF"/>
        </w:rPr>
        <w:fldChar w:fldCharType="end"/>
      </w:r>
      <w:r w:rsidRPr="001E614D">
        <w:rPr>
          <w:rFonts w:ascii="Times New Roman" w:hAnsi="Times New Roman" w:cs="Times New Roman"/>
          <w:sz w:val="24"/>
          <w:szCs w:val="24"/>
        </w:rPr>
        <w:t xml:space="preserve">. </w:t>
      </w:r>
      <w:r w:rsidRPr="001E614D">
        <w:rPr>
          <w:rFonts w:ascii="Times New Roman" w:eastAsia="Arial" w:hAnsi="Times New Roman" w:cs="Times New Roman"/>
          <w:sz w:val="24"/>
          <w:szCs w:val="24"/>
          <w:shd w:val="clear" w:color="auto" w:fill="FFFFFF"/>
        </w:rPr>
        <w:t>Nosocomial fungal infections have mainly brought about diagnostic and therapeutic challenges because of high mortality rates</w:t>
      </w:r>
      <w:r w:rsidRPr="001E614D">
        <w:rPr>
          <w:rFonts w:ascii="Times New Roman" w:hAnsi="Times New Roman" w:cs="Times New Roman"/>
          <w:sz w:val="24"/>
          <w:szCs w:val="24"/>
        </w:rPr>
        <w:t>. Regional differences in nosocomial infections are associated with disparities in surveillance and reporting and healthcare resource utilization. Nosocomial infections have, undoubtedly, been linked with resistance to antimicrobial agents in all regions, further complicating their treatment, thus vindicating the requirement for strict infection control policies</w:t>
      </w:r>
      <w:r w:rsidR="005E55DD" w:rsidRPr="001E614D">
        <w:rPr>
          <w:rFonts w:ascii="Times New Roman" w:hAnsi="Times New Roman" w:cs="Times New Roman"/>
          <w:sz w:val="24"/>
          <w:szCs w:val="24"/>
        </w:rPr>
        <w:fldChar w:fldCharType="begin"/>
      </w:r>
      <w:r w:rsidR="005E55DD" w:rsidRPr="001E614D">
        <w:rPr>
          <w:rFonts w:ascii="Times New Roman" w:hAnsi="Times New Roman" w:cs="Times New Roman"/>
          <w:sz w:val="24"/>
          <w:szCs w:val="24"/>
        </w:rPr>
        <w:instrText xml:space="preserve"> ADDIN EN.CITE &lt;EndNote&gt;&lt;Cite&gt;&lt;Author&gt;Li&lt;/Author&gt;&lt;Year&gt;2017&lt;/Year&gt;&lt;RecNum&gt;667&lt;/RecNum&gt;&lt;DisplayText&gt;(Y. Li et al., 2017)&lt;/DisplayText&gt;&lt;record&gt;&lt;rec-number&gt;667&lt;/rec-number&gt;&lt;foreign-keys&gt;&lt;key app="EN" db-id="xt2exae0qv2t5meds5xxawr9ed5vrfdxvezw" timestamp="1735473939"&gt;667&lt;/key&gt;&lt;/foreign-keys&gt;&lt;ref-type name="Journal Article"&gt;17&lt;/ref-type&gt;&lt;contributors&gt;&lt;authors&gt;&lt;author&gt;Li, Ye&lt;/author&gt;&lt;author&gt;Gong, Zhenyu&lt;/author&gt;&lt;author&gt;Lu, Ye&lt;/author&gt;&lt;author&gt;Hu, Guoqing&lt;/author&gt;&lt;author&gt;Cai, Ran&lt;/author&gt;&lt;author&gt;Chen, Zhiping&lt;/author&gt;&lt;/authors&gt;&lt;/contributors&gt;&lt;titles&gt;&lt;title&gt;Impact of nosocomial infections surveillance on nosocomial infection rates: A systematic review&lt;/title&gt;&lt;secondary-title&gt;International journal of surgery&lt;/secondary-title&gt;&lt;/titles&gt;&lt;periodical&gt;&lt;full-title&gt;International journal of surgery&lt;/full-title&gt;&lt;/periodical&gt;&lt;pages&gt;164-169&lt;/pages&gt;&lt;volume&gt;42&lt;/volume&gt;&lt;dates&gt;&lt;year&gt;2017&lt;/year&gt;&lt;/dates&gt;&lt;isbn&gt;1743-9191&lt;/isbn&gt;&lt;urls&gt;&lt;/urls&gt;&lt;/record&gt;&lt;/Cite&gt;&lt;/EndNote&gt;</w:instrText>
      </w:r>
      <w:r w:rsidR="005E55DD" w:rsidRPr="001E614D">
        <w:rPr>
          <w:rFonts w:ascii="Times New Roman" w:hAnsi="Times New Roman" w:cs="Times New Roman"/>
          <w:sz w:val="24"/>
          <w:szCs w:val="24"/>
        </w:rPr>
        <w:fldChar w:fldCharType="separate"/>
      </w:r>
      <w:r w:rsidR="005E55DD" w:rsidRPr="001E614D">
        <w:rPr>
          <w:rFonts w:ascii="Times New Roman" w:hAnsi="Times New Roman" w:cs="Times New Roman"/>
          <w:noProof/>
          <w:sz w:val="24"/>
          <w:szCs w:val="24"/>
        </w:rPr>
        <w:t>(Y. Li et al., 2017)</w:t>
      </w:r>
      <w:r w:rsidR="005E55DD" w:rsidRPr="001E614D">
        <w:rPr>
          <w:rFonts w:ascii="Times New Roman" w:hAnsi="Times New Roman" w:cs="Times New Roman"/>
          <w:sz w:val="24"/>
          <w:szCs w:val="24"/>
        </w:rPr>
        <w:fldChar w:fldCharType="end"/>
      </w:r>
      <w:r w:rsidRPr="001E614D">
        <w:rPr>
          <w:rFonts w:ascii="Times New Roman" w:hAnsi="Times New Roman" w:cs="Times New Roman"/>
          <w:sz w:val="24"/>
          <w:szCs w:val="24"/>
        </w:rPr>
        <w:t xml:space="preserve">. </w:t>
      </w:r>
    </w:p>
    <w:p w14:paraId="4B0774CB" w14:textId="77777777" w:rsidR="00987A80" w:rsidRPr="001E614D" w:rsidRDefault="00987A80" w:rsidP="001E614D">
      <w:pPr>
        <w:spacing w:line="360" w:lineRule="auto"/>
        <w:jc w:val="both"/>
        <w:rPr>
          <w:rFonts w:ascii="Times New Roman" w:eastAsia="Arial" w:hAnsi="Times New Roman" w:cs="Times New Roman"/>
          <w:sz w:val="24"/>
          <w:szCs w:val="24"/>
          <w:shd w:val="clear" w:color="auto" w:fill="FFFFFF"/>
        </w:rPr>
      </w:pPr>
      <w:r w:rsidRPr="001E614D">
        <w:rPr>
          <w:rFonts w:ascii="Times New Roman" w:eastAsia="Arial" w:hAnsi="Times New Roman" w:cs="Times New Roman"/>
          <w:sz w:val="24"/>
          <w:szCs w:val="24"/>
          <w:shd w:val="clear" w:color="auto" w:fill="FFFFFF"/>
        </w:rPr>
        <w:t>Nosocomial infections remain one of the biggest challenges to global healthcare, for prevalence rates in regions and healthcare settings leave much to be desired. A systematic review and meta-analysis about the world prevalence of nosocomial infections indicated a general pooled prevalence of 15.5% and influences are brought under a limelight patient care; the rates depend on factors such as the strength of healthcare infrastructure, infection control practice, and socioeconomic conditions of the region</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&lt;EndNote&gt;&lt;Cite&gt;&lt;Author&gt;Xia&lt;/Author&gt;&lt;Year&gt;2016&lt;/Year&gt;&lt;RecNum&gt;668&lt;/RecNum&gt;&lt;DisplayText&gt;(Xia, Gao, &amp;amp; Tang, 2016)&lt;/DisplayText&gt;&lt;record&gt;&lt;rec-number&gt;668&lt;/rec-number&gt;&lt;foreign-keys&gt;&lt;key app="EN" db-id="xt2exae0qv2t5meds5xxawr9ed5vrfdxvezw" timestamp="1735473964"&gt;668&lt;/key&gt;&lt;/foreign-keys&gt;&lt;ref-type name="Journal Article"&gt;17&lt;/ref-type&gt;&lt;contributors&gt;&lt;authors&gt;&lt;author&gt;Xia, Jufeng&lt;/author&gt;&lt;author&gt;Gao, Jianjun&lt;/author&gt;&lt;author&gt;Tang, Wei&lt;/author&gt;&lt;/authors&gt;&lt;/contributors&gt;&lt;titles&gt;&lt;title&gt;Nosocomial infection and its molecular mechanisms of antibiotic resistance&lt;/title&gt;&lt;secondary-title&gt;Bioscience trends&lt;/secondary-title&gt;&lt;/titles&gt;&lt;periodical&gt;&lt;full-title&gt;Bioscience trends&lt;/full-title&gt;&lt;/periodical&gt;&lt;pages&gt;14-21&lt;/pages&gt;&lt;volume&gt;10&lt;/volume&gt;&lt;number&gt;1&lt;/number&gt;&lt;dates&gt;&lt;year&gt;2016&lt;/year&gt;&lt;/dates&gt;&lt;isbn&gt;1881-7815&lt;/isbn&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(Xia, Gao, &amp; Tang, 2016)</w:t>
      </w:r>
      <w:r w:rsidR="005E55DD"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 xml:space="preserve">. Specific studies demonstrate national and institutional differences that add emphasis to the complexity of the concern. For instance, in Switzerland, it was documented that the nosocomial infections prevalence among four university hospitals stands at 11.6% in which urinary tract infections were reported as the most frequent one. The prevalence rates in Norway during 2002 and 2003 were reported to be at 5.1% and 6.0%, respectively, and this rate had been significantly lower than the global averages </w:t>
      </w:r>
      <w:r w:rsidRPr="001E614D">
        <w:rPr>
          <w:rFonts w:ascii="Times New Roman" w:eastAsia="Arial" w:hAnsi="Times New Roman" w:cs="Times New Roman"/>
          <w:sz w:val="24"/>
          <w:szCs w:val="24"/>
          <w:shd w:val="clear" w:color="auto" w:fill="FFFFFF"/>
        </w:rPr>
        <w:lastRenderedPageBreak/>
        <w:t>because of strict infection control measures</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&lt;EndNote&gt;&lt;Cite&gt;&lt;Author&gt;Du&lt;/Author&gt;&lt;Year&gt;2021&lt;/Year&gt;&lt;RecNum&gt;669&lt;/RecNum&gt;&lt;DisplayText&gt;(Du et al., 2021)&lt;/DisplayText&gt;&lt;record&gt;&lt;rec-number&gt;669&lt;/rec-number&gt;&lt;foreign-keys&gt;&lt;key app="EN" db-id="xt2exae0qv2t5meds5xxawr9ed5vrfdxvezw" timestamp="1735473997"&gt;669&lt;/key&gt;&lt;/foreign-keys&gt;&lt;ref-type name="Journal Article"&gt;17&lt;/ref-type&gt;&lt;contributors&gt;&lt;authors&gt;&lt;author&gt;Du, Qiu&lt;/author&gt;&lt;author&gt;Zhang, Dingding&lt;/author&gt;&lt;author&gt;Hu, Weimin&lt;/author&gt;&lt;author&gt;Li, Xuefei&lt;/author&gt;&lt;author&gt;Xia, Qiongrong&lt;/author&gt;&lt;author&gt;Wen, Taishen&lt;/author&gt;&lt;author&gt;Jia, Haiping&lt;/author&gt;&lt;/authors&gt;&lt;/contributors&gt;&lt;titles&gt;&lt;title&gt;Nosocomial infection of COVID-19: A new challenge for healthcare professionals&lt;/title&gt;&lt;secondary-title&gt;International journal of molecular medicine&lt;/secondary-title&gt;&lt;/titles&gt;&lt;periodical&gt;&lt;full-title&gt;International journal of molecular medicine&lt;/full-title&gt;&lt;/periodical&gt;&lt;pages&gt;31&lt;/pages&gt;&lt;volume&gt;47&lt;/volume&gt;&lt;number&gt;4&lt;/number&gt;&lt;dates&gt;&lt;year&gt;2021&lt;/year&gt;&lt;/dates&gt;&lt;isbn&gt;1107-3756&lt;/isbn&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(Du et al., 2021)</w:t>
      </w:r>
      <w:r w:rsidR="005E55DD"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 In developing countries, the burden is usually significantly higher because of the scarceness of resources for infection prevention and control. For instance, a prevalence rate of 9.1% was reported in Thailand indicating a need to improve hospital hygiene practices and surveillance systems. In fact, earlier studies have pointed out the discrepancy between incidence and prevalence, indicating the need to distinguish accurate methodologies to evaluate the occurrence of nosocomial infections</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&lt;EndNote&gt;&lt;Cite&gt;&lt;Author&gt;Mbim&lt;/Author&gt;&lt;Year&gt;2016&lt;/Year&gt;&lt;RecNum&gt;670&lt;/RecNum&gt;&lt;DisplayText&gt;(Mbim, Mboto, &amp;amp; Agbo, 2016)&lt;/DisplayText&gt;&lt;record&gt;&lt;rec-number&gt;670&lt;/rec-number&gt;&lt;foreign-keys&gt;&lt;key app="EN" db-id="xt2exae0qv2t5meds5xxawr9ed5vrfdxvezw" timestamp="1735474016"&gt;670&lt;/key&gt;&lt;/foreign-keys&gt;&lt;ref-type name="Journal Article"&gt;17&lt;/ref-type&gt;&lt;contributors&gt;&lt;authors&gt;&lt;author&gt;Mbim, Elizabeth&lt;/author&gt;&lt;author&gt;Mboto, Clement&lt;/author&gt;&lt;author&gt;Agbo, Bassey&lt;/author&gt;&lt;/authors&gt;&lt;/contributors&gt;&lt;titles&gt;&lt;title&gt;A review of nosocomial infections in Sub-Saharan Africa&lt;/title&gt;&lt;secondary-title&gt;British Microbiology Research Journal&lt;/secondary-title&gt;&lt;/titles&gt;&lt;periodical&gt;&lt;full-title&gt;British Microbiology Research Journal&lt;/full-title&gt;&lt;/periodical&gt;&lt;pages&gt;1-11&lt;/pages&gt;&lt;volume&gt;15&lt;/volume&gt;&lt;number&gt;1&lt;/number&gt;&lt;dates&gt;&lt;year&gt;2016&lt;/year&gt;&lt;/dates&gt;&lt;isbn&gt;2231-0886&lt;/isbn&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(Mbim, Mboto, &amp; Agbo, 2016)</w:t>
      </w:r>
      <w:r w:rsidR="005E55DD"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w:t>
      </w:r>
    </w:p>
    <w:p w14:paraId="7818702D" w14:textId="77777777" w:rsidR="00987A80" w:rsidRPr="001E614D" w:rsidRDefault="00987A80" w:rsidP="001E614D">
      <w:pPr>
        <w:spacing w:line="360" w:lineRule="auto"/>
        <w:jc w:val="both"/>
        <w:rPr>
          <w:rFonts w:ascii="Times New Roman" w:eastAsia="Arial" w:hAnsi="Times New Roman" w:cs="Times New Roman"/>
          <w:sz w:val="24"/>
          <w:szCs w:val="24"/>
          <w:shd w:val="clear" w:color="auto" w:fill="FFFFFF"/>
        </w:rPr>
      </w:pPr>
      <w:r w:rsidRPr="001E614D">
        <w:rPr>
          <w:rFonts w:ascii="Times New Roman" w:eastAsia="Arial" w:hAnsi="Times New Roman" w:cs="Times New Roman"/>
          <w:sz w:val="24"/>
          <w:szCs w:val="24"/>
          <w:shd w:val="clear" w:color="auto" w:fill="FFFFFF"/>
        </w:rPr>
        <w:t xml:space="preserve">Nosocomial </w:t>
      </w:r>
      <w:r w:rsidR="005214CD" w:rsidRPr="001E614D">
        <w:rPr>
          <w:rFonts w:ascii="Times New Roman" w:eastAsia="Arial" w:hAnsi="Times New Roman" w:cs="Times New Roman"/>
          <w:sz w:val="24"/>
          <w:szCs w:val="24"/>
          <w:shd w:val="clear" w:color="auto" w:fill="FFFFFF"/>
        </w:rPr>
        <w:t>infections</w:t>
      </w:r>
      <w:r w:rsidRPr="001E614D">
        <w:rPr>
          <w:rFonts w:ascii="Times New Roman" w:eastAsia="Arial" w:hAnsi="Times New Roman" w:cs="Times New Roman"/>
          <w:sz w:val="24"/>
          <w:szCs w:val="24"/>
          <w:shd w:val="clear" w:color="auto" w:fill="FFFFFF"/>
        </w:rPr>
        <w:t xml:space="preserve"> commonly referred to as hospital-acquired infections (HAIs), can be broadly categorized in a variety of ways: by site of infection, causative pathogen, healthcare intervention involved, or by more sophisticated predictive methods. The most common method of categorization is by site-based and includes UTIs, SSIs, respiratory infections such as ventilator-associated pneumonia (VAP), BSIs, gastrointestinal infections such as Clostridioides difficile, and skin or soft tissue infections</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&lt;EndNote&gt;&lt;Cite&gt;&lt;Author&gt;Mbim&lt;/Author&gt;&lt;Year&gt;2016&lt;/Year&gt;&lt;RecNum&gt;671&lt;/RecNum&gt;&lt;DisplayText&gt;(Mbim et al., 2016)&lt;/DisplayText&gt;&lt;record&gt;&lt;rec-number&gt;671&lt;/rec-number&gt;&lt;foreign-keys&gt;&lt;key app="EN" db-id="xt2exae0qv2t5meds5xxawr9ed5vrfdxvezw" timestamp="1735474073"&gt;671&lt;/key&gt;&lt;/foreign-keys&gt;&lt;ref-type name="Journal Article"&gt;17&lt;/ref-type&gt;&lt;contributors&gt;&lt;authors&gt;&lt;author&gt;Mbim, Elizabeth&lt;/author&gt;&lt;author&gt;Mboto, Clement&lt;/author&gt;&lt;author&gt;Agbo, Bassey&lt;/author&gt;&lt;/authors&gt;&lt;/contributors&gt;&lt;titles&gt;&lt;title&gt;A review of nosocomial infections in Sub-Saharan Africa&lt;/title&gt;&lt;secondary-title&gt;British Microbiology Research Journal&lt;/secondary-title&gt;&lt;/titles&gt;&lt;periodical&gt;&lt;full-title&gt;British Microbiology Research Journal&lt;/full-title&gt;&lt;/periodical&gt;&lt;pages&gt;1-11&lt;/pages&gt;&lt;volume&gt;15&lt;/volume&gt;&lt;number&gt;1&lt;/number&gt;&lt;dates&gt;&lt;year&gt;2016&lt;/year&gt;&lt;/dates&gt;&lt;isbn&gt;2231-0886&lt;/isbn&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(Mbim et al., 2016)</w:t>
      </w:r>
      <w:r w:rsidR="005E55DD"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 Invasive treatments in the intensive care setting are often at the heart of device-associated infections, such as catheter-associated urinary tract infections (CAUTIs), central line-associated bloodstream infections (CLABSIs), and procedure-related infections</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&lt;EndNote&gt;&lt;Cite&gt;&lt;Author&gt;Busl&lt;/Author&gt;&lt;Year&gt;2017&lt;/Year&gt;&lt;RecNum&gt;672&lt;/RecNum&gt;&lt;DisplayText&gt;(Busl, 2017)&lt;/DisplayText&gt;&lt;record&gt;&lt;rec-number&gt;672&lt;/rec-number&gt;&lt;foreign-keys&gt;&lt;key app="EN" db-id="xt2exae0qv2t5meds5xxawr9ed5vrfdxvezw" timestamp="1735474107"&gt;672&lt;/key&gt;&lt;/foreign-keys&gt;&lt;ref-type name="Journal Article"&gt;17&lt;/ref-type&gt;&lt;contributors&gt;&lt;authors&gt;&lt;author&gt;Busl, Katharina Maria&lt;/author&gt;&lt;/authors&gt;&lt;/contributors&gt;&lt;titles&gt;&lt;title&gt;Nosocomial infections in the neurointensive care unit&lt;/title&gt;&lt;secondary-title&gt;Neurologic clinics&lt;/secondary-title&gt;&lt;/titles&gt;&lt;periodical&gt;&lt;full-title&gt;Neurologic clinics&lt;/full-title&gt;&lt;/periodical&gt;&lt;pages&gt;785-807&lt;/pages&gt;&lt;volume&gt;35&lt;/volume&gt;&lt;number&gt;4&lt;/number&gt;&lt;dates&gt;&lt;year&gt;2017&lt;/year&gt;&lt;/dates&gt;&lt;isbn&gt;0733-8619&lt;/isbn&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(Busl, 2017)</w:t>
      </w:r>
      <w:r w:rsidR="005E55DD"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 Pathogen-based classification places infections into various categories based on the type of microorganism causing the infection. Bacterial infections are the most common, primarily caused by Escherichia coli, Staphylococcus aureus (including MRSA), and Klebsiella pneumoniae. Fungal infections, mainly Candida species, are also rising, particularly in immunocompromised patients. Viral pathogens, including norovirus and respiratory syncytial virus (RSV), are also common pathogens, espec</w:t>
      </w:r>
      <w:r w:rsidR="006675D5" w:rsidRPr="001E614D">
        <w:rPr>
          <w:rFonts w:ascii="Times New Roman" w:eastAsia="Arial" w:hAnsi="Times New Roman" w:cs="Times New Roman"/>
          <w:sz w:val="24"/>
          <w:szCs w:val="24"/>
          <w:shd w:val="clear" w:color="auto" w:fill="FFFFFF"/>
        </w:rPr>
        <w:t>ially in neonatal and pediatrics</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&lt;EndNote&gt;&lt;Cite&gt;&lt;Author&gt;Liu&lt;/Author&gt;&lt;Year&gt;2020&lt;/Year&gt;&lt;RecNum&gt;673&lt;/RecNum&gt;&lt;DisplayText&gt;(Liu &amp;amp; Dickter, 2020)&lt;/DisplayText&gt;&lt;record&gt;&lt;rec-number&gt;673&lt;/rec-number&gt;&lt;foreign-keys&gt;&lt;key app="EN" db-id="xt2exae0qv2t5meds5xxawr9ed5vrfdxvezw" timestamp="1735474137"&gt;673&lt;/key&gt;&lt;/foreign-keys&gt;&lt;ref-type name="Journal Article"&gt;17&lt;/ref-type&gt;&lt;contributors&gt;&lt;authors&gt;&lt;author&gt;Liu, Jia-Yia&lt;/author&gt;&lt;author&gt;Dickter, Jana K&lt;/author&gt;&lt;/authors&gt;&lt;/contributors&gt;&lt;titles&gt;&lt;title&gt;Nosocomial infections: a history of hospital-acquired infections&lt;/title&gt;&lt;secondary-title&gt;Gastrointestinal Endoscopy Clinics&lt;/secondary-title&gt;&lt;/titles&gt;&lt;periodical&gt;&lt;full-title&gt;Gastrointestinal Endoscopy Clinics&lt;/full-title&gt;&lt;/periodical&gt;&lt;pages&gt;637-652&lt;/pages&gt;&lt;volume&gt;30&lt;/volume&gt;&lt;number&gt;4&lt;/number&gt;&lt;dates&gt;&lt;year&gt;2020&lt;/year&gt;&lt;/dates&gt;&lt;isbn&gt;1052-5157&lt;/isbn&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(Liu &amp; Dickter, 2020)</w:t>
      </w:r>
      <w:r w:rsidR="005E55DD" w:rsidRPr="001E614D">
        <w:rPr>
          <w:rFonts w:ascii="Times New Roman" w:eastAsia="Arial" w:hAnsi="Times New Roman" w:cs="Times New Roman"/>
          <w:sz w:val="24"/>
          <w:szCs w:val="24"/>
          <w:shd w:val="clear" w:color="auto" w:fill="FFFFFF"/>
        </w:rPr>
        <w:fldChar w:fldCharType="end"/>
      </w:r>
      <w:r w:rsidR="006675D5" w:rsidRPr="001E614D">
        <w:rPr>
          <w:rFonts w:ascii="Times New Roman" w:eastAsia="Arial" w:hAnsi="Times New Roman" w:cs="Times New Roman"/>
          <w:sz w:val="24"/>
          <w:szCs w:val="24"/>
          <w:shd w:val="clear" w:color="auto" w:fill="FFFFFF"/>
        </w:rPr>
        <w:t>.</w:t>
      </w:r>
      <w:r w:rsidR="006675D5" w:rsidRPr="001E614D">
        <w:rPr>
          <w:rFonts w:ascii="Times New Roman" w:eastAsia="Arial" w:hAnsi="Times New Roman" w:cs="Times New Roman"/>
          <w:sz w:val="24"/>
          <w:szCs w:val="24"/>
          <w:shd w:val="clear" w:color="auto" w:fill="FFFFFF"/>
        </w:rPr>
        <w:br/>
      </w:r>
      <w:r w:rsidRPr="001E614D">
        <w:rPr>
          <w:rFonts w:ascii="Times New Roman" w:eastAsia="Arial" w:hAnsi="Times New Roman" w:cs="Times New Roman"/>
          <w:sz w:val="24"/>
          <w:szCs w:val="24"/>
          <w:shd w:val="clear" w:color="auto" w:fill="FFFFFF"/>
        </w:rPr>
        <w:t>Modern trends in classification use advances made in artificial intelligence. Systems like neural networks and case-based reasoning relate clinical and lab values to predict and classify infection types, improving the chances of detecting infections and adjusting treatment appropriately. Predictive models can offer early detection of nosocomial infections, as well as predict the treatment outcome, showing great promise in improving patient management</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&lt;EndNote&gt;&lt;Cite&gt;&lt;Author&gt;Bardi&lt;/Author&gt;&lt;Year&gt;2021&lt;/Year&gt;&lt;RecNum&gt;674&lt;/RecNum&gt;&lt;DisplayText&gt;(Bardi et al., 2021)&lt;/DisplayText&gt;&lt;record&gt;&lt;rec-number&gt;674&lt;/rec-number&gt;&lt;foreign-keys&gt;&lt;key app="EN" db-id="xt2exae0qv2t5meds5xxawr9ed5vrfdxvezw" timestamp="1735474296"&gt;674&lt;/key&gt;&lt;/foreign-keys&gt;&lt;ref-type name="Journal Article"&gt;17&lt;/ref-type&gt;&lt;contributors&gt;&lt;authors&gt;&lt;author&gt;Bardi, Tommaso&lt;/author&gt;&lt;author&gt;Pintado, Vicente&lt;/author&gt;&lt;author&gt;Gomez-Rojo, Maria&lt;/author&gt;&lt;author&gt;Escudero-Sanchez, Rosa&lt;/author&gt;&lt;author&gt;Azzam Lopez, Amal&lt;/author&gt;&lt;author&gt;Diez-Remesal, Yolanda&lt;/author&gt;&lt;author&gt;Martinez Castro, Nilda&lt;/author&gt;&lt;author&gt;Ruiz-Garbajosa, Patricia&lt;/author&gt;&lt;author&gt;Pestaña, David&lt;/author&gt;&lt;/authors&gt;&lt;/contributors&gt;&lt;titles&gt;&lt;title&gt;Nosocomial infections associated to COVID-19 in the intensive care unit: clinical characteristics and outcome&lt;/title&gt;&lt;secondary-title&gt;European Journal of Clinical Microbiology &amp;amp; Infectious Diseases&lt;/secondary-title&gt;&lt;/titles&gt;&lt;periodical&gt;&lt;full-title&gt;European Journal of Clinical Microbiology &amp;amp; Infectious Diseases&lt;/full-title&gt;&lt;/periodical&gt;&lt;pages&gt;495-502&lt;/pages&gt;&lt;volume&gt;40&lt;/volume&gt;&lt;dates&gt;&lt;year&gt;2021&lt;/year&gt;&lt;/dates&gt;&lt;isbn&gt;0934-9723&lt;/isbn&gt;&lt;urls&gt;&lt;/urls&gt;&lt;/record&gt;&lt;/Cite&gt;&lt;/EndNote&gt;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(Bardi et al., 2021)</w:t>
      </w:r>
      <w:r w:rsidR="005E55DD"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 xml:space="preserve">. Nosocomial infections can be temporally classified into early-onset infections, that are acquired within the first 4-5 days after admission, typically from community-acquired pathogens, and late-onset infections, that occur thereafter, usually involving MDR organisms, making treatment more difficult. This multi-dimensional classification helps healthcare professionals identify risk </w:t>
      </w:r>
      <w:r w:rsidRPr="001E614D">
        <w:rPr>
          <w:rFonts w:ascii="Times New Roman" w:eastAsia="Arial" w:hAnsi="Times New Roman" w:cs="Times New Roman"/>
          <w:sz w:val="24"/>
          <w:szCs w:val="24"/>
          <w:shd w:val="clear" w:color="auto" w:fill="FFFFFF"/>
        </w:rPr>
        <w:lastRenderedPageBreak/>
        <w:t>factors, develop appropriate diagnostic methods, and apply targeted prevention and treatment</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&lt;EndNote&gt;&lt;Cite&gt;&lt;Author&gt;Zhou&lt;/Author&gt;&lt;Year&gt;2020&lt;/Year&gt;&lt;RecNum&gt;675&lt;/RecNum&gt;&lt;DisplayText&gt;(Zhou et al., 2020)&lt;/DisplayText&gt;&lt;record&gt;&lt;rec-number&gt;675&lt;/rec-number&gt;&lt;foreign-keys&gt;&lt;key app="EN" db-id="xt2exae0qv2t5meds5xxawr9ed5vrfdxvezw" timestamp="1735474319"&gt;675&lt;/key&gt;&lt;/foreign-keys&gt;&lt;ref-type name="Journal Article"&gt;17&lt;/ref-type&gt;&lt;contributors&gt;&lt;authors&gt;&lt;author&gt;Zhou, Qi&lt;/author&gt;&lt;author&gt;Gao, Yelei&lt;/author&gt;&lt;author&gt;Wang, Xingmei&lt;/author&gt;&lt;author&gt;Liu, Rui&lt;/author&gt;&lt;author&gt;Du, Peipei&lt;/author&gt;&lt;author&gt;Wang, Xiaoqing&lt;/author&gt;&lt;author&gt;Zhang, Xianzhuo&lt;/author&gt;&lt;author&gt;Lu, Shuya&lt;/author&gt;&lt;author&gt;Wang, Zijun&lt;/author&gt;&lt;author&gt;Shi, Qianling&lt;/author&gt;&lt;/authors&gt;&lt;/contributors&gt;&lt;titles&gt;&lt;title&gt;Nosocomial infections among patients with COVID-19, SARS and MERS: a rapid review and meta-analysis&lt;/title&gt;&lt;secondary-title&gt;Annals of Translational Medicine&lt;/secondary-title&gt;&lt;/titles&gt;&lt;periodical&gt;&lt;full-title&gt;Annals of Translational Medicine&lt;/full-title&gt;&lt;/periodical&gt;&lt;volume&gt;8&lt;/volume&gt;&lt;number&gt;10&lt;/number&gt;&lt;dates&gt;&lt;year&gt;2020&lt;/year&gt;&lt;/dates&gt;&lt;urls&gt;&lt;/urls&gt;&lt;/record&gt;&lt;/Cite&gt;&lt;/EndNote&gt;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(Zhou et al., 2020)</w:t>
      </w:r>
      <w:r w:rsidR="005E55DD"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w:t>
      </w:r>
    </w:p>
    <w:p w14:paraId="5C9465C8" w14:textId="77777777" w:rsidR="00987A80" w:rsidRPr="001E614D" w:rsidRDefault="00987A80" w:rsidP="001E614D">
      <w:pPr>
        <w:spacing w:line="360" w:lineRule="auto"/>
        <w:jc w:val="both"/>
        <w:rPr>
          <w:rFonts w:ascii="Times New Roman" w:eastAsia="Arial" w:hAnsi="Times New Roman" w:cs="Times New Roman"/>
          <w:sz w:val="24"/>
          <w:szCs w:val="24"/>
          <w:shd w:val="clear" w:color="auto" w:fill="FFFFFF"/>
        </w:rPr>
      </w:pPr>
      <w:r w:rsidRPr="001E614D">
        <w:rPr>
          <w:rFonts w:ascii="Times New Roman" w:eastAsia="Arial" w:hAnsi="Times New Roman" w:cs="Times New Roman"/>
          <w:sz w:val="24"/>
          <w:szCs w:val="24"/>
          <w:shd w:val="clear" w:color="auto" w:fill="FFFFFF"/>
        </w:rPr>
        <w:t>Nosocomial infections arise due to a convergence of microbial virulence, patient susceptibility, and healthcare interventions in the pathogenesis. The typical pathogens implicated in nosocomial infections include Staphylococcus aureus, Clostridioides difficile, Candida species, and gram-negative bacilli, including Escherichia coli and Klebsiella pneumoniae, which eventually lead to infection via adhesion to host tissues, biofilm production on medical devices, or production of toxins or enzymes degrading t</w:t>
      </w:r>
      <w:r w:rsidR="00F325FB" w:rsidRPr="001E614D">
        <w:rPr>
          <w:rFonts w:ascii="Times New Roman" w:eastAsia="Arial" w:hAnsi="Times New Roman" w:cs="Times New Roman"/>
          <w:sz w:val="24"/>
          <w:szCs w:val="24"/>
          <w:shd w:val="clear" w:color="auto" w:fill="FFFFFF"/>
        </w:rPr>
        <w:t>he host's defenses</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&lt;EndNote&gt;&lt;Cite&gt;&lt;Author&gt;Pezhman&lt;/Author&gt;&lt;Year&gt;2021&lt;/Year&gt;&lt;RecNum&gt;676&lt;/RecNum&gt;&lt;DisplayText&gt;(Pezhman, Fatemeh, Amir, Mahboobeh, &amp;amp; Mohammad, 2021)&lt;/DisplayText&gt;&lt;record&gt;&lt;rec-number&gt;676&lt;/rec-number&gt;&lt;foreign-keys&gt;&lt;key app="EN" db-id="xt2exae0qv2t5meds5xxawr9ed5vrfdxvezw" timestamp="1735474371"&gt;676&lt;/key&gt;&lt;/foreign-keys&gt;&lt;ref-type name="Journal Article"&gt;17&lt;/ref-type&gt;&lt;contributors&gt;&lt;authors&gt;&lt;author&gt;Pezhman, Bagheri&lt;/author&gt;&lt;author&gt;Fatemeh, Rezaei&lt;/author&gt;&lt;author&gt;Amir, Roodgari&lt;/author&gt;&lt;author&gt;Mahboobeh, Rokhsari&lt;/author&gt;&lt;author&gt;Mohammad, Fararouei&lt;/author&gt;&lt;/authors&gt;&lt;/contributors&gt;&lt;titles&gt;&lt;title&gt;Nosocomial infections in an Iranian educational hospital: an evaluation study of the Iranian nosocomial infection surveillance system&lt;/title&gt;&lt;secondary-title&gt;BMC infectious diseases&lt;/secondary-title&gt;&lt;/titles&gt;&lt;periodical&gt;&lt;full-title&gt;BMC infectious diseases&lt;/full-title&gt;&lt;/periodical&gt;&lt;pages&gt;1256&lt;/pages&gt;&lt;volume&gt;21&lt;/volume&gt;&lt;number&gt;1&lt;/number&gt;&lt;dates&gt;&lt;year&gt;2021&lt;/year&gt;&lt;/dates&gt;&lt;isbn&gt;1471-2334&lt;/isbn&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(Pezhman, Fatemeh, Amir, Mahboobeh, &amp; Mohammad, 2021)</w:t>
      </w:r>
      <w:r w:rsidR="005E55DD"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 Biofilms are very important because they protect pathogens from the host immune system and antimicrobial agents, making it difficult to treat infections. Nosocomial pneumonia is one such type of pathogenesis. VAP is caused due to the prolonged mechanical ventilation of patients that disrupts the mucous membrane and allows healthcare-associated pathogens to colonize the lower respiratory tract</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&lt;EndNote&gt;&lt;Cite&gt;&lt;Author&gt;Dasgupta&lt;/Author&gt;&lt;Year&gt;2015&lt;/Year&gt;&lt;RecNum&gt;677&lt;/RecNum&gt;&lt;DisplayText&gt;(Dasgupta, Das, Chawan, &amp;amp; Hazra, 2015)&lt;/DisplayText&gt;&lt;record&gt;&lt;rec-number&gt;677&lt;/rec-number&gt;&lt;foreign-keys&gt;&lt;key app="EN" db-id="xt2exae0qv2t5meds5xxawr9ed5vrfdxvezw" timestamp="1735474418"&gt;677&lt;/key&gt;&lt;/foreign-keys&gt;&lt;ref-type name="Journal Article"&gt;17&lt;/ref-type&gt;&lt;contributors&gt;&lt;authors&gt;&lt;author&gt;Dasgupta, Sugata&lt;/author&gt;&lt;author&gt;Das, Soumi&lt;/author&gt;&lt;author&gt;Chawan, Neeraj S&lt;/author&gt;&lt;author&gt;Hazra, Avijit&lt;/author&gt;&lt;/authors&gt;&lt;/contributors&gt;&lt;titles&gt;&lt;title&gt;Nosocomial infections in the intensive care unit: Incidence, risk factors, outcome and associated pathogens in a public tertiary teaching hospital of Eastern India&lt;/title&gt;&lt;secondary-title&gt;Indian journal of critical care medicine: peer-reviewed, official publication of Indian Society of Critical Care Medicine&lt;/secondary-title&gt;&lt;/titles&gt;&lt;periodical&gt;&lt;full-title&gt;Indian journal of critical care medicine: peer-reviewed, official publication of Indian Society of Critical Care Medicine&lt;/full-title&gt;&lt;/periodical&gt;&lt;pages&gt;14&lt;/pages&gt;&lt;volume&gt;19&lt;/volume&gt;&lt;number&gt;1&lt;/number&gt;&lt;dates&gt;&lt;year&gt;2015&lt;/year&gt;&lt;/dates&gt;&lt;urls&gt;&lt;/urls&gt;&lt;/record&gt;&lt;/Cite&gt;&lt;/EndNote&gt;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(Dasgupta, Das, Chawan, &amp; Hazra, 2015)</w:t>
      </w:r>
      <w:r w:rsidR="005E55DD"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 Direct entry into the lungs is often facilitated by the use of endotracheal tubes, typically causing extreme inflammation and infection. Moreover, overuse or misuse of broad-spectrum antibiotics may alter the patient's microbiome, thereby predisposing them to opportunistic pathogens such as Candida and Clostridioides difficile</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&lt;EndNote&gt;&lt;Cite&gt;&lt;Author&gt;Salmanzadeh&lt;/Author&gt;&lt;Year&gt;2015&lt;/Year&gt;&lt;RecNum&gt;678&lt;/RecNum&gt;&lt;DisplayText&gt;(Salmanzadeh et al., 2015)&lt;/DisplayText&gt;&lt;record&gt;&lt;rec-number&gt;678&lt;/rec-number&gt;&lt;foreign-keys&gt;&lt;key app="EN" db-id="xt2exae0qv2t5meds5xxawr9ed5vrfdxvezw" timestamp="1735474455"&gt;678&lt;/key&gt;&lt;/foreign-keys&gt;&lt;ref-type name="Journal Article"&gt;17&lt;/ref-type&gt;&lt;contributors&gt;&lt;authors&gt;&lt;author&gt;Salmanzadeh, Shokrollah&lt;/author&gt;&lt;author&gt;Yousefi, Farid&lt;/author&gt;&lt;author&gt;Ahmadi, Fatemeh&lt;/author&gt;&lt;author&gt;Geravandi, Sahar&lt;/author&gt;&lt;author&gt;Moien, Moghgan&lt;/author&gt;&lt;author&gt;Mohammadi, Mohammad Javad&lt;/author&gt;&lt;author&gt;MAHMMODI, KOHI AZADEH&lt;/author&gt;&lt;author&gt;Alavi, Seyed Mohammad Amin&lt;/author&gt;&lt;author&gt;MOHAMADREZAI, ESFARJANI NILOOFAR&lt;/author&gt;&lt;/authors&gt;&lt;/contributors&gt;&lt;titles&gt;&lt;title&gt;Evaluation of nosocomial infections in a teaching hospital&lt;/title&gt;&lt;/titles&gt;&lt;dates&gt;&lt;year&gt;2015&lt;/year&gt;&lt;/dates&gt;&lt;urls&gt;&lt;/urls&gt;&lt;/record&gt;&lt;/Cite&gt;&lt;/EndNote&gt;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(Salmanzadeh et al., 2015)</w:t>
      </w:r>
      <w:r w:rsidR="005E55DD"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w:t>
      </w:r>
    </w:p>
    <w:p w14:paraId="4411982D" w14:textId="77777777" w:rsidR="00987A80" w:rsidRPr="001E614D" w:rsidRDefault="00987A80" w:rsidP="001E614D">
      <w:pPr>
        <w:spacing w:line="360" w:lineRule="auto"/>
        <w:jc w:val="both"/>
        <w:rPr>
          <w:rFonts w:ascii="Times New Roman" w:eastAsia="Arial" w:hAnsi="Times New Roman" w:cs="Times New Roman"/>
          <w:sz w:val="24"/>
          <w:szCs w:val="24"/>
          <w:shd w:val="clear" w:color="auto" w:fill="FFFFFF"/>
        </w:rPr>
      </w:pPr>
      <w:r w:rsidRPr="001E614D">
        <w:rPr>
          <w:rFonts w:ascii="Times New Roman" w:eastAsia="Arial" w:hAnsi="Times New Roman" w:cs="Times New Roman"/>
          <w:sz w:val="24"/>
          <w:szCs w:val="24"/>
          <w:shd w:val="clear" w:color="auto" w:fill="FFFFFF"/>
        </w:rPr>
        <w:t>Nosocomial infections arise from both patient vulnerabilities and healthcare interventions in collaboration with environmental factors. Immunosuppression, age extremes, and comorbidities such as diabetes and chronic respiratory conditions raise patient susceptibility to infections. Healthcare-related risks include invasive devices such as catheters, ventilators, and central lines that bypass the body's natural barriers and surgical procedures, particularly prolonged or complex ones, that predispose to infections</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&lt;EndNote&gt;&lt;Cite&gt;&lt;Author&gt;Grasselli&lt;/Author&gt;&lt;Year&gt;2017&lt;/Year&gt;&lt;RecNum&gt;679&lt;/RecNum&gt;&lt;DisplayText&gt;(Grasselli et al., 2017)&lt;/DisplayText&gt;&lt;record&gt;&lt;rec-number&gt;679&lt;/rec-number&gt;&lt;foreign-keys&gt;&lt;key app="EN" db-id="xt2exae0qv2t5meds5xxawr9ed5vrfdxvezw" timestamp="1735474488"&gt;679&lt;/key&gt;&lt;/foreign-keys&gt;&lt;ref-type name="Journal Article"&gt;17&lt;/ref-type&gt;&lt;contributors&gt;&lt;authors&gt;&lt;author&gt;Grasselli, Giacomo&lt;/author&gt;&lt;author&gt;Scaravilli, Vittorio&lt;/author&gt;&lt;author&gt;Di Bella, Stefano&lt;/author&gt;&lt;author&gt;Biffi, Stefano&lt;/author&gt;&lt;author&gt;Bombino, Michela&lt;/author&gt;&lt;author&gt;Patroniti, Nicolò&lt;/author&gt;&lt;author&gt;Bisi, Luca&lt;/author&gt;&lt;author&gt;Peri, Anna Maria&lt;/author&gt;&lt;author&gt;Pesenti, Antonio&lt;/author&gt;&lt;author&gt;Gori, Andrea&lt;/author&gt;&lt;/authors&gt;&lt;/contributors&gt;&lt;titles&gt;&lt;title&gt;Nosocomial infections during extracorporeal membrane oxygenation: incidence, etiology, and impact on patients’ outcome&lt;/title&gt;&lt;secondary-title&gt;Critical care medicine&lt;/secondary-title&gt;&lt;/titles&gt;&lt;periodical&gt;&lt;full-title&gt;Critical care medicine&lt;/full-title&gt;&lt;/periodical&gt;&lt;pages&gt;1726-1733&lt;/pages&gt;&lt;volume&gt;45&lt;/volume&gt;&lt;number&gt;10&lt;/number&gt;&lt;dates&gt;&lt;year&gt;2017&lt;/year&gt;&lt;/dates&gt;&lt;isbn&gt;0090-3493&lt;/isbn&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(Grasselli et al., 2017)</w:t>
      </w:r>
      <w:r w:rsidR="005E55DD"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 Overcrowding, non-adequate equipment sterilization, and low adherence to hand hygiene are environmental factors that increase transmission risks. In addition, antimicrobial resistance, which results from improper use of antibiotics, has created resistant microorganisms such as MRSA and VRE, making the treatment cycle complicated</w:t>
      </w:r>
      <w:r w:rsidR="005E55DD" w:rsidRPr="001E614D">
        <w:rPr>
          <w:rFonts w:ascii="Times New Roman" w:eastAsia="Arial" w:hAnsi="Times New Roman" w:cs="Times New Roman"/>
          <w:sz w:val="24"/>
          <w:szCs w:val="24"/>
          <w:shd w:val="clear" w:color="auto" w:fill="FFFFFF"/>
        </w:rPr>
        <w:fldChar w:fldCharType="begin"/>
      </w:r>
      <w:r w:rsidR="005E55DD" w:rsidRPr="001E614D">
        <w:rPr>
          <w:rFonts w:ascii="Times New Roman" w:eastAsia="Arial" w:hAnsi="Times New Roman" w:cs="Times New Roman"/>
          <w:sz w:val="24"/>
          <w:szCs w:val="24"/>
          <w:shd w:val="clear" w:color="auto" w:fill="FFFFFF"/>
        </w:rPr>
        <w:instrText xml:space="preserve"> ADDIN EN.CITE &lt;EndNote&gt;&lt;Cite&gt;&lt;Author&gt;Behnke&lt;/Author&gt;&lt;Year&gt;2017&lt;/Year&gt;&lt;RecNum&gt;680&lt;/RecNum&gt;&lt;DisplayText&gt;(Behnke et al., 2017)&lt;/DisplayText&gt;&lt;record&gt;&lt;rec-number&gt;680&lt;/rec-number&gt;&lt;foreign-keys&gt;&lt;key app="EN" db-id="xt2exae0qv2t5meds5xxawr9ed5vrfdxvezw" timestamp="1735474509"&gt;680&lt;/key&gt;&lt;/foreign-keys&gt;&lt;ref-type name="Journal Article"&gt;17&lt;/ref-type&gt;&lt;contributors&gt;&lt;authors&gt;&lt;author&gt;Behnke, Michael&lt;/author&gt;&lt;author&gt;Aghdassi, Seven Johannes&lt;/author&gt;&lt;author&gt;Hansen, Sonja&lt;/author&gt;&lt;author&gt;Pen, Alberto&lt;/author&gt;&lt;author&gt;Gastmeier, Petra&lt;/author&gt;&lt;author&gt;Piening, Brar&lt;/author&gt;&lt;/authors&gt;&lt;/contributors&gt;&lt;titles&gt;&lt;title&gt;The prevalence of nosocomial infection and antibiotic use in German hospitals&lt;/title&gt;&lt;secondary-title&gt;Deutsches Ärzteblatt International&lt;/secondary-title&gt;&lt;/titles&gt;&lt;periodical&gt;&lt;full-title&gt;Deutsches Ärzteblatt International&lt;/full-title&gt;&lt;/periodical&gt;&lt;pages&gt;851&lt;/pages&gt;&lt;volume&gt;114&lt;/volume&gt;&lt;number&gt;50&lt;/number&gt;&lt;dates&gt;&lt;year&gt;2017&lt;/year&gt;&lt;/dates&gt;&lt;urls&gt;&lt;/urls&gt;&lt;/record&gt;&lt;/Cite&gt;&lt;/EndNote&gt;</w:instrText>
      </w:r>
      <w:r w:rsidR="005E55DD" w:rsidRPr="001E614D">
        <w:rPr>
          <w:rFonts w:ascii="Times New Roman" w:eastAsia="Arial" w:hAnsi="Times New Roman" w:cs="Times New Roman"/>
          <w:sz w:val="24"/>
          <w:szCs w:val="24"/>
          <w:shd w:val="clear" w:color="auto" w:fill="FFFFFF"/>
        </w:rPr>
        <w:fldChar w:fldCharType="separate"/>
      </w:r>
      <w:r w:rsidR="005E55DD" w:rsidRPr="001E614D">
        <w:rPr>
          <w:rFonts w:ascii="Times New Roman" w:eastAsia="Arial" w:hAnsi="Times New Roman" w:cs="Times New Roman"/>
          <w:noProof/>
          <w:sz w:val="24"/>
          <w:szCs w:val="24"/>
          <w:shd w:val="clear" w:color="auto" w:fill="FFFFFF"/>
        </w:rPr>
        <w:t>(Behnke et al., 2017)</w:t>
      </w:r>
      <w:r w:rsidR="005E55DD"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w:t>
      </w:r>
    </w:p>
    <w:p w14:paraId="7207CD1D" w14:textId="77777777" w:rsidR="006675D5" w:rsidRPr="001E614D" w:rsidRDefault="00987A80" w:rsidP="001E614D">
      <w:pPr>
        <w:spacing w:line="360" w:lineRule="auto"/>
        <w:jc w:val="both"/>
        <w:rPr>
          <w:rFonts w:ascii="Times New Roman" w:eastAsia="Arial" w:hAnsi="Times New Roman" w:cs="Times New Roman"/>
          <w:sz w:val="24"/>
          <w:szCs w:val="24"/>
          <w:shd w:val="clear" w:color="auto" w:fill="FFFFFF"/>
        </w:rPr>
      </w:pPr>
      <w:r w:rsidRPr="001E614D">
        <w:rPr>
          <w:rFonts w:ascii="Times New Roman" w:eastAsia="Arial" w:hAnsi="Times New Roman" w:cs="Times New Roman"/>
          <w:sz w:val="24"/>
          <w:szCs w:val="24"/>
          <w:shd w:val="clear" w:color="auto" w:fill="FFFFFF"/>
        </w:rPr>
        <w:t xml:space="preserve">Nosocomial infections are dramatically complicated by the problem of AMR, endangering the efficacy of treatment, engendering increased morbidity and mortality, and increasing healthcare cost. Infections with multi-drug resistant organisms are particularly difficult to treat owing to the </w:t>
      </w:r>
      <w:r w:rsidRPr="001E614D">
        <w:rPr>
          <w:rFonts w:ascii="Times New Roman" w:eastAsia="Arial" w:hAnsi="Times New Roman" w:cs="Times New Roman"/>
          <w:sz w:val="24"/>
          <w:szCs w:val="24"/>
          <w:shd w:val="clear" w:color="auto" w:fill="FFFFFF"/>
        </w:rPr>
        <w:lastRenderedPageBreak/>
        <w:t>fact that most of the organisms within critical care settings possess vulnerabilities that are readily exposed</w:t>
      </w:r>
      <w:r w:rsidR="007249D4" w:rsidRPr="001E614D">
        <w:rPr>
          <w:rFonts w:ascii="Times New Roman" w:eastAsia="Arial" w:hAnsi="Times New Roman" w:cs="Times New Roman"/>
          <w:sz w:val="24"/>
          <w:szCs w:val="24"/>
          <w:shd w:val="clear" w:color="auto" w:fill="FFFFFF"/>
        </w:rPr>
        <w:fldChar w:fldCharType="begin"/>
      </w:r>
      <w:r w:rsidR="007249D4" w:rsidRPr="001E614D">
        <w:rPr>
          <w:rFonts w:ascii="Times New Roman" w:eastAsia="Arial" w:hAnsi="Times New Roman" w:cs="Times New Roman"/>
          <w:sz w:val="24"/>
          <w:szCs w:val="24"/>
          <w:shd w:val="clear" w:color="auto" w:fill="FFFFFF"/>
        </w:rPr>
        <w:instrText xml:space="preserve"> ADDIN EN.CITE &lt;EndNote&gt;&lt;Cite&gt;&lt;Author&gt;Suleyman&lt;/Author&gt;&lt;Year&gt;2016&lt;/Year&gt;&lt;RecNum&gt;681&lt;/RecNum&gt;&lt;DisplayText&gt;(Suleyman &amp;amp; Alangaden, 2016)&lt;/DisplayText&gt;&lt;record&gt;&lt;rec-number&gt;681&lt;/rec-number&gt;&lt;foreign-keys&gt;&lt;key app="EN" db-id="xt2exae0qv2t5meds5xxawr9ed5vrfdxvezw" timestamp="1735474534"&gt;681&lt;/key&gt;&lt;/foreign-keys&gt;&lt;ref-type name="Journal Article"&gt;17&lt;/ref-type&gt;&lt;contributors&gt;&lt;authors&gt;&lt;author&gt;Suleyman, Geehan&lt;/author&gt;&lt;author&gt;Alangaden, George J&lt;/author&gt;&lt;/authors&gt;&lt;/contributors&gt;&lt;titles&gt;&lt;title&gt;Nosocomial fungal infections: epidemiology, infection control, and prevention&lt;/title&gt;&lt;secondary-title&gt;Infectious Disease Clinics&lt;/secondary-title&gt;&lt;/titles&gt;&lt;periodical&gt;&lt;full-title&gt;Infectious Disease Clinics&lt;/full-title&gt;&lt;/periodical&gt;&lt;pages&gt;1023-1052&lt;/pages&gt;&lt;volume&gt;30&lt;/volume&gt;&lt;number&gt;4&lt;/number&gt;&lt;dates&gt;&lt;year&gt;2016&lt;/year&gt;&lt;/dates&gt;&lt;isbn&gt;0891-5520&lt;/isbn&gt;&lt;urls&gt;&lt;/urls&gt;&lt;/record&gt;&lt;/Cite&gt;&lt;/EndNote&gt;</w:instrText>
      </w:r>
      <w:r w:rsidR="007249D4" w:rsidRPr="001E614D">
        <w:rPr>
          <w:rFonts w:ascii="Times New Roman" w:eastAsia="Arial" w:hAnsi="Times New Roman" w:cs="Times New Roman"/>
          <w:sz w:val="24"/>
          <w:szCs w:val="24"/>
          <w:shd w:val="clear" w:color="auto" w:fill="FFFFFF"/>
        </w:rPr>
        <w:fldChar w:fldCharType="separate"/>
      </w:r>
      <w:r w:rsidR="007249D4" w:rsidRPr="001E614D">
        <w:rPr>
          <w:rFonts w:ascii="Times New Roman" w:eastAsia="Arial" w:hAnsi="Times New Roman" w:cs="Times New Roman"/>
          <w:noProof/>
          <w:sz w:val="24"/>
          <w:szCs w:val="24"/>
          <w:shd w:val="clear" w:color="auto" w:fill="FFFFFF"/>
        </w:rPr>
        <w:t>(Suleyman &amp; Alangaden, 2016)</w:t>
      </w:r>
      <w:r w:rsidR="007249D4"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 Significant resistance has been reported among the nosocomial isolates in the study conducted at a teaching hospital in Goa. Even pathogens such as Escherichia coli and Klebsiella pneumoniae were found to be resistant against third-generation cephalosporins and aminoglycosides, which are primarily used for their treatment. Likewise, gram-negative bacteria, such as Pseudomonas aeruginosa and Acinetobacter baumannii, are also usually resistant to multiple classes of antibiotics, including carbapenems, thereby posing problems in the treatment of infections caused by such pathogens</w:t>
      </w:r>
      <w:r w:rsidR="007249D4" w:rsidRPr="001E614D">
        <w:rPr>
          <w:rFonts w:ascii="Times New Roman" w:eastAsia="Arial" w:hAnsi="Times New Roman" w:cs="Times New Roman"/>
          <w:sz w:val="24"/>
          <w:szCs w:val="24"/>
          <w:shd w:val="clear" w:color="auto" w:fill="FFFFFF"/>
        </w:rPr>
        <w:fldChar w:fldCharType="begin"/>
      </w:r>
      <w:r w:rsidR="007249D4" w:rsidRPr="001E614D">
        <w:rPr>
          <w:rFonts w:ascii="Times New Roman" w:eastAsia="Arial" w:hAnsi="Times New Roman" w:cs="Times New Roman"/>
          <w:sz w:val="24"/>
          <w:szCs w:val="24"/>
          <w:shd w:val="clear" w:color="auto" w:fill="FFFFFF"/>
        </w:rPr>
        <w:instrText xml:space="preserve"> ADDIN EN.CITE &lt;EndNote&gt;&lt;Cite&gt;&lt;Author&gt;Mancini&lt;/Author&gt;&lt;Year&gt;2016&lt;/Year&gt;&lt;RecNum&gt;682&lt;/RecNum&gt;&lt;DisplayText&gt;(Mancini et al., 2016)&lt;/DisplayText&gt;&lt;record&gt;&lt;rec-number&gt;682&lt;/rec-number&gt;&lt;foreign-keys&gt;&lt;key app="EN" db-id="xt2exae0qv2t5meds5xxawr9ed5vrfdxvezw" timestamp="1735474557"&gt;682&lt;/key&gt;&lt;/foreign-keys&gt;&lt;ref-type name="Journal Article"&gt;17&lt;/ref-type&gt;&lt;contributors&gt;&lt;authors&gt;&lt;author&gt;Mancini, Alessio&lt;/author&gt;&lt;author&gt;Verdini, Daniele&lt;/author&gt;&lt;author&gt;La Vigna, Giorgio&lt;/author&gt;&lt;author&gt;Recanatini, Claudia&lt;/author&gt;&lt;author&gt;Lombardi, Francesca Elena&lt;/author&gt;&lt;author&gt;Barocci, Simone&lt;/author&gt;&lt;/authors&gt;&lt;/contributors&gt;&lt;titles&gt;&lt;title&gt;Retrospective analysis of nosocomial infections in an Italian tertiary care hospital&lt;/title&gt;&lt;secondary-title&gt;New Microbiologica&lt;/secondary-title&gt;&lt;/titles&gt;&lt;periodical&gt;&lt;full-title&gt;New Microbiologica&lt;/full-title&gt;&lt;/periodical&gt;&lt;pages&gt;197-205&lt;/pages&gt;&lt;volume&gt;39&lt;/volume&gt;&lt;number&gt;3&lt;/number&gt;&lt;dates&gt;&lt;year&gt;2016&lt;/year&gt;&lt;/dates&gt;&lt;isbn&gt;1121-7138&lt;/isbn&gt;&lt;urls&gt;&lt;/urls&gt;&lt;/record&gt;&lt;/Cite&gt;&lt;/EndNote&gt;</w:instrText>
      </w:r>
      <w:r w:rsidR="007249D4" w:rsidRPr="001E614D">
        <w:rPr>
          <w:rFonts w:ascii="Times New Roman" w:eastAsia="Arial" w:hAnsi="Times New Roman" w:cs="Times New Roman"/>
          <w:sz w:val="24"/>
          <w:szCs w:val="24"/>
          <w:shd w:val="clear" w:color="auto" w:fill="FFFFFF"/>
        </w:rPr>
        <w:fldChar w:fldCharType="separate"/>
      </w:r>
      <w:r w:rsidR="007249D4" w:rsidRPr="001E614D">
        <w:rPr>
          <w:rFonts w:ascii="Times New Roman" w:eastAsia="Arial" w:hAnsi="Times New Roman" w:cs="Times New Roman"/>
          <w:noProof/>
          <w:sz w:val="24"/>
          <w:szCs w:val="24"/>
          <w:shd w:val="clear" w:color="auto" w:fill="FFFFFF"/>
        </w:rPr>
        <w:t>(Mancini et al., 2016)</w:t>
      </w:r>
      <w:r w:rsidR="007249D4"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w:t>
      </w:r>
      <w:r w:rsidRPr="001E614D">
        <w:rPr>
          <w:rFonts w:ascii="Times New Roman" w:eastAsia="Arial" w:hAnsi="Times New Roman" w:cs="Times New Roman"/>
          <w:sz w:val="24"/>
          <w:szCs w:val="24"/>
          <w:shd w:val="clear" w:color="auto" w:fill="FFFFFF"/>
        </w:rPr>
        <w:br/>
      </w:r>
    </w:p>
    <w:p w14:paraId="3054B86A" w14:textId="77777777" w:rsidR="00987A80" w:rsidRPr="001E614D" w:rsidRDefault="00987A80" w:rsidP="001E614D">
      <w:pPr>
        <w:spacing w:line="360" w:lineRule="auto"/>
        <w:jc w:val="both"/>
        <w:rPr>
          <w:rFonts w:ascii="Times New Roman" w:eastAsia="Arial" w:hAnsi="Times New Roman" w:cs="Times New Roman"/>
          <w:sz w:val="24"/>
          <w:szCs w:val="24"/>
          <w:shd w:val="clear" w:color="auto" w:fill="FFFFFF"/>
        </w:rPr>
      </w:pPr>
      <w:r w:rsidRPr="001E614D">
        <w:rPr>
          <w:rFonts w:ascii="Times New Roman" w:eastAsia="Arial" w:hAnsi="Times New Roman" w:cs="Times New Roman"/>
          <w:sz w:val="24"/>
          <w:szCs w:val="24"/>
          <w:shd w:val="clear" w:color="auto" w:fill="FFFFFF"/>
        </w:rPr>
        <w:t>Factors include large-scale misuse and overuse of broad spectrum antibiotics in critical care units, and this applies particularly to gram-negative bacilli, which have mechanisms, such as the production of beta-lactamase and efflux pumps, that make them resistant to antimicrobial action. There is a report of the same pattern as being similar to human disease through a review on AMR in veterinary critical care, and it also raises an interdisciplinary implication towards human and animal health. The impact of AMR in the nosocomial environment is profound: nosocomially-acquired antibiotic-resistant organisms spread in a hospital and into the environment, facilitating outbreaks. There consequently becomes a need for stewardship programs that promote judicious use of antibiotics, infection control measures, and follow-up of resistance patterns at all times to change t</w:t>
      </w:r>
      <w:r w:rsidR="00F325FB" w:rsidRPr="001E614D">
        <w:rPr>
          <w:rFonts w:ascii="Times New Roman" w:eastAsia="Arial" w:hAnsi="Times New Roman" w:cs="Times New Roman"/>
          <w:sz w:val="24"/>
          <w:szCs w:val="24"/>
          <w:shd w:val="clear" w:color="auto" w:fill="FFFFFF"/>
        </w:rPr>
        <w:t>he treatment regimen</w:t>
      </w:r>
      <w:r w:rsidR="007249D4" w:rsidRPr="001E614D">
        <w:rPr>
          <w:rFonts w:ascii="Times New Roman" w:eastAsia="Arial" w:hAnsi="Times New Roman" w:cs="Times New Roman"/>
          <w:sz w:val="24"/>
          <w:szCs w:val="24"/>
          <w:shd w:val="clear" w:color="auto" w:fill="FFFFFF"/>
        </w:rPr>
        <w:fldChar w:fldCharType="begin"/>
      </w:r>
      <w:r w:rsidR="007249D4" w:rsidRPr="001E614D">
        <w:rPr>
          <w:rFonts w:ascii="Times New Roman" w:eastAsia="Arial" w:hAnsi="Times New Roman" w:cs="Times New Roman"/>
          <w:sz w:val="24"/>
          <w:szCs w:val="24"/>
          <w:shd w:val="clear" w:color="auto" w:fill="FFFFFF"/>
        </w:rPr>
        <w:instrText xml:space="preserve"> ADDIN EN.CITE &lt;EndNote&gt;&lt;Cite&gt;&lt;Author&gt;Ghashghaee&lt;/Author&gt;&lt;Year&gt;2018&lt;/Year&gt;&lt;RecNum&gt;683&lt;/RecNum&gt;&lt;DisplayText&gt;(Ghashghaee et al., 2018)&lt;/DisplayText&gt;&lt;record&gt;&lt;rec-number&gt;683&lt;/rec-number&gt;&lt;foreign-keys&gt;&lt;key app="EN" db-id="xt2exae0qv2t5meds5xxawr9ed5vrfdxvezw" timestamp="1735474583"&gt;683&lt;/key&gt;&lt;/foreign-keys&gt;&lt;ref-type name="Journal Article"&gt;17&lt;/ref-type&gt;&lt;contributors&gt;&lt;authors&gt;&lt;author&gt;Ghashghaee, Ahmad&lt;/author&gt;&lt;author&gt;Behzadifar, Masoud&lt;/author&gt;&lt;author&gt;Azari, Samad&lt;/author&gt;&lt;author&gt;Farhadi, Zeynab&lt;/author&gt;&lt;author&gt;Bragazzi, Nicola Luigi&lt;/author&gt;&lt;author&gt;Behzadifar, Meysam&lt;/author&gt;&lt;author&gt;Shahri, Sahar Sadat Saeedi&lt;/author&gt;&lt;author&gt;Ghaemmohamadi, Mozhgan Sadat&lt;/author&gt;&lt;author&gt;Ebadi, Faezeh&lt;/author&gt;&lt;author&gt;Mohammadibakhsh, Roghayeh&lt;/author&gt;&lt;/authors&gt;&lt;/contributors&gt;&lt;titles&gt;&lt;title&gt;Prevalence of nosocomial infections in Iran: A systematic review and meta-analysis&lt;/title&gt;&lt;secondary-title&gt;Medical journal of the Islamic Republic of Iran&lt;/secondary-title&gt;&lt;/titles&gt;&lt;periodical&gt;&lt;full-title&gt;Medical journal of the Islamic Republic of Iran&lt;/full-title&gt;&lt;/periodical&gt;&lt;pages&gt;48&lt;/pages&gt;&lt;volume&gt;32&lt;/volume&gt;&lt;dates&gt;&lt;year&gt;2018&lt;/year&gt;&lt;/dates&gt;&lt;urls&gt;&lt;/urls&gt;&lt;/record&gt;&lt;/Cite&gt;&lt;/EndNote&gt;</w:instrText>
      </w:r>
      <w:r w:rsidR="007249D4" w:rsidRPr="001E614D">
        <w:rPr>
          <w:rFonts w:ascii="Times New Roman" w:eastAsia="Arial" w:hAnsi="Times New Roman" w:cs="Times New Roman"/>
          <w:sz w:val="24"/>
          <w:szCs w:val="24"/>
          <w:shd w:val="clear" w:color="auto" w:fill="FFFFFF"/>
        </w:rPr>
        <w:fldChar w:fldCharType="separate"/>
      </w:r>
      <w:r w:rsidR="007249D4" w:rsidRPr="001E614D">
        <w:rPr>
          <w:rFonts w:ascii="Times New Roman" w:eastAsia="Arial" w:hAnsi="Times New Roman" w:cs="Times New Roman"/>
          <w:noProof/>
          <w:sz w:val="24"/>
          <w:szCs w:val="24"/>
          <w:shd w:val="clear" w:color="auto" w:fill="FFFFFF"/>
        </w:rPr>
        <w:t>(Ghashghaee et al., 2018)</w:t>
      </w:r>
      <w:r w:rsidR="007249D4"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w:t>
      </w:r>
    </w:p>
    <w:p w14:paraId="3D337D1F" w14:textId="77777777" w:rsidR="00987A80" w:rsidRPr="001E614D" w:rsidRDefault="00987A80" w:rsidP="001E614D">
      <w:pPr>
        <w:spacing w:line="360" w:lineRule="auto"/>
        <w:jc w:val="both"/>
        <w:rPr>
          <w:rFonts w:ascii="Times New Roman" w:eastAsia="Arial" w:hAnsi="Times New Roman" w:cs="Times New Roman"/>
          <w:sz w:val="24"/>
          <w:szCs w:val="24"/>
          <w:shd w:val="clear" w:color="auto" w:fill="FFFFFF"/>
        </w:rPr>
      </w:pPr>
      <w:r w:rsidRPr="001E614D">
        <w:rPr>
          <w:rFonts w:ascii="Times New Roman" w:eastAsia="Arial" w:hAnsi="Times New Roman" w:cs="Times New Roman"/>
          <w:sz w:val="24"/>
          <w:szCs w:val="24"/>
          <w:shd w:val="clear" w:color="auto" w:fill="FFFFFF"/>
        </w:rPr>
        <w:t>Nosocomial infections are a big clinical and economic burden and have often resulted in longer hospital stays, more morbidity and mortality. Most infections related to implantable biomaterials like central venous catheters and urinary catheters are complicated by bloodstream infections and catheter associated urinary tract infections. These infections prolong recovery and increase healthcare costs on account of extended treatment and more i</w:t>
      </w:r>
      <w:r w:rsidR="006675D5" w:rsidRPr="001E614D">
        <w:rPr>
          <w:rFonts w:ascii="Times New Roman" w:eastAsia="Arial" w:hAnsi="Times New Roman" w:cs="Times New Roman"/>
          <w:sz w:val="24"/>
          <w:szCs w:val="24"/>
          <w:shd w:val="clear" w:color="auto" w:fill="FFFFFF"/>
        </w:rPr>
        <w:t>nterventions that may be needed.</w:t>
      </w:r>
      <w:r w:rsidR="006675D5" w:rsidRPr="001E614D">
        <w:rPr>
          <w:rFonts w:ascii="Times New Roman" w:eastAsia="Arial" w:hAnsi="Times New Roman" w:cs="Times New Roman"/>
          <w:sz w:val="24"/>
          <w:szCs w:val="24"/>
          <w:shd w:val="clear" w:color="auto" w:fill="FFFFFF"/>
        </w:rPr>
        <w:br/>
      </w:r>
      <w:r w:rsidRPr="001E614D">
        <w:rPr>
          <w:rFonts w:ascii="Times New Roman" w:eastAsia="Arial" w:hAnsi="Times New Roman" w:cs="Times New Roman"/>
          <w:sz w:val="24"/>
          <w:szCs w:val="24"/>
          <w:shd w:val="clear" w:color="auto" w:fill="FFFFFF"/>
        </w:rPr>
        <w:t>One of the most difficult nosocomial pathogens is Gram-positive bacteremia, primarily caused by Staphylococcus aureus and Enterococcus species. Of particular concern is the development of resistant strains, such as methicillin-resistant Staphylococcus aureus (MRSA) and vancomycin-resistant enterococci (VRE), associated with potentially life-threatening delays in treatment and increased mortality</w:t>
      </w:r>
      <w:r w:rsidR="007249D4" w:rsidRPr="001E614D">
        <w:rPr>
          <w:rFonts w:ascii="Times New Roman" w:eastAsia="Arial" w:hAnsi="Times New Roman" w:cs="Times New Roman"/>
          <w:sz w:val="24"/>
          <w:szCs w:val="24"/>
          <w:shd w:val="clear" w:color="auto" w:fill="FFFFFF"/>
        </w:rPr>
        <w:fldChar w:fldCharType="begin"/>
      </w:r>
      <w:r w:rsidR="007249D4" w:rsidRPr="001E614D">
        <w:rPr>
          <w:rFonts w:ascii="Times New Roman" w:eastAsia="Arial" w:hAnsi="Times New Roman" w:cs="Times New Roman"/>
          <w:sz w:val="24"/>
          <w:szCs w:val="24"/>
          <w:shd w:val="clear" w:color="auto" w:fill="FFFFFF"/>
        </w:rPr>
        <w:instrText xml:space="preserve"> ADDIN EN.CITE &lt;EndNote&gt;&lt;Cite&gt;&lt;Author&gt;Abbasi&lt;/Author&gt;&lt;Year&gt;2020&lt;/Year&gt;&lt;RecNum&gt;684&lt;/RecNum&gt;&lt;DisplayText&gt;(Abbasi, Aftab, &amp;amp; Chua, 2020)&lt;/DisplayText&gt;&lt;record&gt;&lt;rec-number&gt;684&lt;/rec-number&gt;&lt;foreign-keys&gt;&lt;key app="EN" db-id="xt2exae0qv2t5meds5xxawr9ed5vrfdxvezw" timestamp="1735474631"&gt;684&lt;/key&gt;&lt;/foreign-keys&gt;&lt;ref-type name="Journal Article"&gt;17&lt;/ref-type&gt;&lt;contributors&gt;&lt;authors&gt;&lt;author&gt;Abbasi, Saad Hanif&lt;/author&gt;&lt;author&gt;Aftab, Raja Ahsan&lt;/author&gt;&lt;author&gt;Chua, Siew Siang&lt;/author&gt;&lt;/authors&gt;&lt;/contributors&gt;&lt;titles&gt;&lt;title&gt;Risk factors associated with nosocomial infections among end stage renal disease patients undergoing hemodialysis: a systematic review&lt;/title&gt;&lt;secondary-title&gt;PloS one&lt;/secondary-title&gt;&lt;/titles&gt;&lt;periodical&gt;&lt;full-title&gt;PLoS One&lt;/full-title&gt;&lt;/periodical&gt;&lt;pages&gt;e0234376&lt;/pages&gt;&lt;volume&gt;15&lt;/volume&gt;&lt;number&gt;6&lt;/number&gt;&lt;dates&gt;&lt;year&gt;2020&lt;/year&gt;&lt;/dates&gt;&lt;isbn&gt;1932-6203&lt;/isbn&gt;&lt;urls&gt;&lt;/urls&gt;&lt;/record&gt;&lt;/Cite&gt;&lt;/EndNote&gt;</w:instrText>
      </w:r>
      <w:r w:rsidR="007249D4" w:rsidRPr="001E614D">
        <w:rPr>
          <w:rFonts w:ascii="Times New Roman" w:eastAsia="Arial" w:hAnsi="Times New Roman" w:cs="Times New Roman"/>
          <w:sz w:val="24"/>
          <w:szCs w:val="24"/>
          <w:shd w:val="clear" w:color="auto" w:fill="FFFFFF"/>
        </w:rPr>
        <w:fldChar w:fldCharType="separate"/>
      </w:r>
      <w:r w:rsidR="007249D4" w:rsidRPr="001E614D">
        <w:rPr>
          <w:rFonts w:ascii="Times New Roman" w:eastAsia="Arial" w:hAnsi="Times New Roman" w:cs="Times New Roman"/>
          <w:noProof/>
          <w:sz w:val="24"/>
          <w:szCs w:val="24"/>
          <w:shd w:val="clear" w:color="auto" w:fill="FFFFFF"/>
        </w:rPr>
        <w:t>(Abbasi, Aftab, &amp; Chua, 2020)</w:t>
      </w:r>
      <w:r w:rsidR="007249D4"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 xml:space="preserve">. The confounding effect of superimposed antimicrobial resistance complicates treatment and makes it harder to manage infections and </w:t>
      </w:r>
      <w:r w:rsidRPr="001E614D">
        <w:rPr>
          <w:rFonts w:ascii="Times New Roman" w:eastAsia="Arial" w:hAnsi="Times New Roman" w:cs="Times New Roman"/>
          <w:sz w:val="24"/>
          <w:szCs w:val="24"/>
          <w:shd w:val="clear" w:color="auto" w:fill="FFFFFF"/>
        </w:rPr>
        <w:lastRenderedPageBreak/>
        <w:t>leads to poor outcomes.</w:t>
      </w:r>
      <w:r w:rsidR="003D1548" w:rsidRPr="001E614D">
        <w:rPr>
          <w:rFonts w:ascii="Times New Roman" w:eastAsia="Arial" w:hAnsi="Times New Roman" w:cs="Times New Roman"/>
          <w:sz w:val="24"/>
          <w:szCs w:val="24"/>
          <w:shd w:val="clear" w:color="auto" w:fill="FFFFFF"/>
        </w:rPr>
        <w:t xml:space="preserve"> </w:t>
      </w:r>
      <w:r w:rsidRPr="001E614D">
        <w:rPr>
          <w:rFonts w:ascii="Times New Roman" w:eastAsia="Arial" w:hAnsi="Times New Roman" w:cs="Times New Roman"/>
          <w:sz w:val="24"/>
          <w:szCs w:val="24"/>
          <w:shd w:val="clear" w:color="auto" w:fill="FFFFFF"/>
        </w:rPr>
        <w:t>New interests have emerged with the reevaluation of older antibiotics, such as polymyxins and fosfomycin, to combat MDR bacterial infections. These agents are repurposed to counter the problem of resistance, especially when new antibiotics fail because of severe resistance mechanisms</w:t>
      </w:r>
      <w:r w:rsidR="007249D4" w:rsidRPr="001E614D">
        <w:rPr>
          <w:rFonts w:ascii="Times New Roman" w:eastAsia="Arial" w:hAnsi="Times New Roman" w:cs="Times New Roman"/>
          <w:sz w:val="24"/>
          <w:szCs w:val="24"/>
          <w:shd w:val="clear" w:color="auto" w:fill="FFFFFF"/>
        </w:rPr>
        <w:fldChar w:fldCharType="begin"/>
      </w:r>
      <w:r w:rsidR="007249D4" w:rsidRPr="001E614D">
        <w:rPr>
          <w:rFonts w:ascii="Times New Roman" w:eastAsia="Arial" w:hAnsi="Times New Roman" w:cs="Times New Roman"/>
          <w:sz w:val="24"/>
          <w:szCs w:val="24"/>
          <w:shd w:val="clear" w:color="auto" w:fill="FFFFFF"/>
        </w:rPr>
        <w:instrText xml:space="preserve"> ADDIN EN.CITE &lt;EndNote&gt;&lt;Cite&gt;&lt;Author&gt;Schweiger&lt;/Author&gt;&lt;Year&gt;2015&lt;/Year&gt;&lt;RecNum&gt;685&lt;/RecNum&gt;&lt;DisplayText&gt;(Schweiger, Trevino, &amp;amp; Marschall, 2015)&lt;/DisplayText&gt;&lt;record&gt;&lt;rec-number&gt;685&lt;/rec-number&gt;&lt;foreign-keys&gt;&lt;key app="EN" db-id="xt2exae0qv2t5meds5xxawr9ed5vrfdxvezw" timestamp="1735474653"&gt;685&lt;/key&gt;&lt;/foreign-keys&gt;&lt;ref-type name="Book Section"&gt;5&lt;/ref-type&gt;&lt;contributors&gt;&lt;authors&gt;&lt;author&gt;Schweiger, Alexander&lt;/author&gt;&lt;author&gt;Trevino, Sergio&lt;/author&gt;&lt;author&gt;Marschall, Jonas&lt;/author&gt;&lt;/authors&gt;&lt;/contributors&gt;&lt;titles&gt;&lt;title&gt;Nosocomial infections in dialysis access&lt;/title&gt;&lt;secondary-title&gt;Patient Safety in Dialysis Access&lt;/secondary-title&gt;&lt;/titles&gt;&lt;pages&gt;205-221&lt;/pages&gt;&lt;volume&gt;184&lt;/volume&gt;&lt;dates&gt;&lt;year&gt;2015&lt;/year&gt;&lt;/dates&gt;&lt;publisher&gt;Karger Publishers&lt;/publisher&gt;&lt;urls&gt;&lt;/urls&gt;&lt;/record&gt;&lt;/Cite&gt;&lt;/EndNote&gt;</w:instrText>
      </w:r>
      <w:r w:rsidR="007249D4" w:rsidRPr="001E614D">
        <w:rPr>
          <w:rFonts w:ascii="Times New Roman" w:eastAsia="Arial" w:hAnsi="Times New Roman" w:cs="Times New Roman"/>
          <w:sz w:val="24"/>
          <w:szCs w:val="24"/>
          <w:shd w:val="clear" w:color="auto" w:fill="FFFFFF"/>
        </w:rPr>
        <w:fldChar w:fldCharType="separate"/>
      </w:r>
      <w:r w:rsidR="007249D4" w:rsidRPr="001E614D">
        <w:rPr>
          <w:rFonts w:ascii="Times New Roman" w:eastAsia="Arial" w:hAnsi="Times New Roman" w:cs="Times New Roman"/>
          <w:noProof/>
          <w:sz w:val="24"/>
          <w:szCs w:val="24"/>
          <w:shd w:val="clear" w:color="auto" w:fill="FFFFFF"/>
        </w:rPr>
        <w:t>(Schweiger, Trevino, &amp; Marschall, 2015)</w:t>
      </w:r>
      <w:r w:rsidR="007249D4"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 Careful selection, proper dosing, and suitable duration of antibiotic treatments help reduce resistance and protect the effectiveness of existing medications.</w:t>
      </w:r>
      <w:r w:rsidR="006675D5" w:rsidRPr="001E614D">
        <w:rPr>
          <w:rFonts w:ascii="Times New Roman" w:eastAsia="Arial" w:hAnsi="Times New Roman" w:cs="Times New Roman"/>
          <w:sz w:val="24"/>
          <w:szCs w:val="24"/>
          <w:shd w:val="clear" w:color="auto" w:fill="FFFFFF"/>
        </w:rPr>
        <w:t xml:space="preserve"> </w:t>
      </w:r>
      <w:r w:rsidRPr="001E614D">
        <w:rPr>
          <w:rFonts w:ascii="Times New Roman" w:eastAsia="Arial" w:hAnsi="Times New Roman" w:cs="Times New Roman"/>
          <w:sz w:val="24"/>
          <w:szCs w:val="24"/>
          <w:shd w:val="clear" w:color="auto" w:fill="FFFFFF"/>
        </w:rPr>
        <w:t>Antibiotics are used in the treatment of nosocomial infections, and the choice is based on the pathogens, the anatomic site involved, and local trends in resistance. In general, for severe gram-negative infections such as Klebsiella pneumoniae and Pseudomonas aeruginosa, carbapenems, third-generation cephalosporins, and fluoroquinolones are used. For gram-positive pathogens, including methicillin-resistant Staphylococcus aureus (MRSA), vancomyci</w:t>
      </w:r>
      <w:r w:rsidR="00F325FB" w:rsidRPr="001E614D">
        <w:rPr>
          <w:rFonts w:ascii="Times New Roman" w:eastAsia="Arial" w:hAnsi="Times New Roman" w:cs="Times New Roman"/>
          <w:sz w:val="24"/>
          <w:szCs w:val="24"/>
          <w:shd w:val="clear" w:color="auto" w:fill="FFFFFF"/>
        </w:rPr>
        <w:t xml:space="preserve">n and linezolid are mainly used </w:t>
      </w:r>
      <w:r w:rsidRPr="001E614D">
        <w:rPr>
          <w:rFonts w:ascii="Times New Roman" w:eastAsia="Arial" w:hAnsi="Times New Roman" w:cs="Times New Roman"/>
          <w:sz w:val="24"/>
          <w:szCs w:val="24"/>
          <w:shd w:val="clear" w:color="auto" w:fill="FFFFFF"/>
        </w:rPr>
        <w:t>zin</w:t>
      </w:r>
      <w:r w:rsidR="00F325FB" w:rsidRPr="001E614D">
        <w:rPr>
          <w:rFonts w:ascii="Times New Roman" w:eastAsia="Arial" w:hAnsi="Times New Roman" w:cs="Times New Roman"/>
          <w:sz w:val="24"/>
          <w:szCs w:val="24"/>
          <w:shd w:val="clear" w:color="auto" w:fill="FFFFFF"/>
        </w:rPr>
        <w:t>c</w:t>
      </w:r>
      <w:r w:rsidR="007249D4" w:rsidRPr="001E614D">
        <w:rPr>
          <w:rFonts w:ascii="Times New Roman" w:eastAsia="Arial" w:hAnsi="Times New Roman" w:cs="Times New Roman"/>
          <w:sz w:val="24"/>
          <w:szCs w:val="24"/>
          <w:shd w:val="clear" w:color="auto" w:fill="FFFFFF"/>
        </w:rPr>
        <w:fldChar w:fldCharType="begin"/>
      </w:r>
      <w:r w:rsidR="007249D4" w:rsidRPr="001E614D">
        <w:rPr>
          <w:rFonts w:ascii="Times New Roman" w:eastAsia="Arial" w:hAnsi="Times New Roman" w:cs="Times New Roman"/>
          <w:sz w:val="24"/>
          <w:szCs w:val="24"/>
          <w:shd w:val="clear" w:color="auto" w:fill="FFFFFF"/>
        </w:rPr>
        <w:instrText xml:space="preserve"> ADDIN EN.CITE &lt;EndNote&gt;&lt;Cite&gt;&lt;Author&gt;Ishigami&lt;/Author&gt;&lt;Year&gt;2019&lt;/Year&gt;&lt;RecNum&gt;686&lt;/RecNum&gt;&lt;DisplayText&gt;(Ishigami &amp;amp; Matsushita, 2019)&lt;/DisplayText&gt;&lt;record&gt;&lt;rec-number&gt;686&lt;/rec-number&gt;&lt;foreign-keys&gt;&lt;key app="EN" db-id="xt2exae0qv2t5meds5xxawr9ed5vrfdxvezw" timestamp="1735474694"&gt;686&lt;/key&gt;&lt;/foreign-keys&gt;&lt;ref-type name="Journal Article"&gt;17&lt;/ref-type&gt;&lt;contributors&gt;&lt;authors&gt;&lt;author&gt;Ishigami, Junichi&lt;/author&gt;&lt;author&gt;Matsushita, Kunihiro&lt;/author&gt;&lt;/authors&gt;&lt;/contributors&gt;&lt;titles&gt;&lt;title&gt;Clinical epidemiology of infectious disease among patients with chronic kidney disease&lt;/title&gt;&lt;secondary-title&gt;Clinical and experimental nephrology&lt;/secondary-title&gt;&lt;/titles&gt;&lt;periodical&gt;&lt;full-title&gt;Clinical and experimental nephrology&lt;/full-title&gt;&lt;/periodical&gt;&lt;pages&gt;437-447&lt;/pages&gt;&lt;volume&gt;23&lt;/volume&gt;&lt;dates&gt;&lt;year&gt;2019&lt;/year&gt;&lt;/dates&gt;&lt;isbn&gt;1342-1751&lt;/isbn&gt;&lt;urls&gt;&lt;/urls&gt;&lt;/record&gt;&lt;/Cite&gt;&lt;/EndNote&gt;</w:instrText>
      </w:r>
      <w:r w:rsidR="007249D4" w:rsidRPr="001E614D">
        <w:rPr>
          <w:rFonts w:ascii="Times New Roman" w:eastAsia="Arial" w:hAnsi="Times New Roman" w:cs="Times New Roman"/>
          <w:sz w:val="24"/>
          <w:szCs w:val="24"/>
          <w:shd w:val="clear" w:color="auto" w:fill="FFFFFF"/>
        </w:rPr>
        <w:fldChar w:fldCharType="separate"/>
      </w:r>
      <w:r w:rsidR="007249D4" w:rsidRPr="001E614D">
        <w:rPr>
          <w:rFonts w:ascii="Times New Roman" w:eastAsia="Arial" w:hAnsi="Times New Roman" w:cs="Times New Roman"/>
          <w:noProof/>
          <w:sz w:val="24"/>
          <w:szCs w:val="24"/>
          <w:shd w:val="clear" w:color="auto" w:fill="FFFFFF"/>
        </w:rPr>
        <w:t>(Ishigami &amp; Matsushita, 2019)</w:t>
      </w:r>
      <w:r w:rsidR="007249D4" w:rsidRPr="001E614D">
        <w:rPr>
          <w:rFonts w:ascii="Times New Roman" w:eastAsia="Arial" w:hAnsi="Times New Roman" w:cs="Times New Roman"/>
          <w:sz w:val="24"/>
          <w:szCs w:val="24"/>
          <w:shd w:val="clear" w:color="auto" w:fill="FFFFFF"/>
        </w:rPr>
        <w:fldChar w:fldCharType="end"/>
      </w:r>
      <w:r w:rsidR="006675D5" w:rsidRPr="001E614D">
        <w:rPr>
          <w:rFonts w:ascii="Times New Roman" w:eastAsia="Arial" w:hAnsi="Times New Roman" w:cs="Times New Roman"/>
          <w:sz w:val="24"/>
          <w:szCs w:val="24"/>
          <w:shd w:val="clear" w:color="auto" w:fill="FFFFFF"/>
        </w:rPr>
        <w:t>.</w:t>
      </w:r>
      <w:r w:rsidR="006675D5" w:rsidRPr="001E614D">
        <w:rPr>
          <w:rFonts w:ascii="Times New Roman" w:eastAsia="Arial" w:hAnsi="Times New Roman" w:cs="Times New Roman"/>
          <w:sz w:val="24"/>
          <w:szCs w:val="24"/>
          <w:shd w:val="clear" w:color="auto" w:fill="FFFFFF"/>
        </w:rPr>
        <w:br/>
      </w:r>
      <w:r w:rsidRPr="001E614D">
        <w:rPr>
          <w:rFonts w:ascii="Times New Roman" w:eastAsia="Arial" w:hAnsi="Times New Roman" w:cs="Times New Roman"/>
          <w:sz w:val="24"/>
          <w:szCs w:val="24"/>
          <w:shd w:val="clear" w:color="auto" w:fill="FFFFFF"/>
        </w:rPr>
        <w:t xml:space="preserve">However, excessive use of these antibiotics has increased resistance, especially within the intensive care area, where such infections are common, including those related to ventilator-associated pneumonia and bloodstream infections. It is evident from studies such as the national prevalence survey conducted in Germany that beta-lactams and glycopeptides are utilized predominantly in hospitals, which reflects their use in nosocomial infections. Ensuring the use of antibiotics is </w:t>
      </w:r>
      <w:r w:rsidR="001E614D" w:rsidRPr="001E614D">
        <w:rPr>
          <w:rFonts w:ascii="Times New Roman" w:eastAsia="Arial" w:hAnsi="Times New Roman" w:cs="Times New Roman"/>
          <w:sz w:val="24"/>
          <w:szCs w:val="24"/>
          <w:shd w:val="clear" w:color="auto" w:fill="FFFFFF"/>
        </w:rPr>
        <w:t>optimized</w:t>
      </w:r>
      <w:r w:rsidRPr="001E614D">
        <w:rPr>
          <w:rFonts w:ascii="Times New Roman" w:eastAsia="Arial" w:hAnsi="Times New Roman" w:cs="Times New Roman"/>
          <w:sz w:val="24"/>
          <w:szCs w:val="24"/>
          <w:shd w:val="clear" w:color="auto" w:fill="FFFFFF"/>
        </w:rPr>
        <w:t xml:space="preserve"> through stewardship programs will ensure efficacy and not allow the emergence of multidrug-resistant organisms</w:t>
      </w:r>
      <w:r w:rsidR="007249D4" w:rsidRPr="001E614D">
        <w:rPr>
          <w:rFonts w:ascii="Times New Roman" w:eastAsia="Arial" w:hAnsi="Times New Roman" w:cs="Times New Roman"/>
          <w:sz w:val="24"/>
          <w:szCs w:val="24"/>
          <w:shd w:val="clear" w:color="auto" w:fill="FFFFFF"/>
        </w:rPr>
        <w:fldChar w:fldCharType="begin"/>
      </w:r>
      <w:r w:rsidR="007249D4" w:rsidRPr="001E614D">
        <w:rPr>
          <w:rFonts w:ascii="Times New Roman" w:eastAsia="Arial" w:hAnsi="Times New Roman" w:cs="Times New Roman"/>
          <w:sz w:val="24"/>
          <w:szCs w:val="24"/>
          <w:shd w:val="clear" w:color="auto" w:fill="FFFFFF"/>
        </w:rPr>
        <w:instrText xml:space="preserve"> ADDIN EN.CITE &lt;EndNote&gt;&lt;Cite&gt;&lt;Author&gt;Starzyk-Łuszcz&lt;/Author&gt;&lt;Year&gt;2017&lt;/Year&gt;&lt;RecNum&gt;687&lt;/RecNum&gt;&lt;DisplayText&gt;(Starzyk-Łuszcz, Zielonka, Jakubik, &amp;amp; Życińska, 2017)&lt;/DisplayText&gt;&lt;record&gt;&lt;rec-number&gt;687&lt;/rec-number&gt;&lt;foreign-keys&gt;&lt;key app="EN" db-id="xt2exae0qv2t5meds5xxawr9ed5vrfdxvezw" timestamp="1735474721"&gt;687&lt;/key&gt;&lt;/foreign-keys&gt;&lt;ref-type name="Journal Article"&gt;17&lt;/ref-type&gt;&lt;contributors&gt;&lt;authors&gt;&lt;author&gt;Starzyk-Łuszcz, Katarzyna&lt;/author&gt;&lt;author&gt;Zielonka, Tadeusz M&lt;/author&gt;&lt;author&gt;Jakubik, Joanna&lt;/author&gt;&lt;author&gt;Życińska, Katarzyna&lt;/author&gt;&lt;/authors&gt;&lt;/contributors&gt;&lt;titles&gt;&lt;title&gt;Mortality due to nosocomial infection with Klebsiella pneumoniae ESBL+&lt;/title&gt;&lt;secondary-title&gt;Clinical Management of Pulmonary Disorders and Diseases&lt;/secondary-title&gt;&lt;/titles&gt;&lt;periodical&gt;&lt;full-title&gt;Clinical Management of Pulmonary Disorders and Diseases&lt;/full-title&gt;&lt;/periodical&gt;&lt;pages&gt;19-26&lt;/pages&gt;&lt;dates&gt;&lt;year&gt;2017&lt;/year&gt;&lt;/dates&gt;&lt;isbn&gt;3319695444&lt;/isbn&gt;&lt;urls&gt;&lt;/urls&gt;&lt;/record&gt;&lt;/Cite&gt;&lt;/EndNote&gt;</w:instrText>
      </w:r>
      <w:r w:rsidR="007249D4" w:rsidRPr="001E614D">
        <w:rPr>
          <w:rFonts w:ascii="Times New Roman" w:eastAsia="Arial" w:hAnsi="Times New Roman" w:cs="Times New Roman"/>
          <w:sz w:val="24"/>
          <w:szCs w:val="24"/>
          <w:shd w:val="clear" w:color="auto" w:fill="FFFFFF"/>
        </w:rPr>
        <w:fldChar w:fldCharType="separate"/>
      </w:r>
      <w:r w:rsidR="007249D4" w:rsidRPr="001E614D">
        <w:rPr>
          <w:rFonts w:ascii="Times New Roman" w:eastAsia="Arial" w:hAnsi="Times New Roman" w:cs="Times New Roman"/>
          <w:noProof/>
          <w:sz w:val="24"/>
          <w:szCs w:val="24"/>
          <w:shd w:val="clear" w:color="auto" w:fill="FFFFFF"/>
        </w:rPr>
        <w:t>(Starzyk-Łuszcz, Zielonka, Jakubik, &amp; Życińska, 2017)</w:t>
      </w:r>
      <w:r w:rsidR="007249D4"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w:t>
      </w:r>
    </w:p>
    <w:p w14:paraId="7B53D417" w14:textId="77777777" w:rsidR="00987A80" w:rsidRPr="001E614D" w:rsidRDefault="00987A80" w:rsidP="001E614D">
      <w:pPr>
        <w:spacing w:line="360" w:lineRule="auto"/>
        <w:jc w:val="both"/>
        <w:rPr>
          <w:rFonts w:ascii="Times New Roman" w:eastAsia="Arial" w:hAnsi="Times New Roman" w:cs="Times New Roman"/>
          <w:sz w:val="24"/>
          <w:szCs w:val="24"/>
          <w:shd w:val="clear" w:color="auto" w:fill="FFFFFF"/>
        </w:rPr>
      </w:pPr>
      <w:r w:rsidRPr="001E614D">
        <w:rPr>
          <w:rFonts w:ascii="Times New Roman" w:eastAsia="Arial" w:hAnsi="Times New Roman" w:cs="Times New Roman"/>
          <w:sz w:val="24"/>
          <w:szCs w:val="24"/>
          <w:shd w:val="clear" w:color="auto" w:fill="FFFFFF"/>
        </w:rPr>
        <w:t xml:space="preserve">The use of </w:t>
      </w:r>
      <w:r w:rsidR="001E614D" w:rsidRPr="001E614D">
        <w:rPr>
          <w:rFonts w:ascii="Times New Roman" w:eastAsia="Arial" w:hAnsi="Times New Roman" w:cs="Times New Roman"/>
          <w:sz w:val="24"/>
          <w:szCs w:val="24"/>
          <w:shd w:val="clear" w:color="auto" w:fill="FFFFFF"/>
        </w:rPr>
        <w:t>antibacterial</w:t>
      </w:r>
      <w:r w:rsidRPr="001E614D">
        <w:rPr>
          <w:rFonts w:ascii="Times New Roman" w:eastAsia="Arial" w:hAnsi="Times New Roman" w:cs="Times New Roman"/>
          <w:sz w:val="24"/>
          <w:szCs w:val="24"/>
          <w:shd w:val="clear" w:color="auto" w:fill="FFFFFF"/>
        </w:rPr>
        <w:t xml:space="preserve"> in nosocomial infections does not lack challenges on the clinical and operational fronts. Poor use of antimicrobial therapy is one of the concerns, including inappropriate choice, dosing, or timing, often resulting in bad outcomes for patients, long hospital stays, and higher mortality rates. Multidrug-resistant pathogens such as Klebsiella pneumoniae and Acinetobacter baumannii make effective treatment even harder, as standard antibiotics are often ineffective against these strains</w:t>
      </w:r>
      <w:r w:rsidR="007249D4" w:rsidRPr="001E614D">
        <w:rPr>
          <w:rFonts w:ascii="Times New Roman" w:eastAsia="Arial" w:hAnsi="Times New Roman" w:cs="Times New Roman"/>
          <w:sz w:val="24"/>
          <w:szCs w:val="24"/>
          <w:shd w:val="clear" w:color="auto" w:fill="FFFFFF"/>
        </w:rPr>
        <w:fldChar w:fldCharType="begin"/>
      </w:r>
      <w:r w:rsidR="007249D4" w:rsidRPr="001E614D">
        <w:rPr>
          <w:rFonts w:ascii="Times New Roman" w:eastAsia="Arial" w:hAnsi="Times New Roman" w:cs="Times New Roman"/>
          <w:sz w:val="24"/>
          <w:szCs w:val="24"/>
          <w:shd w:val="clear" w:color="auto" w:fill="FFFFFF"/>
        </w:rPr>
        <w:instrText xml:space="preserve"> ADDIN EN.CITE &lt;EndNote&gt;&lt;Cite&gt;&lt;Author&gt;Bajaj&lt;/Author&gt;&lt;Year&gt;2019&lt;/Year&gt;&lt;RecNum&gt;688&lt;/RecNum&gt;&lt;DisplayText&gt;(Bajaj et al., 2019)&lt;/DisplayText&gt;&lt;record&gt;&lt;rec-number&gt;688&lt;/rec-number&gt;&lt;foreign-keys&gt;&lt;key app="EN" db-id="xt2exae0qv2t5meds5xxawr9ed5vrfdxvezw" timestamp="1735474753"&gt;688&lt;/key&gt;&lt;/foreign-keys&gt;&lt;ref-type name="Journal Article"&gt;17&lt;/ref-type&gt;&lt;contributors&gt;&lt;authors&gt;&lt;author&gt;Bajaj, Jasmohan S&lt;/author&gt;&lt;author&gt;O&amp;apos;leary, Jacqueline G&lt;/author&gt;&lt;author&gt;Tandon, Puneeta&lt;/author&gt;&lt;author&gt;Wong, Florence&lt;/author&gt;&lt;author&gt;Garcia-Tsao, Guadalupe&lt;/author&gt;&lt;author&gt;Kamath, Patrick S&lt;/author&gt;&lt;author&gt;Biggins, Scott W&lt;/author&gt;&lt;author&gt;Lai, Jennifer C&lt;/author&gt;&lt;author&gt;Vargas, Hugo E&lt;/author&gt;&lt;author&gt;Maliakkal, Benedict&lt;/author&gt;&lt;/authors&gt;&lt;/contributors&gt;&lt;titles&gt;&lt;title&gt;Nosocomial infections are frequent and negatively impact outcomes in hospitalized patients with cirrhosis&lt;/title&gt;&lt;secondary-title&gt;Official journal of the American College of Gastroenterology| ACG&lt;/secondary-title&gt;&lt;/titles&gt;&lt;periodical&gt;&lt;full-title&gt;Official journal of the American College of Gastroenterology| ACG&lt;/full-title&gt;&lt;/periodical&gt;&lt;pages&gt;1091-1100&lt;/pages&gt;&lt;volume&gt;114&lt;/volume&gt;&lt;number&gt;7&lt;/number&gt;&lt;dates&gt;&lt;year&gt;2019&lt;/year&gt;&lt;/dates&gt;&lt;isbn&gt;0002-9270&lt;/isbn&gt;&lt;urls&gt;&lt;/urls&gt;&lt;/record&gt;&lt;/Cite&gt;&lt;/EndNote&gt;</w:instrText>
      </w:r>
      <w:r w:rsidR="007249D4" w:rsidRPr="001E614D">
        <w:rPr>
          <w:rFonts w:ascii="Times New Roman" w:eastAsia="Arial" w:hAnsi="Times New Roman" w:cs="Times New Roman"/>
          <w:sz w:val="24"/>
          <w:szCs w:val="24"/>
          <w:shd w:val="clear" w:color="auto" w:fill="FFFFFF"/>
        </w:rPr>
        <w:fldChar w:fldCharType="separate"/>
      </w:r>
      <w:r w:rsidR="007249D4" w:rsidRPr="001E614D">
        <w:rPr>
          <w:rFonts w:ascii="Times New Roman" w:eastAsia="Arial" w:hAnsi="Times New Roman" w:cs="Times New Roman"/>
          <w:noProof/>
          <w:sz w:val="24"/>
          <w:szCs w:val="24"/>
          <w:shd w:val="clear" w:color="auto" w:fill="FFFFFF"/>
        </w:rPr>
        <w:t>(Bajaj et al., 2019)</w:t>
      </w:r>
      <w:r w:rsidR="007249D4"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w:t>
      </w:r>
    </w:p>
    <w:p w14:paraId="59FC81A5" w14:textId="77777777" w:rsidR="00987A80" w:rsidRPr="001E614D" w:rsidRDefault="00987A80" w:rsidP="001E614D">
      <w:pPr>
        <w:spacing w:line="360" w:lineRule="auto"/>
        <w:jc w:val="both"/>
        <w:rPr>
          <w:rFonts w:ascii="Times New Roman" w:eastAsia="Arial" w:hAnsi="Times New Roman" w:cs="Times New Roman"/>
          <w:sz w:val="24"/>
          <w:szCs w:val="24"/>
          <w:shd w:val="clear" w:color="auto" w:fill="FFFFFF"/>
        </w:rPr>
      </w:pPr>
      <w:r w:rsidRPr="001E614D">
        <w:rPr>
          <w:rFonts w:ascii="Times New Roman" w:eastAsia="Arial" w:hAnsi="Times New Roman" w:cs="Times New Roman"/>
          <w:sz w:val="24"/>
          <w:szCs w:val="24"/>
          <w:shd w:val="clear" w:color="auto" w:fill="FFFFFF"/>
        </w:rPr>
        <w:t>Developing countries have other challenges such as limited access to appropriate antibiotics, poor infection control measures, and insufficient surveillance systems. These are responsible for the overuse or misuse of antibiotics, hence potentiating resistance patterns. Resource constraints often prevent antimicrobial stewardship programs from being implemented</w:t>
      </w:r>
      <w:r w:rsidR="007249D4" w:rsidRPr="001E614D">
        <w:rPr>
          <w:rFonts w:ascii="Times New Roman" w:eastAsia="Arial" w:hAnsi="Times New Roman" w:cs="Times New Roman"/>
          <w:sz w:val="24"/>
          <w:szCs w:val="24"/>
          <w:shd w:val="clear" w:color="auto" w:fill="FFFFFF"/>
        </w:rPr>
        <w:fldChar w:fldCharType="begin"/>
      </w:r>
      <w:r w:rsidR="007249D4" w:rsidRPr="001E614D">
        <w:rPr>
          <w:rFonts w:ascii="Times New Roman" w:eastAsia="Arial" w:hAnsi="Times New Roman" w:cs="Times New Roman"/>
          <w:sz w:val="24"/>
          <w:szCs w:val="24"/>
          <w:shd w:val="clear" w:color="auto" w:fill="FFFFFF"/>
        </w:rPr>
        <w:instrText xml:space="preserve"> ADDIN EN.CITE &lt;EndNote&gt;&lt;Cite&gt;&lt;Author&gt;Alscher&lt;/Author&gt;&lt;Year&gt;2019&lt;/Year&gt;&lt;RecNum&gt;689&lt;/RecNum&gt;&lt;DisplayText&gt;(Alscher, Erley, &amp;amp; Kuhlmann, 2019)&lt;/DisplayText&gt;&lt;record&gt;&lt;rec-number&gt;689&lt;/rec-number&gt;&lt;foreign-keys&gt;&lt;key app="EN" db-id="xt2exae0qv2t5meds5xxawr9ed5vrfdxvezw" timestamp="1735474780"&gt;689&lt;/key&gt;&lt;/foreign-keys&gt;&lt;ref-type name="Journal Article"&gt;17&lt;/ref-type&gt;&lt;contributors&gt;&lt;authors&gt;&lt;author&gt;Alscher, Mark Dominik&lt;/author&gt;&lt;author&gt;Erley, Christiane&lt;/author&gt;&lt;author&gt;Kuhlmann, Martin K&lt;/author&gt;&lt;/authors&gt;&lt;/contributors&gt;&lt;titles&gt;&lt;title&gt;Acute renal failure of nosocomial origin&lt;/title&gt;&lt;secondary-title&gt;Deutsches Ärzteblatt International&lt;/secondary-title&gt;&lt;/titles&gt;&lt;periodical&gt;&lt;full-title&gt;Deutsches Ärzteblatt International&lt;/full-title&gt;&lt;/periodical&gt;&lt;pages&gt;149&lt;/pages&gt;&lt;volume&gt;116&lt;/volume&gt;&lt;number&gt;9&lt;/number&gt;&lt;dates&gt;&lt;year&gt;2019&lt;/year&gt;&lt;/dates&gt;&lt;urls&gt;&lt;/urls&gt;&lt;/record&gt;&lt;/Cite&gt;&lt;/EndNote&gt;</w:instrText>
      </w:r>
      <w:r w:rsidR="007249D4" w:rsidRPr="001E614D">
        <w:rPr>
          <w:rFonts w:ascii="Times New Roman" w:eastAsia="Arial" w:hAnsi="Times New Roman" w:cs="Times New Roman"/>
          <w:sz w:val="24"/>
          <w:szCs w:val="24"/>
          <w:shd w:val="clear" w:color="auto" w:fill="FFFFFF"/>
        </w:rPr>
        <w:fldChar w:fldCharType="separate"/>
      </w:r>
      <w:r w:rsidR="007249D4" w:rsidRPr="001E614D">
        <w:rPr>
          <w:rFonts w:ascii="Times New Roman" w:eastAsia="Arial" w:hAnsi="Times New Roman" w:cs="Times New Roman"/>
          <w:noProof/>
          <w:sz w:val="24"/>
          <w:szCs w:val="24"/>
          <w:shd w:val="clear" w:color="auto" w:fill="FFFFFF"/>
        </w:rPr>
        <w:t>(Alscher, Erley, &amp; Kuhlmann, 2019)</w:t>
      </w:r>
      <w:r w:rsidR="007249D4"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 xml:space="preserve">. Such programs play an important role in guiding rational antibiotic use and </w:t>
      </w:r>
      <w:r w:rsidRPr="001E614D">
        <w:rPr>
          <w:rFonts w:ascii="Times New Roman" w:eastAsia="Arial" w:hAnsi="Times New Roman" w:cs="Times New Roman"/>
          <w:sz w:val="24"/>
          <w:szCs w:val="24"/>
          <w:shd w:val="clear" w:color="auto" w:fill="FFFFFF"/>
        </w:rPr>
        <w:lastRenderedPageBreak/>
        <w:t>resisting resistance. Indeed, such challenges can only be met by a multifaceted approach through better diagnostic capabilities, access to antibiotics, and infection prevention strategies.</w:t>
      </w:r>
      <w:r w:rsidR="006675D5" w:rsidRPr="001E614D">
        <w:rPr>
          <w:rFonts w:ascii="Times New Roman" w:eastAsia="Arial" w:hAnsi="Times New Roman" w:cs="Times New Roman"/>
          <w:sz w:val="24"/>
          <w:szCs w:val="24"/>
          <w:shd w:val="clear" w:color="auto" w:fill="FFFFFF"/>
        </w:rPr>
        <w:t xml:space="preserve"> </w:t>
      </w:r>
      <w:r w:rsidRPr="001E614D">
        <w:rPr>
          <w:rFonts w:ascii="Times New Roman" w:eastAsia="Arial" w:hAnsi="Times New Roman" w:cs="Times New Roman"/>
          <w:sz w:val="24"/>
          <w:szCs w:val="24"/>
          <w:shd w:val="clear" w:color="auto" w:fill="FFFFFF"/>
        </w:rPr>
        <w:t>Using antibiotics wisely in nosocomial infections is key to better patient outcomes and preventing antimicrobial resistance. It starts with starting the right empirical therapy, using broad spectrum antibiotics guided by local resistance patterns and site of infection which can then be de-escalated with pathogen specific info. Early and appropriate therapy reduces mortality</w:t>
      </w:r>
      <w:r w:rsidR="006675D5" w:rsidRPr="001E614D">
        <w:rPr>
          <w:rFonts w:ascii="Times New Roman" w:eastAsia="Arial" w:hAnsi="Times New Roman" w:cs="Times New Roman"/>
          <w:sz w:val="24"/>
          <w:szCs w:val="24"/>
          <w:shd w:val="clear" w:color="auto" w:fill="FFFFFF"/>
        </w:rPr>
        <w:t xml:space="preserve"> and limits resistant organisms. </w:t>
      </w:r>
      <w:r w:rsidRPr="001E614D">
        <w:rPr>
          <w:rFonts w:ascii="Times New Roman" w:eastAsia="Arial" w:hAnsi="Times New Roman" w:cs="Times New Roman"/>
          <w:sz w:val="24"/>
          <w:szCs w:val="24"/>
          <w:shd w:val="clear" w:color="auto" w:fill="FFFFFF"/>
        </w:rPr>
        <w:t xml:space="preserve">Infection control and antimicrobial stewardship programs are also important. These programs involve proper use of antibiotics, resistance monitoring, and compliance to treatment guidelines. </w:t>
      </w:r>
      <w:r w:rsidR="001E614D" w:rsidRPr="001E614D">
        <w:rPr>
          <w:rFonts w:ascii="Times New Roman" w:eastAsia="Arial" w:hAnsi="Times New Roman" w:cs="Times New Roman"/>
          <w:sz w:val="24"/>
          <w:szCs w:val="24"/>
          <w:shd w:val="clear" w:color="auto" w:fill="FFFFFF"/>
        </w:rPr>
        <w:t>In hospital</w:t>
      </w:r>
      <w:r w:rsidRPr="001E614D">
        <w:rPr>
          <w:rFonts w:ascii="Times New Roman" w:eastAsia="Arial" w:hAnsi="Times New Roman" w:cs="Times New Roman"/>
          <w:sz w:val="24"/>
          <w:szCs w:val="24"/>
          <w:shd w:val="clear" w:color="auto" w:fill="FFFFFF"/>
        </w:rPr>
        <w:t xml:space="preserve"> institutional commitment to these approaches can prevent spread of multidrug resistant bacteria which is now global. Consolidation of both approaches will make available </w:t>
      </w:r>
      <w:r w:rsidR="001E614D" w:rsidRPr="001E614D">
        <w:rPr>
          <w:rFonts w:ascii="Times New Roman" w:eastAsia="Arial" w:hAnsi="Times New Roman" w:cs="Times New Roman"/>
          <w:sz w:val="24"/>
          <w:szCs w:val="24"/>
          <w:shd w:val="clear" w:color="auto" w:fill="FFFFFF"/>
        </w:rPr>
        <w:t>antibacterial</w:t>
      </w:r>
      <w:r w:rsidRPr="001E614D">
        <w:rPr>
          <w:rFonts w:ascii="Times New Roman" w:eastAsia="Arial" w:hAnsi="Times New Roman" w:cs="Times New Roman"/>
          <w:sz w:val="24"/>
          <w:szCs w:val="24"/>
          <w:shd w:val="clear" w:color="auto" w:fill="FFFFFF"/>
        </w:rPr>
        <w:t xml:space="preserve"> work but consumption is minimized</w:t>
      </w:r>
      <w:r w:rsidR="007249D4" w:rsidRPr="001E614D">
        <w:rPr>
          <w:rFonts w:ascii="Times New Roman" w:eastAsia="Arial" w:hAnsi="Times New Roman" w:cs="Times New Roman"/>
          <w:sz w:val="24"/>
          <w:szCs w:val="24"/>
          <w:shd w:val="clear" w:color="auto" w:fill="FFFFFF"/>
        </w:rPr>
        <w:fldChar w:fldCharType="begin"/>
      </w:r>
      <w:r w:rsidR="007249D4" w:rsidRPr="001E614D">
        <w:rPr>
          <w:rFonts w:ascii="Times New Roman" w:eastAsia="Arial" w:hAnsi="Times New Roman" w:cs="Times New Roman"/>
          <w:sz w:val="24"/>
          <w:szCs w:val="24"/>
          <w:shd w:val="clear" w:color="auto" w:fill="FFFFFF"/>
        </w:rPr>
        <w:instrText xml:space="preserve"> ADDIN EN.CITE &lt;EndNote&gt;&lt;Cite&gt;&lt;Author&gt;Rteil&lt;/Author&gt;&lt;Year&gt;2020&lt;/Year&gt;&lt;RecNum&gt;690&lt;/RecNum&gt;&lt;DisplayText&gt;(Rteil et al., 2020)&lt;/DisplayText&gt;&lt;record&gt;&lt;rec-number&gt;690&lt;/rec-number&gt;&lt;foreign-keys&gt;&lt;key app="EN" db-id="xt2exae0qv2t5meds5xxawr9ed5vrfdxvezw" timestamp="1735474804"&gt;690&lt;/key&gt;&lt;/foreign-keys&gt;&lt;ref-type name="Journal Article"&gt;17&lt;/ref-type&gt;&lt;contributors&gt;&lt;authors&gt;&lt;author&gt;Rteil, Ali&lt;/author&gt;&lt;author&gt;Kazma, Jamil M&lt;/author&gt;&lt;author&gt;El Sawda, Jack&lt;/author&gt;&lt;author&gt;Gharamti, Amal&lt;/author&gt;&lt;author&gt;Koubar, Sahar H&lt;/author&gt;&lt;author&gt;Kanafani, Zeina A&lt;/author&gt;&lt;/authors&gt;&lt;/contributors&gt;&lt;titles&gt;&lt;title&gt;Clinical characteristics, risk factors and microbiology of infections in patients receiving chronic hemodialysis&lt;/title&gt;&lt;secondary-title&gt;Journal of Infection and Public Health&lt;/secondary-title&gt;&lt;/titles&gt;&lt;periodical&gt;&lt;full-title&gt;Journal of Infection and Public Health&lt;/full-title&gt;&lt;/periodical&gt;&lt;pages&gt;1166-1171&lt;/pages&gt;&lt;volume&gt;13&lt;/volume&gt;&lt;number&gt;8&lt;/number&gt;&lt;dates&gt;&lt;year&gt;2020&lt;/year&gt;&lt;/dates&gt;&lt;isbn&gt;1876-0341&lt;/isbn&gt;&lt;urls&gt;&lt;/urls&gt;&lt;/record&gt;&lt;/Cite&gt;&lt;/EndNote&gt;</w:instrText>
      </w:r>
      <w:r w:rsidR="007249D4" w:rsidRPr="001E614D">
        <w:rPr>
          <w:rFonts w:ascii="Times New Roman" w:eastAsia="Arial" w:hAnsi="Times New Roman" w:cs="Times New Roman"/>
          <w:sz w:val="24"/>
          <w:szCs w:val="24"/>
          <w:shd w:val="clear" w:color="auto" w:fill="FFFFFF"/>
        </w:rPr>
        <w:fldChar w:fldCharType="separate"/>
      </w:r>
      <w:r w:rsidR="007249D4" w:rsidRPr="001E614D">
        <w:rPr>
          <w:rFonts w:ascii="Times New Roman" w:eastAsia="Arial" w:hAnsi="Times New Roman" w:cs="Times New Roman"/>
          <w:noProof/>
          <w:sz w:val="24"/>
          <w:szCs w:val="24"/>
          <w:shd w:val="clear" w:color="auto" w:fill="FFFFFF"/>
        </w:rPr>
        <w:t>(Rteil et al., 2020)</w:t>
      </w:r>
      <w:r w:rsidR="007249D4" w:rsidRPr="001E614D">
        <w:rPr>
          <w:rFonts w:ascii="Times New Roman" w:eastAsia="Arial" w:hAnsi="Times New Roman" w:cs="Times New Roman"/>
          <w:sz w:val="24"/>
          <w:szCs w:val="24"/>
          <w:shd w:val="clear" w:color="auto" w:fill="FFFFFF"/>
        </w:rPr>
        <w:fldChar w:fldCharType="end"/>
      </w:r>
      <w:r w:rsidRPr="001E614D">
        <w:rPr>
          <w:rFonts w:ascii="Times New Roman" w:eastAsia="Arial" w:hAnsi="Times New Roman" w:cs="Times New Roman"/>
          <w:sz w:val="24"/>
          <w:szCs w:val="24"/>
          <w:shd w:val="clear" w:color="auto" w:fill="FFFFFF"/>
        </w:rPr>
        <w:t>.</w:t>
      </w:r>
    </w:p>
    <w:p w14:paraId="47068A8E" w14:textId="77777777" w:rsidR="003D1548" w:rsidRPr="001E614D" w:rsidRDefault="003D1548" w:rsidP="001E614D">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rPr>
      </w:pPr>
      <w:r w:rsidRPr="001E614D">
        <w:rPr>
          <w:rFonts w:ascii="Times New Roman" w:eastAsia="Times New Roman" w:hAnsi="Times New Roman" w:cs="Times New Roman"/>
          <w:b/>
          <w:bCs/>
          <w:sz w:val="24"/>
          <w:szCs w:val="24"/>
        </w:rPr>
        <w:t>Antibiotic Resistance</w:t>
      </w:r>
    </w:p>
    <w:p w14:paraId="60FE4DD7" w14:textId="77777777" w:rsidR="003D1548" w:rsidRPr="001E614D" w:rsidRDefault="003D1548" w:rsidP="001E614D">
      <w:pPr>
        <w:shd w:val="clear" w:color="auto" w:fill="FFFFFF"/>
        <w:spacing w:before="100" w:beforeAutospacing="1" w:after="100" w:afterAutospacing="1" w:line="360" w:lineRule="auto"/>
        <w:jc w:val="both"/>
        <w:rPr>
          <w:rFonts w:ascii="Times New Roman" w:eastAsia="Times New Roman" w:hAnsi="Times New Roman" w:cs="Times New Roman"/>
          <w:bCs/>
          <w:sz w:val="24"/>
          <w:szCs w:val="24"/>
        </w:rPr>
      </w:pPr>
      <w:r w:rsidRPr="001E614D">
        <w:rPr>
          <w:rFonts w:ascii="Times New Roman" w:eastAsia="Times New Roman" w:hAnsi="Times New Roman" w:cs="Times New Roman"/>
          <w:bCs/>
          <w:sz w:val="24"/>
          <w:szCs w:val="24"/>
        </w:rPr>
        <w:t>Antimicrobial resistance (AMR) is one of the top global public health and development threats. It is estimated that bacterial AMR was directly responsible for 1.27 million global deaths in 2019 and contributed to 4.95 million deaths. The misuse and overuse of antimicrobials in humans, animals and plants are the main drivers in the development of drug-resistant pathogens. AMR affects countries in all regions and at all income levels</w:t>
      </w:r>
      <w:r w:rsidR="007249D4" w:rsidRPr="001E614D">
        <w:rPr>
          <w:rFonts w:ascii="Times New Roman" w:eastAsia="Times New Roman" w:hAnsi="Times New Roman" w:cs="Times New Roman"/>
          <w:bCs/>
          <w:sz w:val="24"/>
          <w:szCs w:val="24"/>
        </w:rPr>
        <w:fldChar w:fldCharType="begin"/>
      </w:r>
      <w:r w:rsidR="007249D4" w:rsidRPr="001E614D">
        <w:rPr>
          <w:rFonts w:ascii="Times New Roman" w:eastAsia="Times New Roman" w:hAnsi="Times New Roman" w:cs="Times New Roman"/>
          <w:bCs/>
          <w:sz w:val="24"/>
          <w:szCs w:val="24"/>
        </w:rPr>
        <w:instrText xml:space="preserve"> ADDIN EN.CITE &lt;EndNote&gt;&lt;Cite&gt;&lt;Author&gt;Frieri&lt;/Author&gt;&lt;Year&gt;2017&lt;/Year&gt;&lt;RecNum&gt;691&lt;/RecNum&gt;&lt;DisplayText&gt;(Frieri, Kumar, &amp;amp; Boutin, 2017)&lt;/DisplayText&gt;&lt;record&gt;&lt;rec-number&gt;691&lt;/rec-number&gt;&lt;foreign-keys&gt;&lt;key app="EN" db-id="xt2exae0qv2t5meds5xxawr9ed5vrfdxvezw" timestamp="1735474852"&gt;691&lt;/key&gt;&lt;/foreign-keys&gt;&lt;ref-type name="Journal Article"&gt;17&lt;/ref-type&gt;&lt;contributors&gt;&lt;authors&gt;&lt;author&gt;Frieri, Marianne&lt;/author&gt;&lt;author&gt;Kumar, Krishan&lt;/author&gt;&lt;author&gt;Boutin, Anthony&lt;/author&gt;&lt;/authors&gt;&lt;/contributors&gt;&lt;titles&gt;&lt;title&gt;Antibiotic resistance&lt;/title&gt;&lt;secondary-title&gt;Journal of infection and public health&lt;/secondary-title&gt;&lt;/titles&gt;&lt;periodical&gt;&lt;full-title&gt;Journal of Infection and Public Health&lt;/full-title&gt;&lt;/periodical&gt;&lt;pages&gt;369-378&lt;/pages&gt;&lt;volume&gt;10&lt;/volume&gt;&lt;number&gt;4&lt;/number&gt;&lt;dates&gt;&lt;year&gt;2017&lt;/year&gt;&lt;/dates&gt;&lt;isbn&gt;1876-0341&lt;/isbn&gt;&lt;urls&gt;&lt;/urls&gt;&lt;/record&gt;&lt;/Cite&gt;&lt;/EndNote&gt;</w:instrText>
      </w:r>
      <w:r w:rsidR="007249D4" w:rsidRPr="001E614D">
        <w:rPr>
          <w:rFonts w:ascii="Times New Roman" w:eastAsia="Times New Roman" w:hAnsi="Times New Roman" w:cs="Times New Roman"/>
          <w:bCs/>
          <w:sz w:val="24"/>
          <w:szCs w:val="24"/>
        </w:rPr>
        <w:fldChar w:fldCharType="separate"/>
      </w:r>
      <w:r w:rsidR="007249D4" w:rsidRPr="001E614D">
        <w:rPr>
          <w:rFonts w:ascii="Times New Roman" w:eastAsia="Times New Roman" w:hAnsi="Times New Roman" w:cs="Times New Roman"/>
          <w:bCs/>
          <w:noProof/>
          <w:sz w:val="24"/>
          <w:szCs w:val="24"/>
        </w:rPr>
        <w:t>(Frieri, Kumar, &amp; Boutin, 2017)</w:t>
      </w:r>
      <w:r w:rsidR="007249D4" w:rsidRPr="001E614D">
        <w:rPr>
          <w:rFonts w:ascii="Times New Roman" w:eastAsia="Times New Roman" w:hAnsi="Times New Roman" w:cs="Times New Roman"/>
          <w:bCs/>
          <w:sz w:val="24"/>
          <w:szCs w:val="24"/>
        </w:rPr>
        <w:fldChar w:fldCharType="end"/>
      </w:r>
      <w:r w:rsidRPr="001E614D">
        <w:rPr>
          <w:rFonts w:ascii="Times New Roman" w:eastAsia="Times New Roman" w:hAnsi="Times New Roman" w:cs="Times New Roman"/>
          <w:bCs/>
          <w:sz w:val="24"/>
          <w:szCs w:val="24"/>
        </w:rPr>
        <w:t>. Its drivers and consequences are exacerbated by poverty and inequality, and low- and middle-income countries are most affected. MR affects countries in all regions and at all income levels. Its drivers and consequences are exacerbated by poverty and inequality, and low- and middle-income countries are most affected. AMR puts many of the gains of modern medicine at risk. It makes infections harder to treat and makes other medical procedures and treatments – such as surgery, caesarean se</w:t>
      </w:r>
      <w:r w:rsidR="007249D4" w:rsidRPr="001E614D">
        <w:rPr>
          <w:rFonts w:ascii="Times New Roman" w:eastAsia="Times New Roman" w:hAnsi="Times New Roman" w:cs="Times New Roman"/>
          <w:bCs/>
          <w:sz w:val="24"/>
          <w:szCs w:val="24"/>
        </w:rPr>
        <w:t xml:space="preserve">ctions and cancer chemotherapy </w:t>
      </w:r>
      <w:r w:rsidRPr="001E614D">
        <w:rPr>
          <w:rFonts w:ascii="Times New Roman" w:eastAsia="Times New Roman" w:hAnsi="Times New Roman" w:cs="Times New Roman"/>
          <w:bCs/>
          <w:sz w:val="24"/>
          <w:szCs w:val="24"/>
        </w:rPr>
        <w:t>much riskier</w:t>
      </w:r>
      <w:r w:rsidR="007249D4" w:rsidRPr="001E614D">
        <w:rPr>
          <w:rFonts w:ascii="Times New Roman" w:eastAsia="Times New Roman" w:hAnsi="Times New Roman" w:cs="Times New Roman"/>
          <w:bCs/>
          <w:sz w:val="24"/>
          <w:szCs w:val="24"/>
        </w:rPr>
        <w:fldChar w:fldCharType="begin"/>
      </w:r>
      <w:r w:rsidR="007249D4" w:rsidRPr="001E614D">
        <w:rPr>
          <w:rFonts w:ascii="Times New Roman" w:eastAsia="Times New Roman" w:hAnsi="Times New Roman" w:cs="Times New Roman"/>
          <w:bCs/>
          <w:sz w:val="24"/>
          <w:szCs w:val="24"/>
        </w:rPr>
        <w:instrText xml:space="preserve"> ADDIN EN.CITE &lt;EndNote&gt;&lt;Cite&gt;&lt;Author&gt;MacGowan&lt;/Author&gt;&lt;Year&gt;2017&lt;/Year&gt;&lt;RecNum&gt;692&lt;/RecNum&gt;&lt;DisplayText&gt;(MacGowan &amp;amp; Macnaughton, 2017)&lt;/DisplayText&gt;&lt;record&gt;&lt;rec-number&gt;692&lt;/rec-number&gt;&lt;foreign-keys&gt;&lt;key app="EN" db-id="xt2exae0qv2t5meds5xxawr9ed5vrfdxvezw" timestamp="1735474886"&gt;692&lt;/key&gt;&lt;/foreign-keys&gt;&lt;ref-type name="Journal Article"&gt;17&lt;/ref-type&gt;&lt;contributors&gt;&lt;authors&gt;&lt;author&gt;MacGowan, Alasdair&lt;/author&gt;&lt;author&gt;Macnaughton, Emily&lt;/author&gt;&lt;/authors&gt;&lt;/contributors&gt;&lt;titles&gt;&lt;title&gt;Antibiotic resistance&lt;/title&gt;&lt;secondary-title&gt;Medicine&lt;/secondary-title&gt;&lt;/titles&gt;&lt;periodical&gt;&lt;full-title&gt;Medicine&lt;/full-title&gt;&lt;/periodical&gt;&lt;pages&gt;622-628&lt;/pages&gt;&lt;volume&gt;45&lt;/volume&gt;&lt;number&gt;10&lt;/number&gt;&lt;dates&gt;&lt;year&gt;2017&lt;/year&gt;&lt;/dates&gt;&lt;isbn&gt;1357-3039&lt;/isbn&gt;&lt;urls&gt;&lt;/urls&gt;&lt;/record&gt;&lt;/Cite&gt;&lt;/EndNote&gt;</w:instrText>
      </w:r>
      <w:r w:rsidR="007249D4" w:rsidRPr="001E614D">
        <w:rPr>
          <w:rFonts w:ascii="Times New Roman" w:eastAsia="Times New Roman" w:hAnsi="Times New Roman" w:cs="Times New Roman"/>
          <w:bCs/>
          <w:sz w:val="24"/>
          <w:szCs w:val="24"/>
        </w:rPr>
        <w:fldChar w:fldCharType="separate"/>
      </w:r>
      <w:r w:rsidR="007249D4" w:rsidRPr="001E614D">
        <w:rPr>
          <w:rFonts w:ascii="Times New Roman" w:eastAsia="Times New Roman" w:hAnsi="Times New Roman" w:cs="Times New Roman"/>
          <w:bCs/>
          <w:noProof/>
          <w:sz w:val="24"/>
          <w:szCs w:val="24"/>
        </w:rPr>
        <w:t>(MacGowan &amp; Macnaughton, 2017)</w:t>
      </w:r>
      <w:r w:rsidR="007249D4" w:rsidRPr="001E614D">
        <w:rPr>
          <w:rFonts w:ascii="Times New Roman" w:eastAsia="Times New Roman" w:hAnsi="Times New Roman" w:cs="Times New Roman"/>
          <w:bCs/>
          <w:sz w:val="24"/>
          <w:szCs w:val="24"/>
        </w:rPr>
        <w:fldChar w:fldCharType="end"/>
      </w:r>
      <w:r w:rsidRPr="001E614D">
        <w:rPr>
          <w:rFonts w:ascii="Times New Roman" w:eastAsia="Times New Roman" w:hAnsi="Times New Roman" w:cs="Times New Roman"/>
          <w:bCs/>
          <w:sz w:val="24"/>
          <w:szCs w:val="24"/>
        </w:rPr>
        <w:t>. The world faces an antibiotics pipeline and access crisis. There is an inadequate research and development pipeline in the face of rising levels of resistance, and urgent need for additional measures to ensure equitable access to new and existing vaccines, diagnostics and medicines.</w:t>
      </w:r>
      <w:r w:rsidRPr="001E614D">
        <w:rPr>
          <w:rFonts w:ascii="Times New Roman" w:eastAsia="Times New Roman" w:hAnsi="Times New Roman" w:cs="Times New Roman"/>
          <w:sz w:val="24"/>
          <w:szCs w:val="24"/>
        </w:rPr>
        <w:t xml:space="preserve"> </w:t>
      </w:r>
      <w:r w:rsidRPr="001E614D">
        <w:rPr>
          <w:rFonts w:ascii="Times New Roman" w:eastAsia="Times New Roman" w:hAnsi="Times New Roman" w:cs="Times New Roman"/>
          <w:bCs/>
          <w:sz w:val="24"/>
          <w:szCs w:val="24"/>
        </w:rPr>
        <w:t>In addition to death and disability, AMR has significant economic costs. The World Bank estimates that AMR could result in US$ 1 trillion additional healthcare costs by 2050, and US$ 1 trillion to US$ 3.4 trillion gross domestic product (GDP) losses per year by 2030.</w:t>
      </w:r>
      <w:r w:rsidRPr="001E614D">
        <w:rPr>
          <w:rFonts w:ascii="Times New Roman" w:eastAsia="Times New Roman" w:hAnsi="Times New Roman" w:cs="Times New Roman"/>
          <w:sz w:val="24"/>
          <w:szCs w:val="24"/>
        </w:rPr>
        <w:t xml:space="preserve">  </w:t>
      </w:r>
      <w:r w:rsidRPr="001E614D">
        <w:rPr>
          <w:rFonts w:ascii="Times New Roman" w:eastAsia="Times New Roman" w:hAnsi="Times New Roman" w:cs="Times New Roman"/>
          <w:bCs/>
          <w:sz w:val="24"/>
          <w:szCs w:val="24"/>
        </w:rPr>
        <w:t xml:space="preserve">Priorities to address AMR in human health include preventing all infections, which may result in inappropriate use of </w:t>
      </w:r>
      <w:r w:rsidRPr="001E614D">
        <w:rPr>
          <w:rFonts w:ascii="Times New Roman" w:eastAsia="Times New Roman" w:hAnsi="Times New Roman" w:cs="Times New Roman"/>
          <w:bCs/>
          <w:sz w:val="24"/>
          <w:szCs w:val="24"/>
        </w:rPr>
        <w:lastRenderedPageBreak/>
        <w:t>antimicrobials; ensuring universal access to quality diagnosis and appropriate treatment of infections; and strategic information and innovation, for example surveillance of AMR and antimicrobial consumption/use, and research and development for novel vaccines, diagnostics and medicines</w:t>
      </w:r>
      <w:r w:rsidR="007249D4" w:rsidRPr="001E614D">
        <w:rPr>
          <w:rFonts w:ascii="Times New Roman" w:eastAsia="Times New Roman" w:hAnsi="Times New Roman" w:cs="Times New Roman"/>
          <w:bCs/>
          <w:sz w:val="24"/>
          <w:szCs w:val="24"/>
        </w:rPr>
        <w:fldChar w:fldCharType="begin"/>
      </w:r>
      <w:r w:rsidR="007249D4" w:rsidRPr="001E614D">
        <w:rPr>
          <w:rFonts w:ascii="Times New Roman" w:eastAsia="Times New Roman" w:hAnsi="Times New Roman" w:cs="Times New Roman"/>
          <w:bCs/>
          <w:sz w:val="24"/>
          <w:szCs w:val="24"/>
        </w:rPr>
        <w:instrText xml:space="preserve"> ADDIN EN.CITE &lt;EndNote&gt;&lt;Cite&gt;&lt;Author&gt;Larsson&lt;/Author&gt;&lt;Year&gt;2022&lt;/Year&gt;&lt;RecNum&gt;693&lt;/RecNum&gt;&lt;DisplayText&gt;(Larsson &amp;amp; Flach, 2022; Lin et al., 2015)&lt;/DisplayText&gt;&lt;record&gt;&lt;rec-number&gt;693&lt;/rec-number&gt;&lt;foreign-keys&gt;&lt;key app="EN" db-id="xt2exae0qv2t5meds5xxawr9ed5vrfdxvezw" timestamp="1735474911"&gt;693&lt;/key&gt;&lt;/foreign-keys&gt;&lt;ref-type name="Journal Article"&gt;17&lt;/ref-type&gt;&lt;contributors&gt;&lt;authors&gt;&lt;author&gt;Larsson, DG&lt;/author&gt;&lt;author&gt;Flach, Carl-Fredrik&lt;/author&gt;&lt;/authors&gt;&lt;/contributors&gt;&lt;titles&gt;&lt;title&gt;Antibiotic resistance in the environment&lt;/title&gt;&lt;secondary-title&gt;Nature Reviews Microbiology&lt;/secondary-title&gt;&lt;/titles&gt;&lt;periodical&gt;&lt;full-title&gt;Nature Reviews Microbiology&lt;/full-title&gt;&lt;/periodical&gt;&lt;pages&gt;257-269&lt;/pages&gt;&lt;volume&gt;20&lt;/volume&gt;&lt;number&gt;5&lt;/number&gt;&lt;dates&gt;&lt;year&gt;2022&lt;/year&gt;&lt;/dates&gt;&lt;isbn&gt;1740-1534&lt;/isbn&gt;&lt;urls&gt;&lt;/urls&gt;&lt;/record&gt;&lt;/Cite&gt;&lt;Cite&gt;&lt;Author&gt;Lin&lt;/Author&gt;&lt;Year&gt;2015&lt;/Year&gt;&lt;RecNum&gt;694&lt;/RecNum&gt;&lt;record&gt;&lt;rec-number&gt;694&lt;/rec-number&gt;&lt;foreign-keys&gt;&lt;key app="EN" db-id="xt2exae0qv2t5meds5xxawr9ed5vrfdxvezw" timestamp="1735474931"&gt;694&lt;/key&gt;&lt;/foreign-keys&gt;&lt;ref-type name="Journal Article"&gt;17&lt;/ref-type&gt;&lt;contributors&gt;&lt;authors&gt;&lt;author&gt;Lin, Jun&lt;/author&gt;&lt;author&gt;Nishino, Kunihiko&lt;/author&gt;&lt;author&gt;Roberts, Marilyn C&lt;/author&gt;&lt;author&gt;Tolmasky, Marcelo&lt;/author&gt;&lt;author&gt;Aminov, Rustam I&lt;/author&gt;&lt;author&gt;Zhang, Lixin&lt;/author&gt;&lt;/authors&gt;&lt;/contributors&gt;&lt;titles&gt;&lt;title&gt;Mechanisms of antibiotic resistance&lt;/title&gt;&lt;secondary-title&gt;Frontiers in microbiology&lt;/secondary-title&gt;&lt;/titles&gt;&lt;periodical&gt;&lt;full-title&gt;Frontiers in Microbiology&lt;/full-title&gt;&lt;/periodical&gt;&lt;pages&gt;34&lt;/pages&gt;&lt;volume&gt;6&lt;/volume&gt;&lt;dates&gt;&lt;year&gt;2015&lt;/year&gt;&lt;/dates&gt;&lt;isbn&gt;1664-302X&lt;/isbn&gt;&lt;urls&gt;&lt;/urls&gt;&lt;/record&gt;&lt;/Cite&gt;&lt;/EndNote&gt;</w:instrText>
      </w:r>
      <w:r w:rsidR="007249D4" w:rsidRPr="001E614D">
        <w:rPr>
          <w:rFonts w:ascii="Times New Roman" w:eastAsia="Times New Roman" w:hAnsi="Times New Roman" w:cs="Times New Roman"/>
          <w:bCs/>
          <w:sz w:val="24"/>
          <w:szCs w:val="24"/>
        </w:rPr>
        <w:fldChar w:fldCharType="separate"/>
      </w:r>
      <w:r w:rsidR="007249D4" w:rsidRPr="001E614D">
        <w:rPr>
          <w:rFonts w:ascii="Times New Roman" w:eastAsia="Times New Roman" w:hAnsi="Times New Roman" w:cs="Times New Roman"/>
          <w:bCs/>
          <w:noProof/>
          <w:sz w:val="24"/>
          <w:szCs w:val="24"/>
        </w:rPr>
        <w:t>(Larsson &amp; Flach, 2022; Lin et al., 2015)</w:t>
      </w:r>
      <w:r w:rsidR="007249D4" w:rsidRPr="001E614D">
        <w:rPr>
          <w:rFonts w:ascii="Times New Roman" w:eastAsia="Times New Roman" w:hAnsi="Times New Roman" w:cs="Times New Roman"/>
          <w:bCs/>
          <w:sz w:val="24"/>
          <w:szCs w:val="24"/>
        </w:rPr>
        <w:fldChar w:fldCharType="end"/>
      </w:r>
      <w:r w:rsidRPr="001E614D">
        <w:rPr>
          <w:rFonts w:ascii="Times New Roman" w:eastAsia="Times New Roman" w:hAnsi="Times New Roman" w:cs="Times New Roman"/>
          <w:bCs/>
          <w:sz w:val="24"/>
          <w:szCs w:val="24"/>
        </w:rPr>
        <w:t>.</w:t>
      </w:r>
    </w:p>
    <w:p w14:paraId="16FD0C4C" w14:textId="77777777" w:rsidR="003D1548" w:rsidRPr="001E614D" w:rsidRDefault="003D1548" w:rsidP="001E614D">
      <w:pPr>
        <w:pStyle w:val="NormalWeb"/>
        <w:shd w:val="clear" w:color="auto" w:fill="FFFFFF"/>
        <w:spacing w:line="360" w:lineRule="auto"/>
        <w:jc w:val="both"/>
      </w:pPr>
      <w:r w:rsidRPr="001E614D">
        <w:t xml:space="preserve">Antimicrobials including antibiotics, antivirals, antifungals, and antiparasitics – are    medicines used to prevent and treat infectious diseases in humans, animals and </w:t>
      </w:r>
      <w:r w:rsidR="001E614D" w:rsidRPr="001E614D">
        <w:t>plants. Antimicrobial</w:t>
      </w:r>
      <w:r w:rsidRPr="001E614D">
        <w:t xml:space="preserve"> Resistance (AMR) occurs when bacteria, viruses, fungi and parasites no longer respond to antimicrobial medicines. As a result of drug resistance, antibiotics and other antimicrobial medicines become ineffective and infections become difficult or impossible to treat, increasing the risk of disease spread, severe illness, disability and death.AMR is a natural process that happens over time through genetic changes in pathogens. Its emergence and spread is accelerated by human activity, mainly the misuse and overuse of antimicrobials to treat, prevent or control infections in humans, animals and plants</w:t>
      </w:r>
      <w:r w:rsidR="007249D4" w:rsidRPr="001E614D">
        <w:fldChar w:fldCharType="begin"/>
      </w:r>
      <w:r w:rsidR="007249D4" w:rsidRPr="001E614D">
        <w:instrText xml:space="preserve"> ADDIN EN.CITE &lt;EndNote&gt;&lt;Cite&gt;&lt;Author&gt;MacLean&lt;/Author&gt;&lt;Year&gt;2019&lt;/Year&gt;&lt;RecNum&gt;695&lt;/RecNum&gt;&lt;DisplayText&gt;(MacLean &amp;amp; San Millan, 2019)&lt;/DisplayText&gt;&lt;record&gt;&lt;rec-number&gt;695&lt;/rec-number&gt;&lt;foreign-keys&gt;&lt;key app="EN" db-id="xt2exae0qv2t5meds5xxawr9ed5vrfdxvezw" timestamp="1735474955"&gt;695&lt;/key&gt;&lt;/foreign-keys&gt;&lt;ref-type name="Journal Article"&gt;17&lt;/ref-type&gt;&lt;contributors&gt;&lt;authors&gt;&lt;author&gt;MacLean, R Craig&lt;/author&gt;&lt;author&gt;San Millan, Alvaro&lt;/author&gt;&lt;/authors&gt;&lt;/contributors&gt;&lt;titles&gt;&lt;title&gt;The evolution of antibiotic resistance&lt;/title&gt;&lt;secondary-title&gt;Science&lt;/secondary-title&gt;&lt;/titles&gt;&lt;periodical&gt;&lt;full-title&gt;Science&lt;/full-title&gt;&lt;/periodical&gt;&lt;pages&gt;1082-1083&lt;/pages&gt;&lt;volume&gt;365&lt;/volume&gt;&lt;number&gt;6458&lt;/number&gt;&lt;dates&gt;&lt;year&gt;2019&lt;/year&gt;&lt;/dates&gt;&lt;isbn&gt;0036-8075&lt;/isbn&gt;&lt;urls&gt;&lt;/urls&gt;&lt;/record&gt;&lt;/Cite&gt;&lt;/EndNote&gt;</w:instrText>
      </w:r>
      <w:r w:rsidR="007249D4" w:rsidRPr="001E614D">
        <w:fldChar w:fldCharType="separate"/>
      </w:r>
      <w:r w:rsidR="007249D4" w:rsidRPr="001E614D">
        <w:rPr>
          <w:noProof/>
        </w:rPr>
        <w:t>(MacLean &amp; San Millan, 2019)</w:t>
      </w:r>
      <w:r w:rsidR="007249D4" w:rsidRPr="001E614D">
        <w:fldChar w:fldCharType="end"/>
      </w:r>
      <w:r w:rsidRPr="001E614D">
        <w:t>.</w:t>
      </w:r>
    </w:p>
    <w:p w14:paraId="04CD7543" w14:textId="77777777" w:rsidR="003D1548" w:rsidRPr="001E614D" w:rsidRDefault="003D1548" w:rsidP="001E614D">
      <w:pPr>
        <w:spacing w:line="360" w:lineRule="auto"/>
        <w:jc w:val="both"/>
        <w:rPr>
          <w:rFonts w:ascii="Times New Roman" w:hAnsi="Times New Roman" w:cs="Times New Roman"/>
          <w:sz w:val="24"/>
          <w:szCs w:val="24"/>
          <w:shd w:val="clear" w:color="auto" w:fill="FFFFFF"/>
        </w:rPr>
      </w:pPr>
      <w:r w:rsidRPr="001E614D">
        <w:rPr>
          <w:rFonts w:ascii="Times New Roman" w:hAnsi="Times New Roman" w:cs="Times New Roman"/>
          <w:sz w:val="24"/>
          <w:szCs w:val="24"/>
          <w:shd w:val="clear" w:color="auto" w:fill="FFFFFF"/>
        </w:rPr>
        <w:t xml:space="preserve">The rapid emergence of resistant bacteria is occurring worldwide, endangering the efficacy of antibiotics, which have transformed medicine and saved millions of lives. Many decades after the first patients were treated with </w:t>
      </w:r>
      <w:r w:rsidR="001E614D" w:rsidRPr="001E614D">
        <w:rPr>
          <w:rFonts w:ascii="Times New Roman" w:hAnsi="Times New Roman" w:cs="Times New Roman"/>
          <w:sz w:val="24"/>
          <w:szCs w:val="24"/>
          <w:shd w:val="clear" w:color="auto" w:fill="FFFFFF"/>
        </w:rPr>
        <w:t>antibiotics;</w:t>
      </w:r>
      <w:r w:rsidRPr="001E614D">
        <w:rPr>
          <w:rFonts w:ascii="Times New Roman" w:hAnsi="Times New Roman" w:cs="Times New Roman"/>
          <w:sz w:val="24"/>
          <w:szCs w:val="24"/>
          <w:shd w:val="clear" w:color="auto" w:fill="FFFFFF"/>
        </w:rPr>
        <w:t xml:space="preserve"> bacterial infections have again become a threat. The antibiotic resistance crisis has been attributed to the overuse and misuse of these medications, as well as a lack of new drug development by the pharmaceutical industry due to reduced economic incentives and challenging regulatory requirements</w:t>
      </w:r>
      <w:r w:rsidR="007249D4" w:rsidRPr="001E614D">
        <w:rPr>
          <w:rFonts w:ascii="Times New Roman" w:hAnsi="Times New Roman" w:cs="Times New Roman"/>
          <w:sz w:val="24"/>
          <w:szCs w:val="24"/>
          <w:shd w:val="clear" w:color="auto" w:fill="FFFFFF"/>
        </w:rPr>
        <w:fldChar w:fldCharType="begin"/>
      </w:r>
      <w:r w:rsidR="007249D4" w:rsidRPr="001E614D">
        <w:rPr>
          <w:rFonts w:ascii="Times New Roman" w:hAnsi="Times New Roman" w:cs="Times New Roman"/>
          <w:sz w:val="24"/>
          <w:szCs w:val="24"/>
          <w:shd w:val="clear" w:color="auto" w:fill="FFFFFF"/>
        </w:rPr>
        <w:instrText xml:space="preserve"> ADDIN EN.CITE &lt;EndNote&gt;&lt;Cite&gt;&lt;Author&gt;Yelin&lt;/Author&gt;&lt;Year&gt;2018&lt;/Year&gt;&lt;RecNum&gt;696&lt;/RecNum&gt;&lt;DisplayText&gt;(Yelin &amp;amp; Kishony, 2018)&lt;/DisplayText&gt;&lt;record&gt;&lt;rec-number&gt;696&lt;/rec-number&gt;&lt;foreign-keys&gt;&lt;key app="EN" db-id="xt2exae0qv2t5meds5xxawr9ed5vrfdxvezw" timestamp="1735474988"&gt;696&lt;/key&gt;&lt;/foreign-keys&gt;&lt;ref-type name="Journal Article"&gt;17&lt;/ref-type&gt;&lt;contributors&gt;&lt;authors&gt;&lt;author&gt;Yelin, Idan&lt;/author&gt;&lt;author&gt;Kishony, Roy&lt;/author&gt;&lt;/authors&gt;&lt;/contributors&gt;&lt;titles&gt;&lt;title&gt;Antibiotic resistance&lt;/title&gt;&lt;secondary-title&gt;Cell&lt;/secondary-title&gt;&lt;/titles&gt;&lt;periodical&gt;&lt;full-title&gt;Cell&lt;/full-title&gt;&lt;/periodical&gt;&lt;pages&gt;1136-1136. e1&lt;/pages&gt;&lt;volume&gt;172&lt;/volume&gt;&lt;number&gt;5&lt;/number&gt;&lt;dates&gt;&lt;year&gt;2018&lt;/year&gt;&lt;/dates&gt;&lt;isbn&gt;0092-8674&lt;/isbn&gt;&lt;urls&gt;&lt;/urls&gt;&lt;/record&gt;&lt;/Cite&gt;&lt;/EndNote&gt;</w:instrText>
      </w:r>
      <w:r w:rsidR="007249D4" w:rsidRPr="001E614D">
        <w:rPr>
          <w:rFonts w:ascii="Times New Roman" w:hAnsi="Times New Roman" w:cs="Times New Roman"/>
          <w:sz w:val="24"/>
          <w:szCs w:val="24"/>
          <w:shd w:val="clear" w:color="auto" w:fill="FFFFFF"/>
        </w:rPr>
        <w:fldChar w:fldCharType="separate"/>
      </w:r>
      <w:r w:rsidR="007249D4" w:rsidRPr="001E614D">
        <w:rPr>
          <w:rFonts w:ascii="Times New Roman" w:hAnsi="Times New Roman" w:cs="Times New Roman"/>
          <w:noProof/>
          <w:sz w:val="24"/>
          <w:szCs w:val="24"/>
          <w:shd w:val="clear" w:color="auto" w:fill="FFFFFF"/>
        </w:rPr>
        <w:t>(Yelin &amp; Kishony, 2018)</w:t>
      </w:r>
      <w:r w:rsidR="007249D4" w:rsidRPr="001E614D">
        <w:rPr>
          <w:rFonts w:ascii="Times New Roman" w:hAnsi="Times New Roman" w:cs="Times New Roman"/>
          <w:sz w:val="24"/>
          <w:szCs w:val="24"/>
          <w:shd w:val="clear" w:color="auto" w:fill="FFFFFF"/>
        </w:rPr>
        <w:fldChar w:fldCharType="end"/>
      </w:r>
      <w:r w:rsidRPr="001E614D">
        <w:rPr>
          <w:rFonts w:ascii="Times New Roman" w:hAnsi="Times New Roman" w:cs="Times New Roman"/>
          <w:sz w:val="24"/>
          <w:szCs w:val="24"/>
          <w:shd w:val="clear" w:color="auto" w:fill="FFFFFF"/>
        </w:rPr>
        <w:t>. The Centers for Disease Control and Prevention (CDC) has classified a number of bacteria as presenting urgent, serious, and concerning threats, many of which are already responsible for placing a substantial clinical and financial burden on the U.S. health care system, patients, and their families. Coordinated efforts to implement new policies, renew research efforts, and pursue steps to manage the crisis are greatly needed</w:t>
      </w:r>
      <w:r w:rsidR="007249D4" w:rsidRPr="001E614D">
        <w:rPr>
          <w:rFonts w:ascii="Times New Roman" w:hAnsi="Times New Roman" w:cs="Times New Roman"/>
          <w:sz w:val="24"/>
          <w:szCs w:val="24"/>
          <w:shd w:val="clear" w:color="auto" w:fill="FFFFFF"/>
        </w:rPr>
        <w:fldChar w:fldCharType="begin"/>
      </w:r>
      <w:r w:rsidR="007249D4" w:rsidRPr="001E614D">
        <w:rPr>
          <w:rFonts w:ascii="Times New Roman" w:hAnsi="Times New Roman" w:cs="Times New Roman"/>
          <w:sz w:val="24"/>
          <w:szCs w:val="24"/>
          <w:shd w:val="clear" w:color="auto" w:fill="FFFFFF"/>
        </w:rPr>
        <w:instrText xml:space="preserve"> ADDIN EN.CITE &lt;EndNote&gt;&lt;Cite&gt;&lt;Author&gt;Darby&lt;/Author&gt;&lt;Year&gt;2023&lt;/Year&gt;&lt;RecNum&gt;697&lt;/RecNum&gt;&lt;DisplayText&gt;(Darby et al., 2023)&lt;/DisplayText&gt;&lt;record&gt;&lt;rec-number&gt;697&lt;/rec-number&gt;&lt;foreign-keys&gt;&lt;key app="EN" db-id="xt2exae0qv2t5meds5xxawr9ed5vrfdxvezw" timestamp="1735475014"&gt;697&lt;/key&gt;&lt;/foreign-keys&gt;&lt;ref-type name="Journal Article"&gt;17&lt;/ref-type&gt;&lt;contributors&gt;&lt;authors&gt;&lt;author&gt;Darby, Elizabeth M&lt;/author&gt;&lt;author&gt;Trampari, Eleftheria&lt;/author&gt;&lt;author&gt;Siasat, Pauline&lt;/author&gt;&lt;author&gt;Gaya, Maria Solsona&lt;/author&gt;&lt;author&gt;Alav, Ilyas&lt;/author&gt;&lt;author&gt;Webber, Mark A&lt;/author&gt;&lt;author&gt;Blair, Jessica MA&lt;/author&gt;&lt;/authors&gt;&lt;/contributors&gt;&lt;titles&gt;&lt;title&gt;Molecular mechanisms of antibiotic resistance revisited&lt;/title&gt;&lt;secondary-title&gt;Nature Reviews Microbiology&lt;/secondary-title&gt;&lt;/titles&gt;&lt;periodical&gt;&lt;full-title&gt;Nature Reviews Microbiology&lt;/full-title&gt;&lt;/periodical&gt;&lt;pages&gt;280-295&lt;/pages&gt;&lt;volume&gt;21&lt;/volume&gt;&lt;number&gt;5&lt;/number&gt;&lt;dates&gt;&lt;year&gt;2023&lt;/year&gt;&lt;/dates&gt;&lt;isbn&gt;1740-1526&lt;/isbn&gt;&lt;urls&gt;&lt;/urls&gt;&lt;/record&gt;&lt;/Cite&gt;&lt;/EndNote&gt;</w:instrText>
      </w:r>
      <w:r w:rsidR="007249D4" w:rsidRPr="001E614D">
        <w:rPr>
          <w:rFonts w:ascii="Times New Roman" w:hAnsi="Times New Roman" w:cs="Times New Roman"/>
          <w:sz w:val="24"/>
          <w:szCs w:val="24"/>
          <w:shd w:val="clear" w:color="auto" w:fill="FFFFFF"/>
        </w:rPr>
        <w:fldChar w:fldCharType="separate"/>
      </w:r>
      <w:r w:rsidR="007249D4" w:rsidRPr="001E614D">
        <w:rPr>
          <w:rFonts w:ascii="Times New Roman" w:hAnsi="Times New Roman" w:cs="Times New Roman"/>
          <w:noProof/>
          <w:sz w:val="24"/>
          <w:szCs w:val="24"/>
          <w:shd w:val="clear" w:color="auto" w:fill="FFFFFF"/>
        </w:rPr>
        <w:t>(Darby et al., 2023)</w:t>
      </w:r>
      <w:r w:rsidR="007249D4" w:rsidRPr="001E614D">
        <w:rPr>
          <w:rFonts w:ascii="Times New Roman" w:hAnsi="Times New Roman" w:cs="Times New Roman"/>
          <w:sz w:val="24"/>
          <w:szCs w:val="24"/>
          <w:shd w:val="clear" w:color="auto" w:fill="FFFFFF"/>
        </w:rPr>
        <w:fldChar w:fldCharType="end"/>
      </w:r>
      <w:r w:rsidRPr="001E614D">
        <w:rPr>
          <w:rFonts w:ascii="Times New Roman" w:hAnsi="Times New Roman" w:cs="Times New Roman"/>
          <w:sz w:val="24"/>
          <w:szCs w:val="24"/>
          <w:shd w:val="clear" w:color="auto" w:fill="FFFFFF"/>
        </w:rPr>
        <w:t>.</w:t>
      </w:r>
    </w:p>
    <w:p w14:paraId="591840EA" w14:textId="77777777" w:rsidR="003D1548" w:rsidRPr="001E614D" w:rsidRDefault="003D1548" w:rsidP="001E614D">
      <w:pPr>
        <w:spacing w:line="360" w:lineRule="auto"/>
        <w:jc w:val="both"/>
        <w:rPr>
          <w:rFonts w:ascii="Times New Roman" w:hAnsi="Times New Roman" w:cs="Times New Roman"/>
          <w:sz w:val="24"/>
          <w:szCs w:val="24"/>
          <w:shd w:val="clear" w:color="auto" w:fill="FFFFFF"/>
        </w:rPr>
      </w:pPr>
      <w:r w:rsidRPr="001E614D">
        <w:rPr>
          <w:rFonts w:ascii="Times New Roman" w:hAnsi="Times New Roman" w:cs="Times New Roman"/>
          <w:sz w:val="24"/>
          <w:szCs w:val="24"/>
          <w:shd w:val="clear" w:color="auto" w:fill="FFFFFF"/>
        </w:rPr>
        <w:t>The prevalence of antimicrobial resistance among many common bacterial pathogens is increasing. The emergence and global dissemination of these antibiotic-resistant bacteria (ARB) is fuelled by antibiotic selection pressure, inter-organism transmission of resistance determinants, suboptimal infection prevention practices and increasing ease and frequency of international travel, among other factors. Patients with chronic kidney disease, particularly those with end-</w:t>
      </w:r>
      <w:r w:rsidRPr="001E614D">
        <w:rPr>
          <w:rFonts w:ascii="Times New Roman" w:hAnsi="Times New Roman" w:cs="Times New Roman"/>
          <w:sz w:val="24"/>
          <w:szCs w:val="24"/>
          <w:shd w:val="clear" w:color="auto" w:fill="FFFFFF"/>
        </w:rPr>
        <w:lastRenderedPageBreak/>
        <w:t>stage renal disease who require dialysis and/or kidney transplantation, have some of the highest rates of colonization and infection with ARB worldwide</w:t>
      </w:r>
      <w:r w:rsidR="007249D4" w:rsidRPr="001E614D">
        <w:rPr>
          <w:rFonts w:ascii="Times New Roman" w:hAnsi="Times New Roman" w:cs="Times New Roman"/>
          <w:sz w:val="24"/>
          <w:szCs w:val="24"/>
          <w:shd w:val="clear" w:color="auto" w:fill="FFFFFF"/>
        </w:rPr>
        <w:fldChar w:fldCharType="begin"/>
      </w:r>
      <w:r w:rsidR="007249D4" w:rsidRPr="001E614D">
        <w:rPr>
          <w:rFonts w:ascii="Times New Roman" w:hAnsi="Times New Roman" w:cs="Times New Roman"/>
          <w:sz w:val="24"/>
          <w:szCs w:val="24"/>
          <w:shd w:val="clear" w:color="auto" w:fill="FFFFFF"/>
        </w:rPr>
        <w:instrText xml:space="preserve"> ADDIN EN.CITE &lt;EndNote&gt;&lt;Cite&gt;&lt;Author&gt;Friedman&lt;/Author&gt;&lt;Year&gt;2016&lt;/Year&gt;&lt;RecNum&gt;698&lt;/RecNum&gt;&lt;DisplayText&gt;(Friedman, Temkin, &amp;amp; Carmeli, 2016)&lt;/DisplayText&gt;&lt;record&gt;&lt;rec-number&gt;698&lt;/rec-number&gt;&lt;foreign-keys&gt;&lt;key app="EN" db-id="xt2exae0qv2t5meds5xxawr9ed5vrfdxvezw" timestamp="1735475049"&gt;698&lt;/key&gt;&lt;/foreign-keys&gt;&lt;ref-type name="Journal Article"&gt;17&lt;/ref-type&gt;&lt;contributors&gt;&lt;authors&gt;&lt;author&gt;Friedman, N Deborah&lt;/author&gt;&lt;author&gt;Temkin, Elizabeth&lt;/author&gt;&lt;author&gt;Carmeli, Yehuda&lt;/author&gt;&lt;/authors&gt;&lt;/contributors&gt;&lt;titles&gt;&lt;title&gt;The negative impact of antibiotic resistance&lt;/title&gt;&lt;secondary-title&gt;Clinical microbiology and infection&lt;/secondary-title&gt;&lt;/titles&gt;&lt;periodical&gt;&lt;full-title&gt;Clinical microbiology and infection&lt;/full-title&gt;&lt;/periodical&gt;&lt;pages&gt;416-422&lt;/pages&gt;&lt;volume&gt;22&lt;/volume&gt;&lt;number&gt;5&lt;/number&gt;&lt;dates&gt;&lt;year&gt;2016&lt;/year&gt;&lt;/dates&gt;&lt;isbn&gt;1198-743X&lt;/isbn&gt;&lt;urls&gt;&lt;/urls&gt;&lt;/record&gt;&lt;/Cite&gt;&lt;/EndNote&gt;</w:instrText>
      </w:r>
      <w:r w:rsidR="007249D4" w:rsidRPr="001E614D">
        <w:rPr>
          <w:rFonts w:ascii="Times New Roman" w:hAnsi="Times New Roman" w:cs="Times New Roman"/>
          <w:sz w:val="24"/>
          <w:szCs w:val="24"/>
          <w:shd w:val="clear" w:color="auto" w:fill="FFFFFF"/>
        </w:rPr>
        <w:fldChar w:fldCharType="separate"/>
      </w:r>
      <w:r w:rsidR="007249D4" w:rsidRPr="001E614D">
        <w:rPr>
          <w:rFonts w:ascii="Times New Roman" w:hAnsi="Times New Roman" w:cs="Times New Roman"/>
          <w:noProof/>
          <w:sz w:val="24"/>
          <w:szCs w:val="24"/>
          <w:shd w:val="clear" w:color="auto" w:fill="FFFFFF"/>
        </w:rPr>
        <w:t>(Friedman, Temkin, &amp; Carmeli, 2016)</w:t>
      </w:r>
      <w:r w:rsidR="007249D4" w:rsidRPr="001E614D">
        <w:rPr>
          <w:rFonts w:ascii="Times New Roman" w:hAnsi="Times New Roman" w:cs="Times New Roman"/>
          <w:sz w:val="24"/>
          <w:szCs w:val="24"/>
          <w:shd w:val="clear" w:color="auto" w:fill="FFFFFF"/>
        </w:rPr>
        <w:fldChar w:fldCharType="end"/>
      </w:r>
      <w:r w:rsidRPr="001E614D">
        <w:rPr>
          <w:rFonts w:ascii="Times New Roman" w:hAnsi="Times New Roman" w:cs="Times New Roman"/>
          <w:sz w:val="24"/>
          <w:szCs w:val="24"/>
          <w:shd w:val="clear" w:color="auto" w:fill="FFFFFF"/>
        </w:rPr>
        <w:t xml:space="preserve">. </w:t>
      </w:r>
      <w:r w:rsidR="007249D4" w:rsidRPr="001E614D">
        <w:rPr>
          <w:rFonts w:ascii="Times New Roman" w:hAnsi="Times New Roman" w:cs="Times New Roman"/>
          <w:sz w:val="24"/>
          <w:szCs w:val="24"/>
          <w:shd w:val="clear" w:color="auto" w:fill="FFFFFF"/>
        </w:rPr>
        <w:t>This</w:t>
      </w:r>
      <w:r w:rsidRPr="001E614D">
        <w:rPr>
          <w:rFonts w:ascii="Times New Roman" w:hAnsi="Times New Roman" w:cs="Times New Roman"/>
          <w:sz w:val="24"/>
          <w:szCs w:val="24"/>
          <w:shd w:val="clear" w:color="auto" w:fill="FFFFFF"/>
        </w:rPr>
        <w:t xml:space="preserve"> ARB </w:t>
      </w:r>
      <w:r w:rsidR="007249D4" w:rsidRPr="001E614D">
        <w:rPr>
          <w:rFonts w:ascii="Times New Roman" w:hAnsi="Times New Roman" w:cs="Times New Roman"/>
          <w:sz w:val="24"/>
          <w:szCs w:val="24"/>
          <w:shd w:val="clear" w:color="auto" w:fill="FFFFFF"/>
        </w:rPr>
        <w:t>includes</w:t>
      </w:r>
      <w:r w:rsidRPr="001E614D">
        <w:rPr>
          <w:rFonts w:ascii="Times New Roman" w:hAnsi="Times New Roman" w:cs="Times New Roman"/>
          <w:sz w:val="24"/>
          <w:szCs w:val="24"/>
          <w:shd w:val="clear" w:color="auto" w:fill="FFFFFF"/>
        </w:rPr>
        <w:t xml:space="preserve"> methicillin-resistant Staphylococcus aureus, vancomycin-resistant Enterococcus spp. and several multidrug-resistant Gram-negative organisms. Antimicrobial resistance limits treatment options and increases the risk of infection-related morbidity and mortality. Several new antibiotic agents with activity against some of the most common ARB have been developed, but resistance to these agents is already emerging and highlights the dire need for new treatment options as well as consistent implementation and improvement of basic infection prevention practices. Clinicians involved in the care of patients with renal disease must be familiar with the local epidemiology of ARB, remain vigilant for the emergence of novel resistance patterns and adhere strictly to practices proven to prevent transmission of ARB and other pathogens</w:t>
      </w:r>
      <w:r w:rsidR="007249D4" w:rsidRPr="001E614D">
        <w:rPr>
          <w:rFonts w:ascii="Times New Roman" w:hAnsi="Times New Roman" w:cs="Times New Roman"/>
          <w:sz w:val="24"/>
          <w:szCs w:val="24"/>
          <w:shd w:val="clear" w:color="auto" w:fill="FFFFFF"/>
        </w:rPr>
        <w:fldChar w:fldCharType="begin"/>
      </w:r>
      <w:r w:rsidR="007249D4" w:rsidRPr="001E614D">
        <w:rPr>
          <w:rFonts w:ascii="Times New Roman" w:hAnsi="Times New Roman" w:cs="Times New Roman"/>
          <w:sz w:val="24"/>
          <w:szCs w:val="24"/>
          <w:shd w:val="clear" w:color="auto" w:fill="FFFFFF"/>
        </w:rPr>
        <w:instrText xml:space="preserve"> ADDIN EN.CITE &lt;EndNote&gt;&lt;Cite&gt;&lt;Author&gt;Aslam&lt;/Author&gt;&lt;Year&gt;2018&lt;/Year&gt;&lt;RecNum&gt;699&lt;/RecNum&gt;&lt;DisplayText&gt;(Aslam et al., 2018; Landecker, 2016)&lt;/DisplayText&gt;&lt;record&gt;&lt;rec-number&gt;699&lt;/rec-number&gt;&lt;foreign-keys&gt;&lt;key app="EN" db-id="xt2exae0qv2t5meds5xxawr9ed5vrfdxvezw" timestamp="1735475075"&gt;699&lt;/key&gt;&lt;/foreign-keys&gt;&lt;ref-type name="Journal Article"&gt;17&lt;/ref-type&gt;&lt;contributors&gt;&lt;authors&gt;&lt;author&gt;Aslam, Bilal&lt;/author&gt;&lt;author&gt;Wang, Wei&lt;/author&gt;&lt;author&gt;Arshad, Muhammad Imran&lt;/author&gt;&lt;author&gt;Khurshid, Mohsin&lt;/author&gt;&lt;author&gt;Muzammil, Saima&lt;/author&gt;&lt;author&gt;Rasool, Muhammad Hidayat&lt;/author&gt;&lt;author&gt;Nisar, Muhammad Atif&lt;/author&gt;&lt;author&gt;Alvi, Ruman Farooq&lt;/author&gt;&lt;author&gt;Aslam, Muhammad Aamir&lt;/author&gt;&lt;author&gt;Qamar, Muhammad Usman&lt;/author&gt;&lt;/authors&gt;&lt;/contributors&gt;&lt;titles&gt;&lt;title&gt;Antibiotic resistance: a rundown of a global crisis&lt;/title&gt;&lt;secondary-title&gt;Infection and drug resistance&lt;/secondary-title&gt;&lt;/titles&gt;&lt;periodical&gt;&lt;full-title&gt;Infection and Drug Resistance&lt;/full-title&gt;&lt;/periodical&gt;&lt;pages&gt;1645-1658&lt;/pages&gt;&lt;dates&gt;&lt;year&gt;2018&lt;/year&gt;&lt;/dates&gt;&lt;isbn&gt;1178-6973&lt;/isbn&gt;&lt;urls&gt;&lt;/urls&gt;&lt;/record&gt;&lt;/Cite&gt;&lt;Cite&gt;&lt;Author&gt;Landecker&lt;/Author&gt;&lt;Year&gt;2016&lt;/Year&gt;&lt;RecNum&gt;700&lt;/RecNum&gt;&lt;record&gt;&lt;rec-number&gt;700&lt;/rec-number&gt;&lt;foreign-keys&gt;&lt;key app="EN" db-id="xt2exae0qv2t5meds5xxawr9ed5vrfdxvezw" timestamp="1735475094"&gt;700&lt;/key&gt;&lt;/foreign-keys&gt;&lt;ref-type name="Journal Article"&gt;17&lt;/ref-type&gt;&lt;contributors&gt;&lt;authors&gt;&lt;author&gt;Landecker, Hannah&lt;/author&gt;&lt;/authors&gt;&lt;/contributors&gt;&lt;titles&gt;&lt;title&gt;Antibiotic resistance and the biology of history&lt;/title&gt;&lt;secondary-title&gt;Body &amp;amp; Society&lt;/secondary-title&gt;&lt;/titles&gt;&lt;periodical&gt;&lt;full-title&gt;Body &amp;amp; Society&lt;/full-title&gt;&lt;/periodical&gt;&lt;pages&gt;19-52&lt;/pages&gt;&lt;volume&gt;22&lt;/volume&gt;&lt;number&gt;4&lt;/number&gt;&lt;dates&gt;&lt;year&gt;2016&lt;/year&gt;&lt;/dates&gt;&lt;isbn&gt;1357-034X&lt;/isbn&gt;&lt;urls&gt;&lt;/urls&gt;&lt;/record&gt;&lt;/Cite&gt;&lt;/EndNote&gt;</w:instrText>
      </w:r>
      <w:r w:rsidR="007249D4" w:rsidRPr="001E614D">
        <w:rPr>
          <w:rFonts w:ascii="Times New Roman" w:hAnsi="Times New Roman" w:cs="Times New Roman"/>
          <w:sz w:val="24"/>
          <w:szCs w:val="24"/>
          <w:shd w:val="clear" w:color="auto" w:fill="FFFFFF"/>
        </w:rPr>
        <w:fldChar w:fldCharType="separate"/>
      </w:r>
      <w:r w:rsidR="007249D4" w:rsidRPr="001E614D">
        <w:rPr>
          <w:rFonts w:ascii="Times New Roman" w:hAnsi="Times New Roman" w:cs="Times New Roman"/>
          <w:noProof/>
          <w:sz w:val="24"/>
          <w:szCs w:val="24"/>
          <w:shd w:val="clear" w:color="auto" w:fill="FFFFFF"/>
        </w:rPr>
        <w:t>(Aslam et al., 2018; Landecker, 2016)</w:t>
      </w:r>
      <w:r w:rsidR="007249D4" w:rsidRPr="001E614D">
        <w:rPr>
          <w:rFonts w:ascii="Times New Roman" w:hAnsi="Times New Roman" w:cs="Times New Roman"/>
          <w:sz w:val="24"/>
          <w:szCs w:val="24"/>
          <w:shd w:val="clear" w:color="auto" w:fill="FFFFFF"/>
        </w:rPr>
        <w:fldChar w:fldCharType="end"/>
      </w:r>
      <w:r w:rsidRPr="001E614D">
        <w:rPr>
          <w:rFonts w:ascii="Times New Roman" w:hAnsi="Times New Roman" w:cs="Times New Roman"/>
          <w:sz w:val="24"/>
          <w:szCs w:val="24"/>
          <w:shd w:val="clear" w:color="auto" w:fill="FFFFFF"/>
        </w:rPr>
        <w:t>.</w:t>
      </w:r>
    </w:p>
    <w:p w14:paraId="127F25FB" w14:textId="77777777" w:rsidR="003D1548" w:rsidRPr="001E614D" w:rsidRDefault="003D1548" w:rsidP="001E614D">
      <w:pPr>
        <w:spacing w:after="0" w:line="360" w:lineRule="auto"/>
        <w:jc w:val="both"/>
        <w:rPr>
          <w:rFonts w:ascii="Times New Roman" w:eastAsia="Times New Roman" w:hAnsi="Times New Roman" w:cs="Times New Roman"/>
          <w:sz w:val="24"/>
          <w:szCs w:val="24"/>
        </w:rPr>
      </w:pPr>
      <w:r w:rsidRPr="001E614D">
        <w:rPr>
          <w:rFonts w:ascii="Times New Roman" w:eastAsia="Times New Roman" w:hAnsi="Times New Roman" w:cs="Times New Roman"/>
          <w:sz w:val="24"/>
          <w:szCs w:val="24"/>
        </w:rPr>
        <w:t>The antimicrobials work in a variety of ways, the main ones being the inhibition of bacterial wall synthesis (penicillins, glycopeptides, carbapenems, and cephalosporins), the inhibition of DNA replication or transcription (quinolones, rifampicin), the impairment of bacterial ribosomes and protein synthesis (macrolides, linezolid, dalfopristin, tetracyclines, and aminoglycosides), the disruption of metabolic pathways (sulfonamides and trimethoprim), or the disruption of the cytoplasmic membrane (polymyxin and daptomycin)</w:t>
      </w:r>
      <w:r w:rsidR="007249D4" w:rsidRPr="001E614D">
        <w:rPr>
          <w:rFonts w:ascii="Times New Roman" w:eastAsia="Times New Roman" w:hAnsi="Times New Roman" w:cs="Times New Roman"/>
          <w:sz w:val="24"/>
          <w:szCs w:val="24"/>
        </w:rPr>
        <w:fldChar w:fldCharType="begin"/>
      </w:r>
      <w:r w:rsidR="007249D4" w:rsidRPr="001E614D">
        <w:rPr>
          <w:rFonts w:ascii="Times New Roman" w:eastAsia="Times New Roman" w:hAnsi="Times New Roman" w:cs="Times New Roman"/>
          <w:sz w:val="24"/>
          <w:szCs w:val="24"/>
        </w:rPr>
        <w:instrText xml:space="preserve"> ADDIN EN.CITE &lt;EndNote&gt;&lt;Cite&gt;&lt;Author&gt;Ventola&lt;/Author&gt;&lt;Year&gt;2015&lt;/Year&gt;&lt;RecNum&gt;701&lt;/RecNum&gt;&lt;DisplayText&gt;(Ventola, 2015)&lt;/DisplayText&gt;&lt;record&gt;&lt;rec-number&gt;701&lt;/rec-number&gt;&lt;foreign-keys&gt;&lt;key app="EN" db-id="xt2exae0qv2t5meds5xxawr9ed5vrfdxvezw" timestamp="1735475120"&gt;701&lt;/key&gt;&lt;/foreign-keys&gt;&lt;ref-type name="Journal Article"&gt;17&lt;/ref-type&gt;&lt;contributors&gt;&lt;authors&gt;&lt;author&gt;Ventola, C Lee&lt;/author&gt;&lt;/authors&gt;&lt;/contributors&gt;&lt;titles&gt;&lt;title&gt;The antibiotic resistance crisis: part 1: causes and threats&lt;/title&gt;&lt;secondary-title&gt;Pharmacy and therapeutics&lt;/secondary-title&gt;&lt;/titles&gt;&lt;periodical&gt;&lt;full-title&gt;Pharmacy and therapeutics&lt;/full-title&gt;&lt;/periodical&gt;&lt;pages&gt;277&lt;/pages&gt;&lt;volume&gt;40&lt;/volume&gt;&lt;number&gt;4&lt;/number&gt;&lt;dates&gt;&lt;year&gt;2015&lt;/year&gt;&lt;/dates&gt;&lt;urls&gt;&lt;/urls&gt;&lt;/record&gt;&lt;/Cite&gt;&lt;/EndNote&gt;</w:instrText>
      </w:r>
      <w:r w:rsidR="007249D4" w:rsidRPr="001E614D">
        <w:rPr>
          <w:rFonts w:ascii="Times New Roman" w:eastAsia="Times New Roman" w:hAnsi="Times New Roman" w:cs="Times New Roman"/>
          <w:sz w:val="24"/>
          <w:szCs w:val="24"/>
        </w:rPr>
        <w:fldChar w:fldCharType="separate"/>
      </w:r>
      <w:r w:rsidR="007249D4" w:rsidRPr="001E614D">
        <w:rPr>
          <w:rFonts w:ascii="Times New Roman" w:eastAsia="Times New Roman" w:hAnsi="Times New Roman" w:cs="Times New Roman"/>
          <w:noProof/>
          <w:sz w:val="24"/>
          <w:szCs w:val="24"/>
        </w:rPr>
        <w:t>(Ventola, 2015)</w:t>
      </w:r>
      <w:r w:rsidR="007249D4" w:rsidRPr="001E614D">
        <w:rPr>
          <w:rFonts w:ascii="Times New Roman" w:eastAsia="Times New Roman" w:hAnsi="Times New Roman" w:cs="Times New Roman"/>
          <w:sz w:val="24"/>
          <w:szCs w:val="24"/>
        </w:rPr>
        <w:fldChar w:fldCharType="end"/>
      </w:r>
      <w:r w:rsidRPr="001E614D">
        <w:rPr>
          <w:rFonts w:ascii="Times New Roman" w:eastAsia="Times New Roman" w:hAnsi="Times New Roman" w:cs="Times New Roman"/>
          <w:sz w:val="24"/>
          <w:szCs w:val="24"/>
        </w:rPr>
        <w:t>.</w:t>
      </w:r>
    </w:p>
    <w:p w14:paraId="32E0C0E9" w14:textId="77777777" w:rsidR="003D1548" w:rsidRPr="001E614D" w:rsidRDefault="003D1548" w:rsidP="001E614D">
      <w:pPr>
        <w:spacing w:after="0" w:line="360" w:lineRule="auto"/>
        <w:jc w:val="both"/>
        <w:rPr>
          <w:rFonts w:ascii="Times New Roman" w:eastAsia="Times New Roman" w:hAnsi="Times New Roman" w:cs="Times New Roman"/>
          <w:sz w:val="24"/>
          <w:szCs w:val="24"/>
        </w:rPr>
      </w:pPr>
      <w:r w:rsidRPr="001E614D">
        <w:rPr>
          <w:rFonts w:ascii="Times New Roman" w:eastAsia="Times New Roman" w:hAnsi="Times New Roman" w:cs="Times New Roman"/>
          <w:sz w:val="24"/>
          <w:szCs w:val="24"/>
        </w:rPr>
        <w:t>190 individuals received a total of 495 antibiotic prescriptions. Antibiotics were administered to 51.6% of patients without renal dosage modifications. Fluoroquinolones were the most suitably adjusted class, whilst penicillins were the most improperly dosed (39.8%). The most commonly prescribed medication (30.6%) without renal dosage modification was piperacillin/tazobactam. According to the fitted multivariable-adjusted logistic models, there were statistically significant correlations between unadjusted antibiotic dosage and respiratory infections (OR 1.301, CI 95% 1.327–1.915) and multimorbidity (OR 1.183, CI 95% 1.358–2.081)</w:t>
      </w:r>
      <w:r w:rsidR="007249D4" w:rsidRPr="001E614D">
        <w:rPr>
          <w:rFonts w:ascii="Times New Roman" w:eastAsia="Times New Roman" w:hAnsi="Times New Roman" w:cs="Times New Roman"/>
          <w:sz w:val="24"/>
          <w:szCs w:val="24"/>
        </w:rPr>
        <w:fldChar w:fldCharType="begin"/>
      </w:r>
      <w:r w:rsidR="007249D4" w:rsidRPr="001E614D">
        <w:rPr>
          <w:rFonts w:ascii="Times New Roman" w:eastAsia="Times New Roman" w:hAnsi="Times New Roman" w:cs="Times New Roman"/>
          <w:sz w:val="24"/>
          <w:szCs w:val="24"/>
        </w:rPr>
        <w:instrText xml:space="preserve"> ADDIN EN.CITE &lt;EndNote&gt;&lt;Cite&gt;&lt;Author&gt;Chinemerem Nwobodo&lt;/Author&gt;&lt;Year&gt;2022&lt;/Year&gt;&lt;RecNum&gt;702&lt;/RecNum&gt;&lt;DisplayText&gt;(Chinemerem Nwobodo et al., 2022)&lt;/DisplayText&gt;&lt;record&gt;&lt;rec-number&gt;702&lt;/rec-number&gt;&lt;foreign-keys&gt;&lt;key app="EN" db-id="xt2exae0qv2t5meds5xxawr9ed5vrfdxvezw" timestamp="1735475149"&gt;702&lt;/key&gt;&lt;/foreign-keys&gt;&lt;ref-type name="Journal Article"&gt;17&lt;/ref-type&gt;&lt;contributors&gt;&lt;authors&gt;&lt;author&gt;Chinemerem Nwobodo, David&lt;/author&gt;&lt;author&gt;Ugwu, Malachy Chigozie&lt;/author&gt;&lt;author&gt;Oliseloke Anie, Clement&lt;/author&gt;&lt;author&gt;Al‐Ouqaili, Mushtak TS&lt;/author&gt;&lt;author&gt;Chinedu Ikem, Joseph&lt;/author&gt;&lt;author&gt;Victor Chigozie, Uchenna&lt;/author&gt;&lt;author&gt;Saki, Morteza&lt;/author&gt;&lt;/authors&gt;&lt;/contributors&gt;&lt;titles&gt;&lt;title&gt;Antibiotic resistance: The challenges and some emerging strategies for tackling a global menace&lt;/title&gt;&lt;secondary-title&gt;Journal of clinical laboratory analysis&lt;/secondary-title&gt;&lt;/titles&gt;&lt;periodical&gt;&lt;full-title&gt;Journal of clinical laboratory analysis&lt;/full-title&gt;&lt;/periodical&gt;&lt;pages&gt;e24655&lt;/pages&gt;&lt;volume&gt;36&lt;/volume&gt;&lt;number&gt;9&lt;/number&gt;&lt;dates&gt;&lt;year&gt;2022&lt;/year&gt;&lt;/dates&gt;&lt;isbn&gt;0887-8013&lt;/isbn&gt;&lt;urls&gt;&lt;/urls&gt;&lt;/record&gt;&lt;/Cite&gt;&lt;/EndNote&gt;</w:instrText>
      </w:r>
      <w:r w:rsidR="007249D4" w:rsidRPr="001E614D">
        <w:rPr>
          <w:rFonts w:ascii="Times New Roman" w:eastAsia="Times New Roman" w:hAnsi="Times New Roman" w:cs="Times New Roman"/>
          <w:sz w:val="24"/>
          <w:szCs w:val="24"/>
        </w:rPr>
        <w:fldChar w:fldCharType="separate"/>
      </w:r>
      <w:r w:rsidR="007249D4" w:rsidRPr="001E614D">
        <w:rPr>
          <w:rFonts w:ascii="Times New Roman" w:eastAsia="Times New Roman" w:hAnsi="Times New Roman" w:cs="Times New Roman"/>
          <w:noProof/>
          <w:sz w:val="24"/>
          <w:szCs w:val="24"/>
        </w:rPr>
        <w:t>(Chinemerem Nwobodo et al., 2022)</w:t>
      </w:r>
      <w:r w:rsidR="007249D4" w:rsidRPr="001E614D">
        <w:rPr>
          <w:rFonts w:ascii="Times New Roman" w:eastAsia="Times New Roman" w:hAnsi="Times New Roman" w:cs="Times New Roman"/>
          <w:sz w:val="24"/>
          <w:szCs w:val="24"/>
        </w:rPr>
        <w:fldChar w:fldCharType="end"/>
      </w:r>
      <w:r w:rsidRPr="001E614D">
        <w:rPr>
          <w:rFonts w:ascii="Times New Roman" w:eastAsia="Times New Roman" w:hAnsi="Times New Roman" w:cs="Times New Roman"/>
          <w:sz w:val="24"/>
          <w:szCs w:val="24"/>
        </w:rPr>
        <w:t>.</w:t>
      </w:r>
    </w:p>
    <w:p w14:paraId="7355835B" w14:textId="77777777" w:rsidR="003D1548" w:rsidRPr="001E614D" w:rsidRDefault="003D1548" w:rsidP="001E614D">
      <w:pPr>
        <w:spacing w:after="240" w:line="360" w:lineRule="auto"/>
        <w:jc w:val="both"/>
        <w:rPr>
          <w:rFonts w:ascii="Times New Roman" w:eastAsia="Times New Roman" w:hAnsi="Times New Roman" w:cs="Times New Roman"/>
          <w:sz w:val="24"/>
          <w:szCs w:val="24"/>
        </w:rPr>
      </w:pPr>
      <w:r w:rsidRPr="001E614D">
        <w:rPr>
          <w:rFonts w:ascii="Times New Roman" w:eastAsia="Times New Roman" w:hAnsi="Times New Roman" w:cs="Times New Roman"/>
          <w:sz w:val="24"/>
          <w:szCs w:val="24"/>
        </w:rPr>
        <w:t>About 10% of people worldwide suffer from chronic kidney disease (CKD) [12]. The progression is shown by a glomerular filtration rate (GFR) &lt; 60 mL/min/1.73 m2, which indicates a loss of function maintained for ≥ 3 months. Cardiovascular illness and chronic kidney disease (CKD) are intimately related; in CKD patients, cardiovascular mortality might be up to 15 times greater</w:t>
      </w:r>
      <w:r w:rsidR="00F325FB" w:rsidRPr="001E614D">
        <w:rPr>
          <w:rFonts w:ascii="Times New Roman" w:eastAsia="Times New Roman" w:hAnsi="Times New Roman" w:cs="Times New Roman"/>
          <w:sz w:val="24"/>
          <w:szCs w:val="24"/>
        </w:rPr>
        <w:t xml:space="preserve"> than in the general population</w:t>
      </w:r>
      <w:r w:rsidRPr="001E614D">
        <w:rPr>
          <w:rFonts w:ascii="Times New Roman" w:eastAsia="Times New Roman" w:hAnsi="Times New Roman" w:cs="Times New Roman"/>
          <w:sz w:val="24"/>
          <w:szCs w:val="24"/>
        </w:rPr>
        <w:t xml:space="preserve">. The number of individuals with stage 3 CKD </w:t>
      </w:r>
      <w:r w:rsidRPr="001E614D">
        <w:rPr>
          <w:rFonts w:ascii="Times New Roman" w:eastAsia="Times New Roman" w:hAnsi="Times New Roman" w:cs="Times New Roman"/>
          <w:sz w:val="24"/>
          <w:szCs w:val="24"/>
        </w:rPr>
        <w:lastRenderedPageBreak/>
        <w:t>(CKD3) is unknown because they are self-sufficient and infrequently seek the advice of a nephrology professional, making management of this condition very challenging. Increased microbial resistance or tolerance to arsenic, cadmium, mercury, and lead in tap water is a potential consequence of daily exposure. Through co-selection, the presence of metals also increases antibiotic resistance. Cross-resistance, in which a single resistance mechanism confers resistance to multiple components simultaneously, such as the cadmium efflux pump that can expel beta-lactam antibiotics, or co-resistance phenomena, in which two or more resistance genes are in the same genetic element and regulated by the same promoter, can result in co-selection</w:t>
      </w:r>
      <w:r w:rsidR="004827C6" w:rsidRPr="001E614D">
        <w:rPr>
          <w:rFonts w:ascii="Times New Roman" w:eastAsia="Times New Roman" w:hAnsi="Times New Roman" w:cs="Times New Roman"/>
          <w:sz w:val="24"/>
          <w:szCs w:val="24"/>
        </w:rPr>
        <w:fldChar w:fldCharType="begin"/>
      </w:r>
      <w:r w:rsidR="004827C6" w:rsidRPr="001E614D">
        <w:rPr>
          <w:rFonts w:ascii="Times New Roman" w:eastAsia="Times New Roman" w:hAnsi="Times New Roman" w:cs="Times New Roman"/>
          <w:sz w:val="24"/>
          <w:szCs w:val="24"/>
        </w:rPr>
        <w:instrText xml:space="preserve"> ADDIN EN.CITE &lt;EndNote&gt;&lt;Cite&gt;&lt;Author&gt;Martens&lt;/Author&gt;&lt;Year&gt;2017&lt;/Year&gt;&lt;RecNum&gt;703&lt;/RecNum&gt;&lt;DisplayText&gt;(Martens &amp;amp; Demain, 2017)&lt;/DisplayText&gt;&lt;record&gt;&lt;rec-number&gt;703&lt;/rec-number&gt;&lt;foreign-keys&gt;&lt;key app="EN" db-id="xt2exae0qv2t5meds5xxawr9ed5vrfdxvezw" timestamp="1735475175"&gt;703&lt;/key&gt;&lt;/foreign-keys&gt;&lt;ref-type name="Journal Article"&gt;17&lt;/ref-type&gt;&lt;contributors&gt;&lt;authors&gt;&lt;author&gt;Martens, Evan&lt;/author&gt;&lt;author&gt;Demain, Arnold L&lt;/author&gt;&lt;/authors&gt;&lt;/contributors&gt;&lt;titles&gt;&lt;title&gt;The antibiotic resistance crisis, with a focus on the United States&lt;/title&gt;&lt;secondary-title&gt;The Journal of antibiotics&lt;/secondary-title&gt;&lt;/titles&gt;&lt;periodical&gt;&lt;full-title&gt;The Journal of antibiotics&lt;/full-title&gt;&lt;/periodical&gt;&lt;pages&gt;520-526&lt;/pages&gt;&lt;volume&gt;70&lt;/volume&gt;&lt;number&gt;5&lt;/number&gt;&lt;dates&gt;&lt;year&gt;2017&lt;/year&gt;&lt;/dates&gt;&lt;isbn&gt;1881-1469&lt;/isbn&gt;&lt;urls&gt;&lt;/urls&gt;&lt;/record&gt;&lt;/Cite&gt;&lt;/EndNote&gt;</w:instrText>
      </w:r>
      <w:r w:rsidR="004827C6" w:rsidRPr="001E614D">
        <w:rPr>
          <w:rFonts w:ascii="Times New Roman" w:eastAsia="Times New Roman" w:hAnsi="Times New Roman" w:cs="Times New Roman"/>
          <w:sz w:val="24"/>
          <w:szCs w:val="24"/>
        </w:rPr>
        <w:fldChar w:fldCharType="separate"/>
      </w:r>
      <w:r w:rsidR="004827C6" w:rsidRPr="001E614D">
        <w:rPr>
          <w:rFonts w:ascii="Times New Roman" w:eastAsia="Times New Roman" w:hAnsi="Times New Roman" w:cs="Times New Roman"/>
          <w:noProof/>
          <w:sz w:val="24"/>
          <w:szCs w:val="24"/>
        </w:rPr>
        <w:t>(Martens &amp; Demain, 2017)</w:t>
      </w:r>
      <w:r w:rsidR="004827C6" w:rsidRPr="001E614D">
        <w:rPr>
          <w:rFonts w:ascii="Times New Roman" w:eastAsia="Times New Roman" w:hAnsi="Times New Roman" w:cs="Times New Roman"/>
          <w:sz w:val="24"/>
          <w:szCs w:val="24"/>
        </w:rPr>
        <w:fldChar w:fldCharType="end"/>
      </w:r>
      <w:r w:rsidRPr="001E614D">
        <w:rPr>
          <w:rFonts w:ascii="Times New Roman" w:eastAsia="Times New Roman" w:hAnsi="Times New Roman" w:cs="Times New Roman"/>
          <w:sz w:val="24"/>
          <w:szCs w:val="24"/>
        </w:rPr>
        <w:t>.</w:t>
      </w:r>
    </w:p>
    <w:p w14:paraId="329D3CA9" w14:textId="77777777" w:rsidR="003D1548" w:rsidRPr="001E614D" w:rsidRDefault="003D1548" w:rsidP="001E614D">
      <w:pPr>
        <w:spacing w:after="0" w:line="360" w:lineRule="auto"/>
        <w:jc w:val="both"/>
        <w:rPr>
          <w:rFonts w:ascii="Times New Roman" w:eastAsia="Times New Roman" w:hAnsi="Times New Roman" w:cs="Times New Roman"/>
          <w:b/>
          <w:sz w:val="24"/>
          <w:szCs w:val="24"/>
        </w:rPr>
      </w:pPr>
      <w:r w:rsidRPr="001E614D">
        <w:rPr>
          <w:rFonts w:ascii="Times New Roman" w:eastAsia="Times New Roman" w:hAnsi="Times New Roman" w:cs="Times New Roman"/>
          <w:b/>
          <w:sz w:val="24"/>
          <w:szCs w:val="24"/>
        </w:rPr>
        <w:t>Possible Interventions</w:t>
      </w:r>
    </w:p>
    <w:p w14:paraId="552CE9F2" w14:textId="77777777" w:rsidR="003D1548" w:rsidRPr="001E614D" w:rsidRDefault="003D1548" w:rsidP="001E614D">
      <w:pPr>
        <w:spacing w:line="360" w:lineRule="auto"/>
        <w:jc w:val="both"/>
        <w:rPr>
          <w:rFonts w:ascii="Times New Roman" w:hAnsi="Times New Roman" w:cs="Times New Roman"/>
          <w:b/>
          <w:bCs/>
          <w:color w:val="2A2A2A"/>
          <w:sz w:val="24"/>
          <w:szCs w:val="24"/>
          <w:shd w:val="clear" w:color="auto" w:fill="FFFFFF"/>
        </w:rPr>
      </w:pPr>
      <w:r w:rsidRPr="001E614D">
        <w:rPr>
          <w:rFonts w:ascii="Times New Roman" w:eastAsia="Times New Roman" w:hAnsi="Times New Roman" w:cs="Times New Roman"/>
          <w:sz w:val="24"/>
          <w:szCs w:val="24"/>
        </w:rPr>
        <w:t>In the treatment of patients with chronic kidney disease (CKD), cooperation between pharmacists and doctors may enhance the quality of medication dosage schedules that need to be mo</w:t>
      </w:r>
      <w:r w:rsidR="004827C6" w:rsidRPr="001E614D">
        <w:rPr>
          <w:rFonts w:ascii="Times New Roman" w:eastAsia="Times New Roman" w:hAnsi="Times New Roman" w:cs="Times New Roman"/>
          <w:sz w:val="24"/>
          <w:szCs w:val="24"/>
        </w:rPr>
        <w:t>dified based on renal function</w:t>
      </w:r>
      <w:r w:rsidR="004827C6" w:rsidRPr="001E614D">
        <w:rPr>
          <w:rFonts w:ascii="Times New Roman" w:eastAsia="Times New Roman" w:hAnsi="Times New Roman" w:cs="Times New Roman"/>
          <w:sz w:val="24"/>
          <w:szCs w:val="24"/>
        </w:rPr>
        <w:fldChar w:fldCharType="begin"/>
      </w:r>
      <w:r w:rsidR="004827C6" w:rsidRPr="001E614D">
        <w:rPr>
          <w:rFonts w:ascii="Times New Roman" w:eastAsia="Times New Roman" w:hAnsi="Times New Roman" w:cs="Times New Roman"/>
          <w:sz w:val="24"/>
          <w:szCs w:val="24"/>
        </w:rPr>
        <w:instrText xml:space="preserve"> ADDIN EN.CITE &lt;EndNote&gt;&lt;Cite&gt;&lt;Author&gt;Jit&lt;/Author&gt;&lt;Year&gt;2020&lt;/Year&gt;&lt;RecNum&gt;705&lt;/RecNum&gt;&lt;DisplayText&gt;(Jit et al., 2020)&lt;/DisplayText&gt;&lt;record&gt;&lt;rec-number&gt;705&lt;/rec-number&gt;&lt;foreign-keys&gt;&lt;key app="EN" db-id="xt2exae0qv2t5meds5xxawr9ed5vrfdxvezw" timestamp="1735475285"&gt;705&lt;/key&gt;&lt;/foreign-keys&gt;&lt;ref-type name="Journal Article"&gt;17&lt;/ref-type&gt;&lt;contributors&gt;&lt;authors&gt;&lt;author&gt;Jit, Mark&lt;/author&gt;&lt;author&gt;Ng, Dorothy Hui Lin&lt;/author&gt;&lt;author&gt;Luangasanatip, Nantasit&lt;/author&gt;&lt;author&gt;Sandmann, Frank&lt;/author&gt;&lt;author&gt;Atkins, Katherine E&lt;/author&gt;&lt;author&gt;Robotham, Julie V&lt;/author&gt;&lt;author&gt;Pouwels, Koen B&lt;/author&gt;&lt;/authors&gt;&lt;/contributors&gt;&lt;titles&gt;&lt;title&gt;Quantifying the economic cost of antibiotic resistance and the impact of related interventions: rapid methodological review, conceptual framework and recommendations for future studies&lt;/title&gt;&lt;secondary-title&gt;BMC medicine&lt;/secondary-title&gt;&lt;/titles&gt;&lt;periodical&gt;&lt;full-title&gt;BMC medicine&lt;/full-title&gt;&lt;/periodical&gt;&lt;pages&gt;1-14&lt;/pages&gt;&lt;volume&gt;18&lt;/volume&gt;&lt;dates&gt;&lt;year&gt;2020&lt;/year&gt;&lt;/dates&gt;&lt;urls&gt;&lt;/urls&gt;&lt;/record&gt;&lt;/Cite&gt;&lt;/EndNote&gt;</w:instrText>
      </w:r>
      <w:r w:rsidR="004827C6" w:rsidRPr="001E614D">
        <w:rPr>
          <w:rFonts w:ascii="Times New Roman" w:eastAsia="Times New Roman" w:hAnsi="Times New Roman" w:cs="Times New Roman"/>
          <w:sz w:val="24"/>
          <w:szCs w:val="24"/>
        </w:rPr>
        <w:fldChar w:fldCharType="separate"/>
      </w:r>
      <w:r w:rsidR="004827C6" w:rsidRPr="001E614D">
        <w:rPr>
          <w:rFonts w:ascii="Times New Roman" w:eastAsia="Times New Roman" w:hAnsi="Times New Roman" w:cs="Times New Roman"/>
          <w:noProof/>
          <w:sz w:val="24"/>
          <w:szCs w:val="24"/>
        </w:rPr>
        <w:t>(Jit et al., 2020)</w:t>
      </w:r>
      <w:r w:rsidR="004827C6" w:rsidRPr="001E614D">
        <w:rPr>
          <w:rFonts w:ascii="Times New Roman" w:eastAsia="Times New Roman" w:hAnsi="Times New Roman" w:cs="Times New Roman"/>
          <w:sz w:val="24"/>
          <w:szCs w:val="24"/>
        </w:rPr>
        <w:fldChar w:fldCharType="end"/>
      </w:r>
      <w:r w:rsidR="004827C6" w:rsidRPr="001E614D">
        <w:rPr>
          <w:rFonts w:ascii="Times New Roman" w:eastAsia="Times New Roman" w:hAnsi="Times New Roman" w:cs="Times New Roman"/>
          <w:sz w:val="24"/>
          <w:szCs w:val="24"/>
        </w:rPr>
        <w:t xml:space="preserve">. </w:t>
      </w:r>
      <w:r w:rsidRPr="001E614D">
        <w:rPr>
          <w:rFonts w:ascii="Times New Roman" w:eastAsia="Times New Roman" w:hAnsi="Times New Roman" w:cs="Times New Roman"/>
          <w:sz w:val="24"/>
          <w:szCs w:val="24"/>
        </w:rPr>
        <w:t>Goal to show that a pharmacist's involvement in a CKD patient monitoring program enhances the patients' renal function.</w:t>
      </w:r>
      <w:r w:rsidRPr="001E614D">
        <w:rPr>
          <w:rFonts w:ascii="Times New Roman" w:hAnsi="Times New Roman" w:cs="Times New Roman"/>
          <w:b/>
          <w:bCs/>
          <w:color w:val="2A2A2A"/>
          <w:sz w:val="24"/>
          <w:szCs w:val="24"/>
          <w:shd w:val="clear" w:color="auto" w:fill="FFFFFF"/>
        </w:rPr>
        <w:t xml:space="preserve"> </w:t>
      </w:r>
      <w:r w:rsidRPr="001E614D">
        <w:rPr>
          <w:rFonts w:ascii="Times New Roman" w:eastAsia="Times New Roman" w:hAnsi="Times New Roman" w:cs="Times New Roman"/>
          <w:sz w:val="24"/>
          <w:szCs w:val="24"/>
        </w:rPr>
        <w:t xml:space="preserve">People with chronic kidney disease (CKD) are often advised to make dietary adjustments based on non-randomized research in CKD and </w:t>
      </w:r>
      <w:r w:rsidR="004827C6" w:rsidRPr="001E614D">
        <w:rPr>
          <w:rFonts w:ascii="Times New Roman" w:eastAsia="Times New Roman" w:hAnsi="Times New Roman" w:cs="Times New Roman"/>
          <w:sz w:val="24"/>
          <w:szCs w:val="24"/>
        </w:rPr>
        <w:t>randomized</w:t>
      </w:r>
      <w:r w:rsidRPr="001E614D">
        <w:rPr>
          <w:rFonts w:ascii="Times New Roman" w:eastAsia="Times New Roman" w:hAnsi="Times New Roman" w:cs="Times New Roman"/>
          <w:sz w:val="24"/>
          <w:szCs w:val="24"/>
        </w:rPr>
        <w:t xml:space="preserve"> evidence in the general population that suggests specific healthy eating patterns may reduce mortality and prevent cardiovascular events</w:t>
      </w:r>
      <w:r w:rsidR="004827C6" w:rsidRPr="001E614D">
        <w:rPr>
          <w:rFonts w:ascii="Times New Roman" w:eastAsia="Times New Roman" w:hAnsi="Times New Roman" w:cs="Times New Roman"/>
          <w:sz w:val="24"/>
          <w:szCs w:val="24"/>
        </w:rPr>
        <w:fldChar w:fldCharType="begin"/>
      </w:r>
      <w:r w:rsidR="004827C6" w:rsidRPr="001E614D">
        <w:rPr>
          <w:rFonts w:ascii="Times New Roman" w:eastAsia="Times New Roman" w:hAnsi="Times New Roman" w:cs="Times New Roman"/>
          <w:sz w:val="24"/>
          <w:szCs w:val="24"/>
        </w:rPr>
        <w:instrText xml:space="preserve"> ADDIN EN.CITE &lt;EndNote&gt;&lt;Cite&gt;&lt;Author&gt;Rather&lt;/Author&gt;&lt;Year&gt;2017&lt;/Year&gt;&lt;RecNum&gt;704&lt;/RecNum&gt;&lt;DisplayText&gt;(Rather, Kim, Bajpai, &amp;amp; Park, 2017)&lt;/DisplayText&gt;&lt;record&gt;&lt;rec-number&gt;704&lt;/rec-number&gt;&lt;foreign-keys&gt;&lt;key app="EN" db-id="xt2exae0qv2t5meds5xxawr9ed5vrfdxvezw" timestamp="1735475259"&gt;704&lt;/key&gt;&lt;/foreign-keys&gt;&lt;ref-type name="Journal Article"&gt;17&lt;/ref-type&gt;&lt;contributors&gt;&lt;authors&gt;&lt;author&gt;Rather, Irfan A&lt;/author&gt;&lt;author&gt;Kim, Byung-Chun&lt;/author&gt;&lt;author&gt;Bajpai, Vivek K&lt;/author&gt;&lt;author&gt;Park, Yong-Ha&lt;/author&gt;&lt;/authors&gt;&lt;/contributors&gt;&lt;titles&gt;&lt;title&gt;Self-medication and antibiotic resistance: Crisis, current challenges, and prevention&lt;/title&gt;&lt;secondary-title&gt;Saudi journal of biological sciences&lt;/secondary-title&gt;&lt;/titles&gt;&lt;periodical&gt;&lt;full-title&gt;Saudi Journal of Biological Sciences&lt;/full-title&gt;&lt;/periodical&gt;&lt;pages&gt;808-812&lt;/pages&gt;&lt;volume&gt;24&lt;/volume&gt;&lt;number&gt;4&lt;/number&gt;&lt;dates&gt;&lt;year&gt;2017&lt;/year&gt;&lt;/dates&gt;&lt;isbn&gt;1319-562X&lt;/isbn&gt;&lt;urls&gt;&lt;/urls&gt;&lt;/record&gt;&lt;/Cite&gt;&lt;/EndNote&gt;</w:instrText>
      </w:r>
      <w:r w:rsidR="004827C6" w:rsidRPr="001E614D">
        <w:rPr>
          <w:rFonts w:ascii="Times New Roman" w:eastAsia="Times New Roman" w:hAnsi="Times New Roman" w:cs="Times New Roman"/>
          <w:sz w:val="24"/>
          <w:szCs w:val="24"/>
        </w:rPr>
        <w:fldChar w:fldCharType="separate"/>
      </w:r>
      <w:r w:rsidR="004827C6" w:rsidRPr="001E614D">
        <w:rPr>
          <w:rFonts w:ascii="Times New Roman" w:eastAsia="Times New Roman" w:hAnsi="Times New Roman" w:cs="Times New Roman"/>
          <w:noProof/>
          <w:sz w:val="24"/>
          <w:szCs w:val="24"/>
        </w:rPr>
        <w:t>(Rather, Kim, Bajpai, &amp; Park, 2017)</w:t>
      </w:r>
      <w:r w:rsidR="004827C6" w:rsidRPr="001E614D">
        <w:rPr>
          <w:rFonts w:ascii="Times New Roman" w:eastAsia="Times New Roman" w:hAnsi="Times New Roman" w:cs="Times New Roman"/>
          <w:sz w:val="24"/>
          <w:szCs w:val="24"/>
        </w:rPr>
        <w:fldChar w:fldCharType="end"/>
      </w:r>
      <w:r w:rsidRPr="001E614D">
        <w:rPr>
          <w:rFonts w:ascii="Times New Roman" w:eastAsia="Times New Roman" w:hAnsi="Times New Roman" w:cs="Times New Roman"/>
          <w:sz w:val="24"/>
          <w:szCs w:val="24"/>
        </w:rPr>
        <w:t>. Dietary changes have been identified by renal disease patients as a significant therapeutic uncertainty.</w:t>
      </w:r>
      <w:r w:rsidRPr="001E614D">
        <w:rPr>
          <w:rFonts w:ascii="Times New Roman" w:hAnsi="Times New Roman" w:cs="Times New Roman"/>
          <w:b/>
          <w:bCs/>
          <w:color w:val="2A2A2A"/>
          <w:sz w:val="24"/>
          <w:szCs w:val="24"/>
          <w:shd w:val="clear" w:color="auto" w:fill="FFFFFF"/>
        </w:rPr>
        <w:t xml:space="preserve"> </w:t>
      </w:r>
      <w:r w:rsidRPr="001E614D">
        <w:rPr>
          <w:rFonts w:ascii="Times New Roman" w:eastAsia="Times New Roman" w:hAnsi="Times New Roman" w:cs="Times New Roman"/>
          <w:sz w:val="24"/>
          <w:szCs w:val="24"/>
        </w:rPr>
        <w:t>We located 17 studies that examined the potential health benefits of dietary modifications or guidance for 1639 individuals with chronic renal disease. Men and women with moderate to severe renal disease were included in the studies. Diets included consuming more fruits and vegetables, more fish and poultry, more nuts and olive oil, some more cereals and legumes (like beans), and less salt, sweets, and red meat. We specifically examined three outcomes: quality of life, risk of advanced renal disease needing dialysis, and risk of mortality</w:t>
      </w:r>
      <w:r w:rsidR="004827C6" w:rsidRPr="001E614D">
        <w:rPr>
          <w:rFonts w:ascii="Times New Roman" w:eastAsia="Times New Roman" w:hAnsi="Times New Roman" w:cs="Times New Roman"/>
          <w:sz w:val="24"/>
          <w:szCs w:val="24"/>
        </w:rPr>
        <w:fldChar w:fldCharType="begin"/>
      </w:r>
      <w:r w:rsidR="004827C6" w:rsidRPr="001E614D">
        <w:rPr>
          <w:rFonts w:ascii="Times New Roman" w:eastAsia="Times New Roman" w:hAnsi="Times New Roman" w:cs="Times New Roman"/>
          <w:sz w:val="24"/>
          <w:szCs w:val="24"/>
        </w:rPr>
        <w:instrText xml:space="preserve"> ADDIN EN.CITE &lt;EndNote&gt;&lt;Cite&gt;&lt;Author&gt;Bassetti&lt;/Author&gt;&lt;Year&gt;2022&lt;/Year&gt;&lt;RecNum&gt;706&lt;/RecNum&gt;&lt;DisplayText&gt;(Bassetti, Tschudin-Sutter, Egli, &amp;amp; Osthoff, 2022)&lt;/DisplayText&gt;&lt;record&gt;&lt;rec-number&gt;706&lt;/rec-number&gt;&lt;foreign-keys&gt;&lt;key app="EN" db-id="xt2exae0qv2t5meds5xxawr9ed5vrfdxvezw" timestamp="1735475325"&gt;706&lt;/key&gt;&lt;/foreign-keys&gt;&lt;ref-type name="Journal Article"&gt;17&lt;/ref-type&gt;&lt;contributors&gt;&lt;authors&gt;&lt;author&gt;Bassetti, Stefano&lt;/author&gt;&lt;author&gt;Tschudin-Sutter, Sarah&lt;/author&gt;&lt;author&gt;Egli, Adrian&lt;/author&gt;&lt;author&gt;Osthoff, Michael&lt;/author&gt;&lt;/authors&gt;&lt;/contributors&gt;&lt;titles&gt;&lt;title&gt;Optimizing antibiotic therapies to reduce the risk of bacterial resistance&lt;/title&gt;&lt;secondary-title&gt;European journal of internal medicine&lt;/secondary-title&gt;&lt;/titles&gt;&lt;periodical&gt;&lt;full-title&gt;European journal of internal medicine&lt;/full-title&gt;&lt;/periodical&gt;&lt;pages&gt;7-12&lt;/pages&gt;&lt;volume&gt;99&lt;/volume&gt;&lt;dates&gt;&lt;year&gt;2022&lt;/year&gt;&lt;/dates&gt;&lt;isbn&gt;0953-6205&lt;/isbn&gt;&lt;urls&gt;&lt;/urls&gt;&lt;/record&gt;&lt;/Cite&gt;&lt;/EndNote&gt;</w:instrText>
      </w:r>
      <w:r w:rsidR="004827C6" w:rsidRPr="001E614D">
        <w:rPr>
          <w:rFonts w:ascii="Times New Roman" w:eastAsia="Times New Roman" w:hAnsi="Times New Roman" w:cs="Times New Roman"/>
          <w:sz w:val="24"/>
          <w:szCs w:val="24"/>
        </w:rPr>
        <w:fldChar w:fldCharType="separate"/>
      </w:r>
      <w:r w:rsidR="004827C6" w:rsidRPr="001E614D">
        <w:rPr>
          <w:rFonts w:ascii="Times New Roman" w:eastAsia="Times New Roman" w:hAnsi="Times New Roman" w:cs="Times New Roman"/>
          <w:noProof/>
          <w:sz w:val="24"/>
          <w:szCs w:val="24"/>
        </w:rPr>
        <w:t>(Bassetti, Tschudin-Sutter, Egli, &amp; Osthoff, 2022)</w:t>
      </w:r>
      <w:r w:rsidR="004827C6" w:rsidRPr="001E614D">
        <w:rPr>
          <w:rFonts w:ascii="Times New Roman" w:eastAsia="Times New Roman" w:hAnsi="Times New Roman" w:cs="Times New Roman"/>
          <w:sz w:val="24"/>
          <w:szCs w:val="24"/>
        </w:rPr>
        <w:fldChar w:fldCharType="end"/>
      </w:r>
      <w:r w:rsidRPr="001E614D">
        <w:rPr>
          <w:rFonts w:ascii="Times New Roman" w:eastAsia="Times New Roman" w:hAnsi="Times New Roman" w:cs="Times New Roman"/>
          <w:sz w:val="24"/>
          <w:szCs w:val="24"/>
        </w:rPr>
        <w:t>. A total of four studies involved kidney transplant recipients, while three studies involved dialysis patients.</w:t>
      </w:r>
      <w:r w:rsidRPr="001E614D">
        <w:rPr>
          <w:rFonts w:ascii="Times New Roman" w:hAnsi="Times New Roman" w:cs="Times New Roman"/>
          <w:b/>
          <w:bCs/>
          <w:color w:val="2A2A2A"/>
          <w:sz w:val="24"/>
          <w:szCs w:val="24"/>
          <w:shd w:val="clear" w:color="auto" w:fill="FFFFFF"/>
        </w:rPr>
        <w:t xml:space="preserve"> </w:t>
      </w:r>
      <w:r w:rsidRPr="001E614D">
        <w:rPr>
          <w:rFonts w:ascii="Times New Roman" w:eastAsia="Times New Roman" w:hAnsi="Times New Roman" w:cs="Times New Roman"/>
          <w:sz w:val="24"/>
          <w:szCs w:val="24"/>
        </w:rPr>
        <w:t xml:space="preserve">After combining the available studies, it was uncertain whether making healthy diet changes prevented heart complications as most studies did not measure these. Diet changes may improve life quality. We did see that some risk factors for future disease, such as blood pressure and cholesterol, were lower following diet </w:t>
      </w:r>
      <w:r w:rsidR="004827C6" w:rsidRPr="001E614D">
        <w:rPr>
          <w:rFonts w:ascii="Times New Roman" w:eastAsia="Times New Roman" w:hAnsi="Times New Roman" w:cs="Times New Roman"/>
          <w:sz w:val="24"/>
          <w:szCs w:val="24"/>
        </w:rPr>
        <w:t>counseling</w:t>
      </w:r>
      <w:r w:rsidRPr="001E614D">
        <w:rPr>
          <w:rFonts w:ascii="Times New Roman" w:eastAsia="Times New Roman" w:hAnsi="Times New Roman" w:cs="Times New Roman"/>
          <w:sz w:val="24"/>
          <w:szCs w:val="24"/>
        </w:rPr>
        <w:t xml:space="preserve"> or healthier eating</w:t>
      </w:r>
      <w:r w:rsidR="004827C6" w:rsidRPr="001E614D">
        <w:rPr>
          <w:rFonts w:ascii="Times New Roman" w:eastAsia="Times New Roman" w:hAnsi="Times New Roman" w:cs="Times New Roman"/>
          <w:sz w:val="24"/>
          <w:szCs w:val="24"/>
        </w:rPr>
        <w:fldChar w:fldCharType="begin"/>
      </w:r>
      <w:r w:rsidR="004827C6" w:rsidRPr="001E614D">
        <w:rPr>
          <w:rFonts w:ascii="Times New Roman" w:eastAsia="Times New Roman" w:hAnsi="Times New Roman" w:cs="Times New Roman"/>
          <w:sz w:val="24"/>
          <w:szCs w:val="24"/>
        </w:rPr>
        <w:instrText xml:space="preserve"> ADDIN EN.CITE &lt;EndNote&gt;&lt;Cite&gt;&lt;Author&gt;Roca&lt;/Author&gt;&lt;Year&gt;2015&lt;/Year&gt;&lt;RecNum&gt;707&lt;/RecNum&gt;&lt;DisplayText&gt;(Roca et al., 2015)&lt;/DisplayText&gt;&lt;record&gt;&lt;rec-number&gt;707&lt;/rec-number&gt;&lt;foreign-keys&gt;&lt;key app="EN" db-id="xt2exae0qv2t5meds5xxawr9ed5vrfdxvezw" timestamp="1735475405"&gt;707&lt;/key&gt;&lt;/foreign-keys&gt;&lt;ref-type name="Journal Article"&gt;17&lt;/ref-type&gt;&lt;contributors&gt;&lt;authors&gt;&lt;author&gt;Roca, Ignasi&lt;/author&gt;&lt;author&gt;Akova, Murat&lt;/author&gt;&lt;author&gt;Baquero, Fernando&lt;/author&gt;&lt;author&gt;Carlet, Jean&lt;/author&gt;&lt;author&gt;Cavaleri, Marco&lt;/author&gt;&lt;author&gt;Coenen, Samuel&lt;/author&gt;&lt;author&gt;Cohen, J&lt;/author&gt;&lt;author&gt;Findlay, D&lt;/author&gt;&lt;author&gt;Gyssens, Inge&lt;/author&gt;&lt;author&gt;Heure, OE&lt;/author&gt;&lt;/authors&gt;&lt;/contributors&gt;&lt;titles&gt;&lt;title&gt;The global threat of antimicrobial resistance: science for intervention&lt;/title&gt;&lt;secondary-title&gt;New microbes and new infections&lt;/secondary-title&gt;&lt;/titles&gt;&lt;periodical&gt;&lt;full-title&gt;New microbes and new infections&lt;/full-title&gt;&lt;/periodical&gt;&lt;pages&gt;22-29&lt;/pages&gt;&lt;volume&gt;6&lt;/volume&gt;&lt;dates&gt;&lt;year&gt;2015&lt;/year&gt;&lt;/dates&gt;&lt;isbn&gt;2052-2975&lt;/isbn&gt;&lt;urls&gt;&lt;/urls&gt;&lt;/record&gt;&lt;/Cite&gt;&lt;/EndNote&gt;</w:instrText>
      </w:r>
      <w:r w:rsidR="004827C6" w:rsidRPr="001E614D">
        <w:rPr>
          <w:rFonts w:ascii="Times New Roman" w:eastAsia="Times New Roman" w:hAnsi="Times New Roman" w:cs="Times New Roman"/>
          <w:sz w:val="24"/>
          <w:szCs w:val="24"/>
        </w:rPr>
        <w:fldChar w:fldCharType="separate"/>
      </w:r>
      <w:r w:rsidR="004827C6" w:rsidRPr="001E614D">
        <w:rPr>
          <w:rFonts w:ascii="Times New Roman" w:eastAsia="Times New Roman" w:hAnsi="Times New Roman" w:cs="Times New Roman"/>
          <w:noProof/>
          <w:sz w:val="24"/>
          <w:szCs w:val="24"/>
        </w:rPr>
        <w:t>(Roca et al., 2015)</w:t>
      </w:r>
      <w:r w:rsidR="004827C6" w:rsidRPr="001E614D">
        <w:rPr>
          <w:rFonts w:ascii="Times New Roman" w:eastAsia="Times New Roman" w:hAnsi="Times New Roman" w:cs="Times New Roman"/>
          <w:sz w:val="24"/>
          <w:szCs w:val="24"/>
        </w:rPr>
        <w:fldChar w:fldCharType="end"/>
      </w:r>
      <w:r w:rsidRPr="001E614D">
        <w:rPr>
          <w:rFonts w:ascii="Times New Roman" w:eastAsia="Times New Roman" w:hAnsi="Times New Roman" w:cs="Times New Roman"/>
          <w:sz w:val="24"/>
          <w:szCs w:val="24"/>
        </w:rPr>
        <w:t>.</w:t>
      </w:r>
    </w:p>
    <w:p w14:paraId="3717DEDA" w14:textId="77777777" w:rsidR="003D1548" w:rsidRPr="001E614D" w:rsidRDefault="003D1548" w:rsidP="001E614D">
      <w:pPr>
        <w:spacing w:after="0" w:line="360" w:lineRule="auto"/>
        <w:jc w:val="both"/>
        <w:rPr>
          <w:rFonts w:ascii="Times New Roman" w:eastAsia="Times New Roman" w:hAnsi="Times New Roman" w:cs="Times New Roman"/>
          <w:sz w:val="24"/>
          <w:szCs w:val="24"/>
        </w:rPr>
      </w:pPr>
      <w:r w:rsidRPr="001E614D">
        <w:rPr>
          <w:rFonts w:ascii="Times New Roman" w:eastAsia="Times New Roman" w:hAnsi="Times New Roman" w:cs="Times New Roman"/>
          <w:sz w:val="24"/>
          <w:szCs w:val="24"/>
        </w:rPr>
        <w:lastRenderedPageBreak/>
        <w:t xml:space="preserve">Major depressive disorder is common in dialysis patients with end-stage kidney disease (ESKD). Depression has been identified by dialysis patients as a crucial clinical outcome in nephrology </w:t>
      </w:r>
      <w:r w:rsidR="001E614D" w:rsidRPr="001E614D">
        <w:rPr>
          <w:rFonts w:ascii="Times New Roman" w:eastAsia="Times New Roman" w:hAnsi="Times New Roman" w:cs="Times New Roman"/>
          <w:sz w:val="24"/>
          <w:szCs w:val="24"/>
        </w:rPr>
        <w:t>trials. For</w:t>
      </w:r>
      <w:r w:rsidRPr="001E614D">
        <w:rPr>
          <w:rFonts w:ascii="Times New Roman" w:eastAsia="Times New Roman" w:hAnsi="Times New Roman" w:cs="Times New Roman"/>
          <w:sz w:val="24"/>
          <w:szCs w:val="24"/>
        </w:rPr>
        <w:t xml:space="preserve"> patients on long-term dialysis, we have a moderate level of confidence that cognitive behavioral therapy, physical activity, and relaxation techniques likely reduce depressive symptoms</w:t>
      </w:r>
      <w:r w:rsidR="004827C6" w:rsidRPr="001E614D">
        <w:rPr>
          <w:rFonts w:ascii="Times New Roman" w:eastAsia="Times New Roman" w:hAnsi="Times New Roman" w:cs="Times New Roman"/>
          <w:sz w:val="24"/>
          <w:szCs w:val="24"/>
        </w:rPr>
        <w:fldChar w:fldCharType="begin"/>
      </w:r>
      <w:r w:rsidR="004827C6" w:rsidRPr="001E614D">
        <w:rPr>
          <w:rFonts w:ascii="Times New Roman" w:eastAsia="Times New Roman" w:hAnsi="Times New Roman" w:cs="Times New Roman"/>
          <w:sz w:val="24"/>
          <w:szCs w:val="24"/>
        </w:rPr>
        <w:instrText xml:space="preserve"> ADDIN EN.CITE &lt;EndNote&gt;&lt;Cite&gt;&lt;Author&gt;Sabtu&lt;/Author&gt;&lt;Year&gt;2015&lt;/Year&gt;&lt;RecNum&gt;708&lt;/RecNum&gt;&lt;DisplayText&gt;(Sabtu, Enoch, &amp;amp; Brown, 2015)&lt;/DisplayText&gt;&lt;record&gt;&lt;rec-number&gt;708&lt;/rec-number&gt;&lt;foreign-keys&gt;&lt;key app="EN" db-id="xt2exae0qv2t5meds5xxawr9ed5vrfdxvezw" timestamp="1735475442"&gt;708&lt;/key&gt;&lt;/foreign-keys&gt;&lt;ref-type name="Journal Article"&gt;17&lt;/ref-type&gt;&lt;contributors&gt;&lt;authors&gt;&lt;author&gt;Sabtu, N&lt;/author&gt;&lt;author&gt;Enoch, DA&lt;/author&gt;&lt;author&gt;Brown, NM&lt;/author&gt;&lt;/authors&gt;&lt;/contributors&gt;&lt;titles&gt;&lt;title&gt;Antibiotic resistance: what, why, where, when and how?&lt;/title&gt;&lt;secondary-title&gt;British medical bulletin&lt;/secondary-title&gt;&lt;/titles&gt;&lt;periodical&gt;&lt;full-title&gt;British medical bulletin&lt;/full-title&gt;&lt;/periodical&gt;&lt;volume&gt;116&lt;/volume&gt;&lt;number&gt;1&lt;/number&gt;&lt;dates&gt;&lt;year&gt;2015&lt;/year&gt;&lt;/dates&gt;&lt;isbn&gt;0007-1420&lt;/isbn&gt;&lt;urls&gt;&lt;/urls&gt;&lt;/record&gt;&lt;/Cite&gt;&lt;/EndNote&gt;</w:instrText>
      </w:r>
      <w:r w:rsidR="004827C6" w:rsidRPr="001E614D">
        <w:rPr>
          <w:rFonts w:ascii="Times New Roman" w:eastAsia="Times New Roman" w:hAnsi="Times New Roman" w:cs="Times New Roman"/>
          <w:sz w:val="24"/>
          <w:szCs w:val="24"/>
        </w:rPr>
        <w:fldChar w:fldCharType="separate"/>
      </w:r>
      <w:r w:rsidR="004827C6" w:rsidRPr="001E614D">
        <w:rPr>
          <w:rFonts w:ascii="Times New Roman" w:eastAsia="Times New Roman" w:hAnsi="Times New Roman" w:cs="Times New Roman"/>
          <w:noProof/>
          <w:sz w:val="24"/>
          <w:szCs w:val="24"/>
        </w:rPr>
        <w:t>(Sabtu, Enoch, &amp; Brown, 2015)</w:t>
      </w:r>
      <w:r w:rsidR="004827C6" w:rsidRPr="001E614D">
        <w:rPr>
          <w:rFonts w:ascii="Times New Roman" w:eastAsia="Times New Roman" w:hAnsi="Times New Roman" w:cs="Times New Roman"/>
          <w:sz w:val="24"/>
          <w:szCs w:val="24"/>
        </w:rPr>
        <w:fldChar w:fldCharType="end"/>
      </w:r>
      <w:r w:rsidRPr="001E614D">
        <w:rPr>
          <w:rFonts w:ascii="Times New Roman" w:eastAsia="Times New Roman" w:hAnsi="Times New Roman" w:cs="Times New Roman"/>
          <w:sz w:val="24"/>
          <w:szCs w:val="24"/>
        </w:rPr>
        <w:t>. While we don't know if acupressure, phone support, or meditation has any effect, counseling may help reduce the symptoms of depression. We discovered evidence with a moderate level of assurance that CBT improves dialysis patients' quality of life. Psychosocial treatments' effects on major depression and suicide risk were not measured in studies, and it's unclear if they had any bearing on anxiety, hospitalizations, or dialysis treatment withdrawal. Treatment-related adverse effects are often unpredictable</w:t>
      </w:r>
      <w:r w:rsidR="004827C6" w:rsidRPr="001E614D">
        <w:rPr>
          <w:rFonts w:ascii="Times New Roman" w:eastAsia="Times New Roman" w:hAnsi="Times New Roman" w:cs="Times New Roman"/>
          <w:sz w:val="24"/>
          <w:szCs w:val="24"/>
        </w:rPr>
        <w:fldChar w:fldCharType="begin"/>
      </w:r>
      <w:r w:rsidR="004827C6" w:rsidRPr="001E614D">
        <w:rPr>
          <w:rFonts w:ascii="Times New Roman" w:eastAsia="Times New Roman" w:hAnsi="Times New Roman" w:cs="Times New Roman"/>
          <w:sz w:val="24"/>
          <w:szCs w:val="24"/>
        </w:rPr>
        <w:instrText xml:space="preserve"> ADDIN EN.CITE &lt;EndNote&gt;&lt;Cite&gt;&lt;Author&gt;Manaia&lt;/Author&gt;&lt;Year&gt;2016&lt;/Year&gt;&lt;RecNum&gt;709&lt;/RecNum&gt;&lt;DisplayText&gt;(Manaia, Macedo, Fatta-Kassinos, &amp;amp; Nunes, 2016)&lt;/DisplayText&gt;&lt;record&gt;&lt;rec-number&gt;709&lt;/rec-number&gt;&lt;foreign-keys&gt;&lt;key app="EN" db-id="xt2exae0qv2t5meds5xxawr9ed5vrfdxvezw" timestamp="1735475465"&gt;709&lt;/key&gt;&lt;/foreign-keys&gt;&lt;ref-type name="Journal Article"&gt;17&lt;/ref-type&gt;&lt;contributors&gt;&lt;authors&gt;&lt;author&gt;Manaia, Célia M&lt;/author&gt;&lt;author&gt;Macedo, Gonçalo&lt;/author&gt;&lt;author&gt;Fatta-Kassinos, Despo&lt;/author&gt;&lt;author&gt;Nunes, Olga C&lt;/author&gt;&lt;/authors&gt;&lt;/contributors&gt;&lt;titles&gt;&lt;title&gt;Antibiotic resistance in urban aquatic environments: can it be controlled?&lt;/title&gt;&lt;secondary-title&gt;Applied microbiology and biotechnology&lt;/secondary-title&gt;&lt;/titles&gt;&lt;periodical&gt;&lt;full-title&gt;Applied microbiology and biotechnology&lt;/full-title&gt;&lt;/periodical&gt;&lt;pages&gt;1543-1557&lt;/pages&gt;&lt;volume&gt;100&lt;/volume&gt;&lt;dates&gt;&lt;year&gt;2016&lt;/year&gt;&lt;/dates&gt;&lt;isbn&gt;0175-7598&lt;/isbn&gt;&lt;urls&gt;&lt;/urls&gt;&lt;/record&gt;&lt;/Cite&gt;&lt;/EndNote&gt;</w:instrText>
      </w:r>
      <w:r w:rsidR="004827C6" w:rsidRPr="001E614D">
        <w:rPr>
          <w:rFonts w:ascii="Times New Roman" w:eastAsia="Times New Roman" w:hAnsi="Times New Roman" w:cs="Times New Roman"/>
          <w:sz w:val="24"/>
          <w:szCs w:val="24"/>
        </w:rPr>
        <w:fldChar w:fldCharType="separate"/>
      </w:r>
      <w:r w:rsidR="004827C6" w:rsidRPr="001E614D">
        <w:rPr>
          <w:rFonts w:ascii="Times New Roman" w:eastAsia="Times New Roman" w:hAnsi="Times New Roman" w:cs="Times New Roman"/>
          <w:noProof/>
          <w:sz w:val="24"/>
          <w:szCs w:val="24"/>
        </w:rPr>
        <w:t>(Manaia, Macedo, Fatta-Kassinos, &amp; Nunes, 2016)</w:t>
      </w:r>
      <w:r w:rsidR="004827C6" w:rsidRPr="001E614D">
        <w:rPr>
          <w:rFonts w:ascii="Times New Roman" w:eastAsia="Times New Roman" w:hAnsi="Times New Roman" w:cs="Times New Roman"/>
          <w:sz w:val="24"/>
          <w:szCs w:val="24"/>
        </w:rPr>
        <w:fldChar w:fldCharType="end"/>
      </w:r>
      <w:r w:rsidRPr="001E614D">
        <w:rPr>
          <w:rFonts w:ascii="Times New Roman" w:eastAsia="Times New Roman" w:hAnsi="Times New Roman" w:cs="Times New Roman"/>
          <w:sz w:val="24"/>
          <w:szCs w:val="24"/>
        </w:rPr>
        <w:t>.</w:t>
      </w:r>
    </w:p>
    <w:p w14:paraId="29CD274A" w14:textId="77777777" w:rsidR="003D1548" w:rsidRPr="001E614D" w:rsidRDefault="003D1548" w:rsidP="001E614D">
      <w:pPr>
        <w:spacing w:after="0" w:line="360" w:lineRule="auto"/>
        <w:jc w:val="both"/>
        <w:rPr>
          <w:rFonts w:ascii="Times New Roman" w:eastAsia="Times New Roman" w:hAnsi="Times New Roman" w:cs="Times New Roman"/>
          <w:b/>
          <w:sz w:val="24"/>
          <w:szCs w:val="24"/>
        </w:rPr>
      </w:pPr>
      <w:r w:rsidRPr="001E614D">
        <w:rPr>
          <w:rFonts w:ascii="Times New Roman" w:eastAsia="Times New Roman" w:hAnsi="Times New Roman" w:cs="Times New Roman"/>
          <w:b/>
          <w:sz w:val="24"/>
          <w:szCs w:val="24"/>
        </w:rPr>
        <w:t>Conclusion</w:t>
      </w:r>
    </w:p>
    <w:p w14:paraId="3E691068" w14:textId="77777777" w:rsidR="0014530E" w:rsidRPr="001E614D" w:rsidRDefault="0014530E" w:rsidP="001E614D">
      <w:pPr>
        <w:spacing w:after="0" w:line="360" w:lineRule="auto"/>
        <w:jc w:val="both"/>
        <w:rPr>
          <w:rFonts w:ascii="Times New Roman" w:eastAsia="Times New Roman" w:hAnsi="Times New Roman" w:cs="Times New Roman"/>
          <w:sz w:val="24"/>
          <w:szCs w:val="24"/>
        </w:rPr>
      </w:pPr>
      <w:r w:rsidRPr="001E614D">
        <w:rPr>
          <w:rFonts w:ascii="Times New Roman" w:eastAsia="Times New Roman" w:hAnsi="Times New Roman" w:cs="Times New Roman"/>
          <w:sz w:val="24"/>
          <w:szCs w:val="24"/>
        </w:rPr>
        <w:t>Antibiotic resistance in CKD patients as those undergoing dialysis is a significant global health concern due to frequent antibiotics use along</w:t>
      </w:r>
      <w:r w:rsidR="004827C6" w:rsidRPr="001E614D">
        <w:rPr>
          <w:rFonts w:ascii="Times New Roman" w:eastAsia="Times New Roman" w:hAnsi="Times New Roman" w:cs="Times New Roman"/>
          <w:sz w:val="24"/>
          <w:szCs w:val="24"/>
        </w:rPr>
        <w:t xml:space="preserve"> </w:t>
      </w:r>
      <w:r w:rsidRPr="001E614D">
        <w:rPr>
          <w:rFonts w:ascii="Times New Roman" w:eastAsia="Times New Roman" w:hAnsi="Times New Roman" w:cs="Times New Roman"/>
          <w:sz w:val="24"/>
          <w:szCs w:val="24"/>
        </w:rPr>
        <w:t>with altered pharmacokinetic state and compromised immune health.</w:t>
      </w:r>
      <w:r w:rsidR="00A736D2" w:rsidRPr="001E614D">
        <w:rPr>
          <w:rFonts w:ascii="Times New Roman" w:eastAsia="Times New Roman" w:hAnsi="Times New Roman" w:cs="Times New Roman"/>
          <w:sz w:val="24"/>
          <w:szCs w:val="24"/>
        </w:rPr>
        <w:t xml:space="preserve"> The patients on dialysis are on higher risks of multi drug resistant infections and which are leading cause of increased</w:t>
      </w:r>
      <w:bookmarkStart w:id="0" w:name="_GoBack"/>
      <w:bookmarkEnd w:id="0"/>
      <w:r w:rsidR="00A736D2" w:rsidRPr="001E614D">
        <w:rPr>
          <w:rFonts w:ascii="Times New Roman" w:eastAsia="Times New Roman" w:hAnsi="Times New Roman" w:cs="Times New Roman"/>
          <w:sz w:val="24"/>
          <w:szCs w:val="24"/>
        </w:rPr>
        <w:t xml:space="preserve"> </w:t>
      </w:r>
      <w:r w:rsidR="004827C6" w:rsidRPr="001E614D">
        <w:rPr>
          <w:rFonts w:ascii="Times New Roman" w:eastAsia="Times New Roman" w:hAnsi="Times New Roman" w:cs="Times New Roman"/>
          <w:sz w:val="24"/>
          <w:szCs w:val="24"/>
        </w:rPr>
        <w:t>morbidity, mortality</w:t>
      </w:r>
      <w:r w:rsidR="00A736D2" w:rsidRPr="001E614D">
        <w:rPr>
          <w:rFonts w:ascii="Times New Roman" w:eastAsia="Times New Roman" w:hAnsi="Times New Roman" w:cs="Times New Roman"/>
          <w:sz w:val="24"/>
          <w:szCs w:val="24"/>
        </w:rPr>
        <w:t xml:space="preserve"> and healthcare cost. Addressing this issue requires a multifaceted approach as optimized antibiotic stewardship in CKD patients, fostering development of rapid diagnostic tools and enhancing the infection control measures in these dialysis units. Additionally ongoing research into alternative therapeutic strategies as the bacteriophage therapy and immunomodulatory treatments as these hold promise for the mitigation of antibiotic resistance. Collaborative efforts including clinicians, researchers and improve overall outcomes for CKD patients undergoing dialysis.</w:t>
      </w:r>
    </w:p>
    <w:p w14:paraId="1F5E8B58" w14:textId="77777777" w:rsidR="00A736D2" w:rsidRPr="001E614D" w:rsidRDefault="00A736D2" w:rsidP="001E614D">
      <w:pPr>
        <w:spacing w:line="360" w:lineRule="auto"/>
        <w:jc w:val="both"/>
        <w:rPr>
          <w:rFonts w:ascii="Times New Roman" w:hAnsi="Times New Roman" w:cs="Times New Roman"/>
          <w:sz w:val="24"/>
          <w:szCs w:val="24"/>
        </w:rPr>
      </w:pPr>
    </w:p>
    <w:p w14:paraId="1F0270DC" w14:textId="77777777" w:rsidR="00F67B0D" w:rsidRPr="001E614D" w:rsidRDefault="003D1548" w:rsidP="001E614D">
      <w:pPr>
        <w:spacing w:line="360" w:lineRule="auto"/>
        <w:jc w:val="both"/>
        <w:rPr>
          <w:rFonts w:ascii="Times New Roman" w:hAnsi="Times New Roman" w:cs="Times New Roman"/>
          <w:b/>
          <w:sz w:val="24"/>
          <w:szCs w:val="24"/>
        </w:rPr>
      </w:pPr>
      <w:r w:rsidRPr="001E614D">
        <w:rPr>
          <w:rFonts w:ascii="Times New Roman" w:hAnsi="Times New Roman" w:cs="Times New Roman"/>
          <w:b/>
          <w:sz w:val="24"/>
          <w:szCs w:val="24"/>
        </w:rPr>
        <w:t>Reference</w:t>
      </w:r>
    </w:p>
    <w:p w14:paraId="3BB061D8" w14:textId="77777777" w:rsidR="004827C6" w:rsidRPr="001E614D" w:rsidRDefault="00011F94"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sz w:val="24"/>
          <w:szCs w:val="24"/>
        </w:rPr>
        <w:fldChar w:fldCharType="begin"/>
      </w:r>
      <w:r w:rsidRPr="001E614D">
        <w:rPr>
          <w:rFonts w:ascii="Times New Roman" w:hAnsi="Times New Roman" w:cs="Times New Roman"/>
          <w:sz w:val="24"/>
          <w:szCs w:val="24"/>
        </w:rPr>
        <w:instrText xml:space="preserve"> ADDIN EN.REFLIST </w:instrText>
      </w:r>
      <w:r w:rsidRPr="001E614D">
        <w:rPr>
          <w:rFonts w:ascii="Times New Roman" w:hAnsi="Times New Roman" w:cs="Times New Roman"/>
          <w:sz w:val="24"/>
          <w:szCs w:val="24"/>
        </w:rPr>
        <w:fldChar w:fldCharType="separate"/>
      </w:r>
      <w:r w:rsidR="004827C6" w:rsidRPr="001E614D">
        <w:rPr>
          <w:rFonts w:ascii="Times New Roman" w:hAnsi="Times New Roman" w:cs="Times New Roman"/>
          <w:noProof/>
          <w:sz w:val="24"/>
          <w:szCs w:val="24"/>
        </w:rPr>
        <w:t xml:space="preserve">Abbasi, S. H., Aftab, R. A., &amp; Chua, S. S. (2020). Risk factors associated with nosocomial infections among end stage renal disease patients undergoing hemodialysis: a systematic review. </w:t>
      </w:r>
      <w:r w:rsidR="004827C6" w:rsidRPr="001E614D">
        <w:rPr>
          <w:rFonts w:ascii="Times New Roman" w:hAnsi="Times New Roman" w:cs="Times New Roman"/>
          <w:i/>
          <w:noProof/>
          <w:sz w:val="24"/>
          <w:szCs w:val="24"/>
        </w:rPr>
        <w:t>PLoS One, 15</w:t>
      </w:r>
      <w:r w:rsidR="004827C6" w:rsidRPr="001E614D">
        <w:rPr>
          <w:rFonts w:ascii="Times New Roman" w:hAnsi="Times New Roman" w:cs="Times New Roman"/>
          <w:noProof/>
          <w:sz w:val="24"/>
          <w:szCs w:val="24"/>
        </w:rPr>
        <w:t xml:space="preserve">(6), e0234376. </w:t>
      </w:r>
    </w:p>
    <w:p w14:paraId="78A65E9A"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Aloy, B., Launay-Vacher, V., Bleibtreu, A., Bortolotti, P., Faure, E., Filali, A., . . . Mahieu, R. (2020). Antibiotics and chronic kidney disease: Dose adjustment update for infectious disease clinical practice. </w:t>
      </w:r>
      <w:r w:rsidRPr="001E614D">
        <w:rPr>
          <w:rFonts w:ascii="Times New Roman" w:hAnsi="Times New Roman" w:cs="Times New Roman"/>
          <w:i/>
          <w:noProof/>
          <w:sz w:val="24"/>
          <w:szCs w:val="24"/>
        </w:rPr>
        <w:t>Medecine et maladies infectieuses, 50</w:t>
      </w:r>
      <w:r w:rsidRPr="001E614D">
        <w:rPr>
          <w:rFonts w:ascii="Times New Roman" w:hAnsi="Times New Roman" w:cs="Times New Roman"/>
          <w:noProof/>
          <w:sz w:val="24"/>
          <w:szCs w:val="24"/>
        </w:rPr>
        <w:t xml:space="preserve">(4), 323-331. </w:t>
      </w:r>
    </w:p>
    <w:p w14:paraId="2188308F"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lastRenderedPageBreak/>
        <w:t xml:space="preserve">Alscher, M. D., Erley, C., &amp; Kuhlmann, M. K. (2019). Acute renal failure of nosocomial origin. </w:t>
      </w:r>
      <w:r w:rsidRPr="001E614D">
        <w:rPr>
          <w:rFonts w:ascii="Times New Roman" w:hAnsi="Times New Roman" w:cs="Times New Roman"/>
          <w:i/>
          <w:noProof/>
          <w:sz w:val="24"/>
          <w:szCs w:val="24"/>
        </w:rPr>
        <w:t>Deutsches Ärzteblatt International, 116</w:t>
      </w:r>
      <w:r w:rsidRPr="001E614D">
        <w:rPr>
          <w:rFonts w:ascii="Times New Roman" w:hAnsi="Times New Roman" w:cs="Times New Roman"/>
          <w:noProof/>
          <w:sz w:val="24"/>
          <w:szCs w:val="24"/>
        </w:rPr>
        <w:t xml:space="preserve">(9), 149. </w:t>
      </w:r>
    </w:p>
    <w:p w14:paraId="00BBA61C"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Arici, M. (2014). </w:t>
      </w:r>
      <w:r w:rsidRPr="001E614D">
        <w:rPr>
          <w:rFonts w:ascii="Times New Roman" w:hAnsi="Times New Roman" w:cs="Times New Roman"/>
          <w:i/>
          <w:noProof/>
          <w:sz w:val="24"/>
          <w:szCs w:val="24"/>
        </w:rPr>
        <w:t>Management of chronic kidney disease</w:t>
      </w:r>
      <w:r w:rsidRPr="001E614D">
        <w:rPr>
          <w:rFonts w:ascii="Times New Roman" w:hAnsi="Times New Roman" w:cs="Times New Roman"/>
          <w:noProof/>
          <w:sz w:val="24"/>
          <w:szCs w:val="24"/>
        </w:rPr>
        <w:t>: Springer.</w:t>
      </w:r>
    </w:p>
    <w:p w14:paraId="39E03094"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Arnold, F. W. (2017). How antibiotics should be prescribed to hospitalized elderly patients with community-acquired pneumonia. </w:t>
      </w:r>
      <w:r w:rsidRPr="001E614D">
        <w:rPr>
          <w:rFonts w:ascii="Times New Roman" w:hAnsi="Times New Roman" w:cs="Times New Roman"/>
          <w:i/>
          <w:noProof/>
          <w:sz w:val="24"/>
          <w:szCs w:val="24"/>
        </w:rPr>
        <w:t>Drugs &amp; aging, 34</w:t>
      </w:r>
      <w:r w:rsidRPr="001E614D">
        <w:rPr>
          <w:rFonts w:ascii="Times New Roman" w:hAnsi="Times New Roman" w:cs="Times New Roman"/>
          <w:noProof/>
          <w:sz w:val="24"/>
          <w:szCs w:val="24"/>
        </w:rPr>
        <w:t xml:space="preserve">, 13-20. </w:t>
      </w:r>
    </w:p>
    <w:p w14:paraId="68B45E47"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Aslam, B., Wang, W., Arshad, M. I., Khurshid, M., Muzammil, S., Rasool, M. H., . . . Qamar, M. U. (2018). Antibiotic resistance: a rundown of a global crisis. </w:t>
      </w:r>
      <w:r w:rsidRPr="001E614D">
        <w:rPr>
          <w:rFonts w:ascii="Times New Roman" w:hAnsi="Times New Roman" w:cs="Times New Roman"/>
          <w:i/>
          <w:noProof/>
          <w:sz w:val="24"/>
          <w:szCs w:val="24"/>
        </w:rPr>
        <w:t>Infection and Drug Resistance</w:t>
      </w:r>
      <w:r w:rsidRPr="001E614D">
        <w:rPr>
          <w:rFonts w:ascii="Times New Roman" w:hAnsi="Times New Roman" w:cs="Times New Roman"/>
          <w:noProof/>
          <w:sz w:val="24"/>
          <w:szCs w:val="24"/>
        </w:rPr>
        <w:t xml:space="preserve">, 1645-1658. </w:t>
      </w:r>
    </w:p>
    <w:p w14:paraId="6A91BE28"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Bajaj, J. S., O'leary, J. G., Tandon, P., Wong, F., Garcia-Tsao, G., Kamath, P. S., . . . Maliakkal, B. (2019). Nosocomial infections are frequent and negatively impact outcomes in hospitalized patients with cirrhosis. </w:t>
      </w:r>
      <w:r w:rsidRPr="001E614D">
        <w:rPr>
          <w:rFonts w:ascii="Times New Roman" w:hAnsi="Times New Roman" w:cs="Times New Roman"/>
          <w:i/>
          <w:noProof/>
          <w:sz w:val="24"/>
          <w:szCs w:val="24"/>
        </w:rPr>
        <w:t>Official journal of the American College of Gastroenterology| ACG, 114</w:t>
      </w:r>
      <w:r w:rsidRPr="001E614D">
        <w:rPr>
          <w:rFonts w:ascii="Times New Roman" w:hAnsi="Times New Roman" w:cs="Times New Roman"/>
          <w:noProof/>
          <w:sz w:val="24"/>
          <w:szCs w:val="24"/>
        </w:rPr>
        <w:t xml:space="preserve">(7), 1091-1100. </w:t>
      </w:r>
    </w:p>
    <w:p w14:paraId="7438E1BD"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Bardi, T., Pintado, V., Gomez-Rojo, M., Escudero-Sanchez, R., Azzam Lopez, A., Diez-Remesal, Y., . . . Pestaña, D. (2021). Nosocomial infections associated to COVID-19 in the intensive care unit: clinical characteristics and outcome. </w:t>
      </w:r>
      <w:r w:rsidRPr="001E614D">
        <w:rPr>
          <w:rFonts w:ascii="Times New Roman" w:hAnsi="Times New Roman" w:cs="Times New Roman"/>
          <w:i/>
          <w:noProof/>
          <w:sz w:val="24"/>
          <w:szCs w:val="24"/>
        </w:rPr>
        <w:t>European Journal of Clinical Microbiology &amp; Infectious Diseases, 40</w:t>
      </w:r>
      <w:r w:rsidRPr="001E614D">
        <w:rPr>
          <w:rFonts w:ascii="Times New Roman" w:hAnsi="Times New Roman" w:cs="Times New Roman"/>
          <w:noProof/>
          <w:sz w:val="24"/>
          <w:szCs w:val="24"/>
        </w:rPr>
        <w:t xml:space="preserve">, 495-502. </w:t>
      </w:r>
    </w:p>
    <w:p w14:paraId="45390E5D"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Bassetti, S., Tschudin-Sutter, S., Egli, A., &amp; Osthoff, M. (2022). Optimizing antibiotic therapies to reduce the risk of bacterial resistance. </w:t>
      </w:r>
      <w:r w:rsidRPr="001E614D">
        <w:rPr>
          <w:rFonts w:ascii="Times New Roman" w:hAnsi="Times New Roman" w:cs="Times New Roman"/>
          <w:i/>
          <w:noProof/>
          <w:sz w:val="24"/>
          <w:szCs w:val="24"/>
        </w:rPr>
        <w:t>European journal of internal medicine, 99</w:t>
      </w:r>
      <w:r w:rsidRPr="001E614D">
        <w:rPr>
          <w:rFonts w:ascii="Times New Roman" w:hAnsi="Times New Roman" w:cs="Times New Roman"/>
          <w:noProof/>
          <w:sz w:val="24"/>
          <w:szCs w:val="24"/>
        </w:rPr>
        <w:t xml:space="preserve">, 7-12. </w:t>
      </w:r>
    </w:p>
    <w:p w14:paraId="38E8E59F"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Behnke, M., Aghdassi, S. J., Hansen, S., Pen, A., Gastmeier, P., &amp; Piening, B. (2017). The prevalence of nosocomial infection and antibiotic use in German hospitals. </w:t>
      </w:r>
      <w:r w:rsidRPr="001E614D">
        <w:rPr>
          <w:rFonts w:ascii="Times New Roman" w:hAnsi="Times New Roman" w:cs="Times New Roman"/>
          <w:i/>
          <w:noProof/>
          <w:sz w:val="24"/>
          <w:szCs w:val="24"/>
        </w:rPr>
        <w:t>Deutsches Ärzteblatt International, 114</w:t>
      </w:r>
      <w:r w:rsidRPr="001E614D">
        <w:rPr>
          <w:rFonts w:ascii="Times New Roman" w:hAnsi="Times New Roman" w:cs="Times New Roman"/>
          <w:noProof/>
          <w:sz w:val="24"/>
          <w:szCs w:val="24"/>
        </w:rPr>
        <w:t xml:space="preserve">(50), 851. </w:t>
      </w:r>
    </w:p>
    <w:p w14:paraId="59BDC473"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Bello, A. K., Okpechi, I. G., Osman, M. A., Cho, Y., Cullis, B., Htay, H., . . . Shah, N. (2022). Epidemiology of peritoneal dialysis outcomes. </w:t>
      </w:r>
      <w:r w:rsidRPr="001E614D">
        <w:rPr>
          <w:rFonts w:ascii="Times New Roman" w:hAnsi="Times New Roman" w:cs="Times New Roman"/>
          <w:i/>
          <w:noProof/>
          <w:sz w:val="24"/>
          <w:szCs w:val="24"/>
        </w:rPr>
        <w:t>Nature Reviews Nephrology, 18</w:t>
      </w:r>
      <w:r w:rsidRPr="001E614D">
        <w:rPr>
          <w:rFonts w:ascii="Times New Roman" w:hAnsi="Times New Roman" w:cs="Times New Roman"/>
          <w:noProof/>
          <w:sz w:val="24"/>
          <w:szCs w:val="24"/>
        </w:rPr>
        <w:t xml:space="preserve">(12), 779-793. </w:t>
      </w:r>
    </w:p>
    <w:p w14:paraId="602658C0"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Busl, K. M. (2017). Nosocomial infections in the neurointensive care unit. </w:t>
      </w:r>
      <w:r w:rsidRPr="001E614D">
        <w:rPr>
          <w:rFonts w:ascii="Times New Roman" w:hAnsi="Times New Roman" w:cs="Times New Roman"/>
          <w:i/>
          <w:noProof/>
          <w:sz w:val="24"/>
          <w:szCs w:val="24"/>
        </w:rPr>
        <w:t>Neurologic clinics, 35</w:t>
      </w:r>
      <w:r w:rsidRPr="001E614D">
        <w:rPr>
          <w:rFonts w:ascii="Times New Roman" w:hAnsi="Times New Roman" w:cs="Times New Roman"/>
          <w:noProof/>
          <w:sz w:val="24"/>
          <w:szCs w:val="24"/>
        </w:rPr>
        <w:t xml:space="preserve">(4), 785-807. </w:t>
      </w:r>
    </w:p>
    <w:p w14:paraId="3A27A9F2"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Cattaneo, D., Falcone, M., Gervasoni, C., &amp; Marriott, D. J. (2022). Therapeutic Drug Monitoring of Antibiotics in the Elderly: A narrative review. </w:t>
      </w:r>
      <w:r w:rsidRPr="001E614D">
        <w:rPr>
          <w:rFonts w:ascii="Times New Roman" w:hAnsi="Times New Roman" w:cs="Times New Roman"/>
          <w:i/>
          <w:noProof/>
          <w:sz w:val="24"/>
          <w:szCs w:val="24"/>
        </w:rPr>
        <w:t>Therapeutic Drug Monitoring, 44</w:t>
      </w:r>
      <w:r w:rsidRPr="001E614D">
        <w:rPr>
          <w:rFonts w:ascii="Times New Roman" w:hAnsi="Times New Roman" w:cs="Times New Roman"/>
          <w:noProof/>
          <w:sz w:val="24"/>
          <w:szCs w:val="24"/>
        </w:rPr>
        <w:t xml:space="preserve">(1), 75-85. </w:t>
      </w:r>
    </w:p>
    <w:p w14:paraId="1EAF8DD8"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lastRenderedPageBreak/>
        <w:t xml:space="preserve">Chen, N., Hao, C., Liu, B.-C., Lin, H., Wang, C., Xing, C., . . . Li, X. (2019). Roxadustat treatment for anemia in patients undergoing long-term dialysis. </w:t>
      </w:r>
      <w:r w:rsidRPr="001E614D">
        <w:rPr>
          <w:rFonts w:ascii="Times New Roman" w:hAnsi="Times New Roman" w:cs="Times New Roman"/>
          <w:i/>
          <w:noProof/>
          <w:sz w:val="24"/>
          <w:szCs w:val="24"/>
        </w:rPr>
        <w:t>New England Journal of Medicine, 381</w:t>
      </w:r>
      <w:r w:rsidRPr="001E614D">
        <w:rPr>
          <w:rFonts w:ascii="Times New Roman" w:hAnsi="Times New Roman" w:cs="Times New Roman"/>
          <w:noProof/>
          <w:sz w:val="24"/>
          <w:szCs w:val="24"/>
        </w:rPr>
        <w:t xml:space="preserve">(11), 1011-1022. </w:t>
      </w:r>
    </w:p>
    <w:p w14:paraId="4FE164A5"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Chen, T. K., Knicely, D. H., &amp; Grams, M. E. (2019). Chronic kidney disease diagnosis and management: a review. </w:t>
      </w:r>
      <w:r w:rsidRPr="001E614D">
        <w:rPr>
          <w:rFonts w:ascii="Times New Roman" w:hAnsi="Times New Roman" w:cs="Times New Roman"/>
          <w:i/>
          <w:noProof/>
          <w:sz w:val="24"/>
          <w:szCs w:val="24"/>
        </w:rPr>
        <w:t>Jama, 322</w:t>
      </w:r>
      <w:r w:rsidRPr="001E614D">
        <w:rPr>
          <w:rFonts w:ascii="Times New Roman" w:hAnsi="Times New Roman" w:cs="Times New Roman"/>
          <w:noProof/>
          <w:sz w:val="24"/>
          <w:szCs w:val="24"/>
        </w:rPr>
        <w:t xml:space="preserve">(13), 1294-1304. </w:t>
      </w:r>
    </w:p>
    <w:p w14:paraId="14DEEB3B"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Chinemerem Nwobodo, D., Ugwu, M. C., Oliseloke Anie, C., Al‐Ouqaili, M. T., Chinedu Ikem, J., Victor Chigozie, U., &amp; Saki, M. (2022). Antibiotic resistance: The challenges and some emerging strategies for tackling a global menace. </w:t>
      </w:r>
      <w:r w:rsidRPr="001E614D">
        <w:rPr>
          <w:rFonts w:ascii="Times New Roman" w:hAnsi="Times New Roman" w:cs="Times New Roman"/>
          <w:i/>
          <w:noProof/>
          <w:sz w:val="24"/>
          <w:szCs w:val="24"/>
        </w:rPr>
        <w:t>Journal of clinical laboratory analysis, 36</w:t>
      </w:r>
      <w:r w:rsidRPr="001E614D">
        <w:rPr>
          <w:rFonts w:ascii="Times New Roman" w:hAnsi="Times New Roman" w:cs="Times New Roman"/>
          <w:noProof/>
          <w:sz w:val="24"/>
          <w:szCs w:val="24"/>
        </w:rPr>
        <w:t xml:space="preserve">(9), e24655. </w:t>
      </w:r>
    </w:p>
    <w:p w14:paraId="46F2EF61"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Cozzolino, M., Mangano, M., Stucchi, A., Ciceri, P., Conte, F., &amp; Galassi, A. (2018). Cardiovascular disease in dialysis patients. </w:t>
      </w:r>
      <w:r w:rsidRPr="001E614D">
        <w:rPr>
          <w:rFonts w:ascii="Times New Roman" w:hAnsi="Times New Roman" w:cs="Times New Roman"/>
          <w:i/>
          <w:noProof/>
          <w:sz w:val="24"/>
          <w:szCs w:val="24"/>
        </w:rPr>
        <w:t>Nephrology Dialysis Transplantation, 33</w:t>
      </w:r>
      <w:r w:rsidRPr="001E614D">
        <w:rPr>
          <w:rFonts w:ascii="Times New Roman" w:hAnsi="Times New Roman" w:cs="Times New Roman"/>
          <w:noProof/>
          <w:sz w:val="24"/>
          <w:szCs w:val="24"/>
        </w:rPr>
        <w:t xml:space="preserve">(suppl_3), iii28-iii34. </w:t>
      </w:r>
    </w:p>
    <w:p w14:paraId="70D637DF"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D’Alessandro, C., Piccoli, G. B., Calella, P., Brunori, G., Pasticci, F., Egidi, M. F., . . . Cupisti, A. (2016). “Dietaly”: practical issues for the nutritional management of CKD patients in Italy. </w:t>
      </w:r>
      <w:r w:rsidRPr="001E614D">
        <w:rPr>
          <w:rFonts w:ascii="Times New Roman" w:hAnsi="Times New Roman" w:cs="Times New Roman"/>
          <w:i/>
          <w:noProof/>
          <w:sz w:val="24"/>
          <w:szCs w:val="24"/>
        </w:rPr>
        <w:t>BMC nephrology, 17</w:t>
      </w:r>
      <w:r w:rsidRPr="001E614D">
        <w:rPr>
          <w:rFonts w:ascii="Times New Roman" w:hAnsi="Times New Roman" w:cs="Times New Roman"/>
          <w:noProof/>
          <w:sz w:val="24"/>
          <w:szCs w:val="24"/>
        </w:rPr>
        <w:t xml:space="preserve">, 1-18. </w:t>
      </w:r>
    </w:p>
    <w:p w14:paraId="652A6BD5"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Darby, E. M., Trampari, E., Siasat, P., Gaya, M. S., Alav, I., Webber, M. A., &amp; Blair, J. M. (2023). Molecular mechanisms of antibiotic resistance revisited. </w:t>
      </w:r>
      <w:r w:rsidRPr="001E614D">
        <w:rPr>
          <w:rFonts w:ascii="Times New Roman" w:hAnsi="Times New Roman" w:cs="Times New Roman"/>
          <w:i/>
          <w:noProof/>
          <w:sz w:val="24"/>
          <w:szCs w:val="24"/>
        </w:rPr>
        <w:t>Nature Reviews Microbiology, 21</w:t>
      </w:r>
      <w:r w:rsidRPr="001E614D">
        <w:rPr>
          <w:rFonts w:ascii="Times New Roman" w:hAnsi="Times New Roman" w:cs="Times New Roman"/>
          <w:noProof/>
          <w:sz w:val="24"/>
          <w:szCs w:val="24"/>
        </w:rPr>
        <w:t xml:space="preserve">(5), 280-295. </w:t>
      </w:r>
    </w:p>
    <w:p w14:paraId="2777B41B"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Dasgupta, S., Das, S., Chawan, N. S., &amp; Hazra, A. (2015). Nosocomial infections in the intensive care unit: Incidence, risk factors, outcome and associated pathogens in a public tertiary teaching hospital of Eastern India. </w:t>
      </w:r>
      <w:r w:rsidRPr="001E614D">
        <w:rPr>
          <w:rFonts w:ascii="Times New Roman" w:hAnsi="Times New Roman" w:cs="Times New Roman"/>
          <w:i/>
          <w:noProof/>
          <w:sz w:val="24"/>
          <w:szCs w:val="24"/>
        </w:rPr>
        <w:t>Indian journal of critical care medicine: peer-reviewed, official publication of Indian Society of Critical Care Medicine, 19</w:t>
      </w:r>
      <w:r w:rsidRPr="001E614D">
        <w:rPr>
          <w:rFonts w:ascii="Times New Roman" w:hAnsi="Times New Roman" w:cs="Times New Roman"/>
          <w:noProof/>
          <w:sz w:val="24"/>
          <w:szCs w:val="24"/>
        </w:rPr>
        <w:t xml:space="preserve">(1), 14. </w:t>
      </w:r>
    </w:p>
    <w:p w14:paraId="36452E99"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Davison, S. N., Tupala, B., Wasylynuk, B. A., Siu, V., Sinnarajah, A., &amp; Triscott, J. (2019). Recommendations for the care of patients receiving conservative kidney management: focus on management of CKD and symptoms. </w:t>
      </w:r>
      <w:r w:rsidRPr="001E614D">
        <w:rPr>
          <w:rFonts w:ascii="Times New Roman" w:hAnsi="Times New Roman" w:cs="Times New Roman"/>
          <w:i/>
          <w:noProof/>
          <w:sz w:val="24"/>
          <w:szCs w:val="24"/>
        </w:rPr>
        <w:t>Clinical Journal of the American Society of Nephrology, 14</w:t>
      </w:r>
      <w:r w:rsidRPr="001E614D">
        <w:rPr>
          <w:rFonts w:ascii="Times New Roman" w:hAnsi="Times New Roman" w:cs="Times New Roman"/>
          <w:noProof/>
          <w:sz w:val="24"/>
          <w:szCs w:val="24"/>
        </w:rPr>
        <w:t xml:space="preserve">(4), 626-634. </w:t>
      </w:r>
    </w:p>
    <w:p w14:paraId="171985AA"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de Boer, I. H., Caramori, M. L., Chan, J. C., Heerspink, H. J., Hurst, C., Khunti, K., . . . Olowu, W. A. (2020). KDIGO 2020 clinical practice guideline for diabetes management in chronic kidney disease. </w:t>
      </w:r>
      <w:r w:rsidRPr="001E614D">
        <w:rPr>
          <w:rFonts w:ascii="Times New Roman" w:hAnsi="Times New Roman" w:cs="Times New Roman"/>
          <w:i/>
          <w:noProof/>
          <w:sz w:val="24"/>
          <w:szCs w:val="24"/>
        </w:rPr>
        <w:t>Kidney international, 98</w:t>
      </w:r>
      <w:r w:rsidRPr="001E614D">
        <w:rPr>
          <w:rFonts w:ascii="Times New Roman" w:hAnsi="Times New Roman" w:cs="Times New Roman"/>
          <w:noProof/>
          <w:sz w:val="24"/>
          <w:szCs w:val="24"/>
        </w:rPr>
        <w:t xml:space="preserve">(4), S1-S115. </w:t>
      </w:r>
    </w:p>
    <w:p w14:paraId="49299BAE"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lastRenderedPageBreak/>
        <w:t xml:space="preserve">Du, Q., Zhang, D., Hu, W., Li, X., Xia, Q., Wen, T., &amp; Jia, H. (2021). Nosocomial infection of COVID-19: A new challenge for healthcare professionals. </w:t>
      </w:r>
      <w:r w:rsidRPr="001E614D">
        <w:rPr>
          <w:rFonts w:ascii="Times New Roman" w:hAnsi="Times New Roman" w:cs="Times New Roman"/>
          <w:i/>
          <w:noProof/>
          <w:sz w:val="24"/>
          <w:szCs w:val="24"/>
        </w:rPr>
        <w:t>International journal of molecular medicine, 47</w:t>
      </w:r>
      <w:r w:rsidRPr="001E614D">
        <w:rPr>
          <w:rFonts w:ascii="Times New Roman" w:hAnsi="Times New Roman" w:cs="Times New Roman"/>
          <w:noProof/>
          <w:sz w:val="24"/>
          <w:szCs w:val="24"/>
        </w:rPr>
        <w:t xml:space="preserve">(4), 31. </w:t>
      </w:r>
    </w:p>
    <w:p w14:paraId="5C4642A4"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Edwardson, S., &amp; Cairns, C. (2019). Nosocomial infections in the ICU. </w:t>
      </w:r>
      <w:r w:rsidRPr="001E614D">
        <w:rPr>
          <w:rFonts w:ascii="Times New Roman" w:hAnsi="Times New Roman" w:cs="Times New Roman"/>
          <w:i/>
          <w:noProof/>
          <w:sz w:val="24"/>
          <w:szCs w:val="24"/>
        </w:rPr>
        <w:t>Anaesthesia &amp; Intensive Care Medicine, 20</w:t>
      </w:r>
      <w:r w:rsidRPr="001E614D">
        <w:rPr>
          <w:rFonts w:ascii="Times New Roman" w:hAnsi="Times New Roman" w:cs="Times New Roman"/>
          <w:noProof/>
          <w:sz w:val="24"/>
          <w:szCs w:val="24"/>
        </w:rPr>
        <w:t xml:space="preserve">(1), 14-18. </w:t>
      </w:r>
    </w:p>
    <w:p w14:paraId="0E778504"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Elkeraie, A. F., Al-Ghamdi, S., Abu-Alfa, A. K., Alotaibi, T., AlSaedi, A. J., AlSuwaida, A., . . . Hafez, M. H. (2024). Impact of Sodium-Glucose Cotransporter-2 inhibitors in the management of chronic kidney disease: A Middle East and Africa perspective. </w:t>
      </w:r>
      <w:r w:rsidRPr="001E614D">
        <w:rPr>
          <w:rFonts w:ascii="Times New Roman" w:hAnsi="Times New Roman" w:cs="Times New Roman"/>
          <w:i/>
          <w:noProof/>
          <w:sz w:val="24"/>
          <w:szCs w:val="24"/>
        </w:rPr>
        <w:t>International Journal of Nephrology and Renovascular Disease</w:t>
      </w:r>
      <w:r w:rsidRPr="001E614D">
        <w:rPr>
          <w:rFonts w:ascii="Times New Roman" w:hAnsi="Times New Roman" w:cs="Times New Roman"/>
          <w:noProof/>
          <w:sz w:val="24"/>
          <w:szCs w:val="24"/>
        </w:rPr>
        <w:t xml:space="preserve">, 1-16. </w:t>
      </w:r>
    </w:p>
    <w:p w14:paraId="1A36B276"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Esme, M., Topeli, A., Yavuz, B. B., &amp; Akova, M. (2019). Infections in the elderly critically-ill patients. </w:t>
      </w:r>
      <w:r w:rsidRPr="001E614D">
        <w:rPr>
          <w:rFonts w:ascii="Times New Roman" w:hAnsi="Times New Roman" w:cs="Times New Roman"/>
          <w:i/>
          <w:noProof/>
          <w:sz w:val="24"/>
          <w:szCs w:val="24"/>
        </w:rPr>
        <w:t>Frontiers in medicine, 6</w:t>
      </w:r>
      <w:r w:rsidRPr="001E614D">
        <w:rPr>
          <w:rFonts w:ascii="Times New Roman" w:hAnsi="Times New Roman" w:cs="Times New Roman"/>
          <w:noProof/>
          <w:sz w:val="24"/>
          <w:szCs w:val="24"/>
        </w:rPr>
        <w:t xml:space="preserve">, 118. </w:t>
      </w:r>
    </w:p>
    <w:p w14:paraId="3F6921B3"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Eyler, R. F., &amp; Shvets, K. (2019). Clinical pharmacology of antibiotics. </w:t>
      </w:r>
      <w:r w:rsidRPr="001E614D">
        <w:rPr>
          <w:rFonts w:ascii="Times New Roman" w:hAnsi="Times New Roman" w:cs="Times New Roman"/>
          <w:i/>
          <w:noProof/>
          <w:sz w:val="24"/>
          <w:szCs w:val="24"/>
        </w:rPr>
        <w:t>Clinical Journal of the American Society of Nephrology, 14</w:t>
      </w:r>
      <w:r w:rsidRPr="001E614D">
        <w:rPr>
          <w:rFonts w:ascii="Times New Roman" w:hAnsi="Times New Roman" w:cs="Times New Roman"/>
          <w:noProof/>
          <w:sz w:val="24"/>
          <w:szCs w:val="24"/>
        </w:rPr>
        <w:t xml:space="preserve">(7), 1080-1090. </w:t>
      </w:r>
    </w:p>
    <w:p w14:paraId="3F3E98C8"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Falcone, M., Paul, M., Tiseo, G., Yahav, D., Prendki, V., Friberg, L. E., . . . Tinelli, M. (2020). Considerations for the optimal management of antibiotic therapy in elderly patients. </w:t>
      </w:r>
      <w:r w:rsidRPr="001E614D">
        <w:rPr>
          <w:rFonts w:ascii="Times New Roman" w:hAnsi="Times New Roman" w:cs="Times New Roman"/>
          <w:i/>
          <w:noProof/>
          <w:sz w:val="24"/>
          <w:szCs w:val="24"/>
        </w:rPr>
        <w:t>Journal of global antimicrobial resistance, 22</w:t>
      </w:r>
      <w:r w:rsidRPr="001E614D">
        <w:rPr>
          <w:rFonts w:ascii="Times New Roman" w:hAnsi="Times New Roman" w:cs="Times New Roman"/>
          <w:noProof/>
          <w:sz w:val="24"/>
          <w:szCs w:val="24"/>
        </w:rPr>
        <w:t xml:space="preserve">, 325-333. </w:t>
      </w:r>
    </w:p>
    <w:p w14:paraId="5F7818CE"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Farag, A., Garg, A. X., Li, L., &amp; Jain, A. K. (2014). Dosing errors in prescribed antibiotics for older persons with CKD: a retrospective time series analysis. </w:t>
      </w:r>
      <w:r w:rsidRPr="001E614D">
        <w:rPr>
          <w:rFonts w:ascii="Times New Roman" w:hAnsi="Times New Roman" w:cs="Times New Roman"/>
          <w:i/>
          <w:noProof/>
          <w:sz w:val="24"/>
          <w:szCs w:val="24"/>
        </w:rPr>
        <w:t>American Journal of Kidney Diseases, 63</w:t>
      </w:r>
      <w:r w:rsidRPr="001E614D">
        <w:rPr>
          <w:rFonts w:ascii="Times New Roman" w:hAnsi="Times New Roman" w:cs="Times New Roman"/>
          <w:noProof/>
          <w:sz w:val="24"/>
          <w:szCs w:val="24"/>
        </w:rPr>
        <w:t xml:space="preserve">(3), 422-428. </w:t>
      </w:r>
    </w:p>
    <w:p w14:paraId="1D5C831C"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Friedman, N. D., Temkin, E., &amp; Carmeli, Y. (2016). The negative impact of antibiotic resistance. </w:t>
      </w:r>
      <w:r w:rsidRPr="001E614D">
        <w:rPr>
          <w:rFonts w:ascii="Times New Roman" w:hAnsi="Times New Roman" w:cs="Times New Roman"/>
          <w:i/>
          <w:noProof/>
          <w:sz w:val="24"/>
          <w:szCs w:val="24"/>
        </w:rPr>
        <w:t>Clinical microbiology and infection, 22</w:t>
      </w:r>
      <w:r w:rsidRPr="001E614D">
        <w:rPr>
          <w:rFonts w:ascii="Times New Roman" w:hAnsi="Times New Roman" w:cs="Times New Roman"/>
          <w:noProof/>
          <w:sz w:val="24"/>
          <w:szCs w:val="24"/>
        </w:rPr>
        <w:t xml:space="preserve">(5), 416-422. </w:t>
      </w:r>
    </w:p>
    <w:p w14:paraId="011E8EB6"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Frieri, M., Kumar, K., &amp; Boutin, A. (2017). Antibiotic resistance. </w:t>
      </w:r>
      <w:r w:rsidRPr="001E614D">
        <w:rPr>
          <w:rFonts w:ascii="Times New Roman" w:hAnsi="Times New Roman" w:cs="Times New Roman"/>
          <w:i/>
          <w:noProof/>
          <w:sz w:val="24"/>
          <w:szCs w:val="24"/>
        </w:rPr>
        <w:t>Journal of Infection and Public Health, 10</w:t>
      </w:r>
      <w:r w:rsidRPr="001E614D">
        <w:rPr>
          <w:rFonts w:ascii="Times New Roman" w:hAnsi="Times New Roman" w:cs="Times New Roman"/>
          <w:noProof/>
          <w:sz w:val="24"/>
          <w:szCs w:val="24"/>
        </w:rPr>
        <w:t xml:space="preserve">(4), 369-378. </w:t>
      </w:r>
    </w:p>
    <w:p w14:paraId="0C557ED0"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Gharbi, M., Drysdale, J. H., Lishman, H., Goudie, R., Molokhia, M., Johnson, A. P., . . . Aylin, P. (2019). Antibiotic management of urinary tract infection in elderly patients in primary care and its association with bloodstream infections and all cause mortality: population based cohort study. </w:t>
      </w:r>
      <w:r w:rsidRPr="001E614D">
        <w:rPr>
          <w:rFonts w:ascii="Times New Roman" w:hAnsi="Times New Roman" w:cs="Times New Roman"/>
          <w:i/>
          <w:noProof/>
          <w:sz w:val="24"/>
          <w:szCs w:val="24"/>
        </w:rPr>
        <w:t>bmj, 364</w:t>
      </w:r>
      <w:r w:rsidRPr="001E614D">
        <w:rPr>
          <w:rFonts w:ascii="Times New Roman" w:hAnsi="Times New Roman" w:cs="Times New Roman"/>
          <w:noProof/>
          <w:sz w:val="24"/>
          <w:szCs w:val="24"/>
        </w:rPr>
        <w:t xml:space="preserve">. </w:t>
      </w:r>
    </w:p>
    <w:p w14:paraId="46EEA8DC"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Ghashghaee, A., Behzadifar, M., Azari, S., Farhadi, Z., Bragazzi, N. L., Behzadifar, M., . . . Mohammadibakhsh, R. (2018). Prevalence of nosocomial infections in Iran: A systematic review and meta-analysis. </w:t>
      </w:r>
      <w:r w:rsidRPr="001E614D">
        <w:rPr>
          <w:rFonts w:ascii="Times New Roman" w:hAnsi="Times New Roman" w:cs="Times New Roman"/>
          <w:i/>
          <w:noProof/>
          <w:sz w:val="24"/>
          <w:szCs w:val="24"/>
        </w:rPr>
        <w:t>Medical journal of the Islamic Republic of Iran, 32</w:t>
      </w:r>
      <w:r w:rsidRPr="001E614D">
        <w:rPr>
          <w:rFonts w:ascii="Times New Roman" w:hAnsi="Times New Roman" w:cs="Times New Roman"/>
          <w:noProof/>
          <w:sz w:val="24"/>
          <w:szCs w:val="24"/>
        </w:rPr>
        <w:t xml:space="preserve">, 48. </w:t>
      </w:r>
    </w:p>
    <w:p w14:paraId="4CD0E736"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lastRenderedPageBreak/>
        <w:t xml:space="preserve">Grams, M. E., Sang, Y., Levey, A. S., Matsushita, K., Ballew, S., Chang, A. R., . . . Nadkarni, G. N. (2016). Kidney-failure risk projection for the living kidney-donor candidate. </w:t>
      </w:r>
      <w:r w:rsidRPr="001E614D">
        <w:rPr>
          <w:rFonts w:ascii="Times New Roman" w:hAnsi="Times New Roman" w:cs="Times New Roman"/>
          <w:i/>
          <w:noProof/>
          <w:sz w:val="24"/>
          <w:szCs w:val="24"/>
        </w:rPr>
        <w:t>New England Journal of Medicine, 374</w:t>
      </w:r>
      <w:r w:rsidRPr="001E614D">
        <w:rPr>
          <w:rFonts w:ascii="Times New Roman" w:hAnsi="Times New Roman" w:cs="Times New Roman"/>
          <w:noProof/>
          <w:sz w:val="24"/>
          <w:szCs w:val="24"/>
        </w:rPr>
        <w:t xml:space="preserve">(5), 411-421. </w:t>
      </w:r>
    </w:p>
    <w:p w14:paraId="0542D857"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Grasselli, G., Scaravilli, V., Di Bella, S., Biffi, S., Bombino, M., Patroniti, N., . . . Gori, A. (2017). Nosocomial infections during extracorporeal membrane oxygenation: incidence, etiology, and impact on patients’ outcome. </w:t>
      </w:r>
      <w:r w:rsidRPr="001E614D">
        <w:rPr>
          <w:rFonts w:ascii="Times New Roman" w:hAnsi="Times New Roman" w:cs="Times New Roman"/>
          <w:i/>
          <w:noProof/>
          <w:sz w:val="24"/>
          <w:szCs w:val="24"/>
        </w:rPr>
        <w:t>Critical care medicine, 45</w:t>
      </w:r>
      <w:r w:rsidRPr="001E614D">
        <w:rPr>
          <w:rFonts w:ascii="Times New Roman" w:hAnsi="Times New Roman" w:cs="Times New Roman"/>
          <w:noProof/>
          <w:sz w:val="24"/>
          <w:szCs w:val="24"/>
        </w:rPr>
        <w:t xml:space="preserve">(10), 1726-1733. </w:t>
      </w:r>
    </w:p>
    <w:p w14:paraId="70722D49"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Hallan, S. I., &amp; Orth, S. R. (2011). Smoking is a risk factor in the progression to kidney failure. </w:t>
      </w:r>
      <w:r w:rsidRPr="001E614D">
        <w:rPr>
          <w:rFonts w:ascii="Times New Roman" w:hAnsi="Times New Roman" w:cs="Times New Roman"/>
          <w:i/>
          <w:noProof/>
          <w:sz w:val="24"/>
          <w:szCs w:val="24"/>
        </w:rPr>
        <w:t>Kidney international, 80</w:t>
      </w:r>
      <w:r w:rsidRPr="001E614D">
        <w:rPr>
          <w:rFonts w:ascii="Times New Roman" w:hAnsi="Times New Roman" w:cs="Times New Roman"/>
          <w:noProof/>
          <w:sz w:val="24"/>
          <w:szCs w:val="24"/>
        </w:rPr>
        <w:t xml:space="preserve">(5), 516-523. </w:t>
      </w:r>
    </w:p>
    <w:p w14:paraId="674045C0"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Heringa, M., Floor-Schreudering, A., De Smet, P. A., &amp; Bouvy, M. L. (2017). Clinical decision support and optional point of care testing of renal function for safe use of antibiotics in elderly patients: a retrospective study in community pharmacy practice. </w:t>
      </w:r>
      <w:r w:rsidRPr="001E614D">
        <w:rPr>
          <w:rFonts w:ascii="Times New Roman" w:hAnsi="Times New Roman" w:cs="Times New Roman"/>
          <w:i/>
          <w:noProof/>
          <w:sz w:val="24"/>
          <w:szCs w:val="24"/>
        </w:rPr>
        <w:t>Drugs &amp; aging, 34</w:t>
      </w:r>
      <w:r w:rsidRPr="001E614D">
        <w:rPr>
          <w:rFonts w:ascii="Times New Roman" w:hAnsi="Times New Roman" w:cs="Times New Roman"/>
          <w:noProof/>
          <w:sz w:val="24"/>
          <w:szCs w:val="24"/>
        </w:rPr>
        <w:t xml:space="preserve">, 851-858. </w:t>
      </w:r>
    </w:p>
    <w:p w14:paraId="27C0B6E3"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Himmelfarb, J., Vanholder, R., Mehrotra, R., &amp; Tonelli, M. (2020). The current and future landscape of dialysis. </w:t>
      </w:r>
      <w:r w:rsidRPr="001E614D">
        <w:rPr>
          <w:rFonts w:ascii="Times New Roman" w:hAnsi="Times New Roman" w:cs="Times New Roman"/>
          <w:i/>
          <w:noProof/>
          <w:sz w:val="24"/>
          <w:szCs w:val="24"/>
        </w:rPr>
        <w:t>Nature Reviews Nephrology, 16</w:t>
      </w:r>
      <w:r w:rsidRPr="001E614D">
        <w:rPr>
          <w:rFonts w:ascii="Times New Roman" w:hAnsi="Times New Roman" w:cs="Times New Roman"/>
          <w:noProof/>
          <w:sz w:val="24"/>
          <w:szCs w:val="24"/>
        </w:rPr>
        <w:t xml:space="preserve">(10), 573-585. </w:t>
      </w:r>
    </w:p>
    <w:p w14:paraId="2734D7AA"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Htay, H., Johnson, D. W., Wiggins, K. J., Badve, S. V., Craig, J. C., Strippoli, G. F., &amp; Cho, Y. (2018). Biocompatible dialysis fluids for peritoneal dialysis. </w:t>
      </w:r>
      <w:r w:rsidRPr="001E614D">
        <w:rPr>
          <w:rFonts w:ascii="Times New Roman" w:hAnsi="Times New Roman" w:cs="Times New Roman"/>
          <w:i/>
          <w:noProof/>
          <w:sz w:val="24"/>
          <w:szCs w:val="24"/>
        </w:rPr>
        <w:t>Cochrane Database of Systematic Reviews</w:t>
      </w:r>
      <w:r w:rsidRPr="001E614D">
        <w:rPr>
          <w:rFonts w:ascii="Times New Roman" w:hAnsi="Times New Roman" w:cs="Times New Roman"/>
          <w:noProof/>
          <w:sz w:val="24"/>
          <w:szCs w:val="24"/>
        </w:rPr>
        <w:t xml:space="preserve">(10). </w:t>
      </w:r>
    </w:p>
    <w:p w14:paraId="31426D40"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Ishigami, J., &amp; Matsushita, K. (2019). Clinical epidemiology of infectious disease among patients with chronic kidney disease. </w:t>
      </w:r>
      <w:r w:rsidRPr="001E614D">
        <w:rPr>
          <w:rFonts w:ascii="Times New Roman" w:hAnsi="Times New Roman" w:cs="Times New Roman"/>
          <w:i/>
          <w:noProof/>
          <w:sz w:val="24"/>
          <w:szCs w:val="24"/>
        </w:rPr>
        <w:t>Clinical and experimental nephrology, 23</w:t>
      </w:r>
      <w:r w:rsidRPr="001E614D">
        <w:rPr>
          <w:rFonts w:ascii="Times New Roman" w:hAnsi="Times New Roman" w:cs="Times New Roman"/>
          <w:noProof/>
          <w:sz w:val="24"/>
          <w:szCs w:val="24"/>
        </w:rPr>
        <w:t xml:space="preserve">, 437-447. </w:t>
      </w:r>
    </w:p>
    <w:p w14:paraId="5C65F795"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Jamil, B., Bokhari, M., Saeed, A., Bokhari, M. Z. M., Hussain, Z., Khalid, T., . . . Abbasi, S. A. (2016). Bacteremia: prevalence and antimicrobial resistance profiling in chronic kidney diseases and renal transplant patients. </w:t>
      </w:r>
      <w:r w:rsidRPr="001E614D">
        <w:rPr>
          <w:rFonts w:ascii="Times New Roman" w:hAnsi="Times New Roman" w:cs="Times New Roman"/>
          <w:i/>
          <w:noProof/>
          <w:sz w:val="24"/>
          <w:szCs w:val="24"/>
        </w:rPr>
        <w:t>J Pak Med Assoc, 66</w:t>
      </w:r>
      <w:r w:rsidRPr="001E614D">
        <w:rPr>
          <w:rFonts w:ascii="Times New Roman" w:hAnsi="Times New Roman" w:cs="Times New Roman"/>
          <w:noProof/>
          <w:sz w:val="24"/>
          <w:szCs w:val="24"/>
        </w:rPr>
        <w:t xml:space="preserve">(6), 705-709. </w:t>
      </w:r>
    </w:p>
    <w:p w14:paraId="4ED7E5F8"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Jit, M., Ng, D. H. L., Luangasanatip, N., Sandmann, F., Atkins, K. E., Robotham, J. V., &amp; Pouwels, K. B. (2020). Quantifying the economic cost of antibiotic resistance and the impact of related interventions: rapid methodological review, conceptual framework and recommendations for future studies. </w:t>
      </w:r>
      <w:r w:rsidRPr="001E614D">
        <w:rPr>
          <w:rFonts w:ascii="Times New Roman" w:hAnsi="Times New Roman" w:cs="Times New Roman"/>
          <w:i/>
          <w:noProof/>
          <w:sz w:val="24"/>
          <w:szCs w:val="24"/>
        </w:rPr>
        <w:t>BMC medicine, 18</w:t>
      </w:r>
      <w:r w:rsidRPr="001E614D">
        <w:rPr>
          <w:rFonts w:ascii="Times New Roman" w:hAnsi="Times New Roman" w:cs="Times New Roman"/>
          <w:noProof/>
          <w:sz w:val="24"/>
          <w:szCs w:val="24"/>
        </w:rPr>
        <w:t xml:space="preserve">, 1-14. </w:t>
      </w:r>
    </w:p>
    <w:p w14:paraId="4B9E48F0"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Khan, H. A., Ahmad, A., &amp; Mehboob, R. (2015). Nosocomial infections and their control strategies. </w:t>
      </w:r>
      <w:r w:rsidRPr="001E614D">
        <w:rPr>
          <w:rFonts w:ascii="Times New Roman" w:hAnsi="Times New Roman" w:cs="Times New Roman"/>
          <w:i/>
          <w:noProof/>
          <w:sz w:val="24"/>
          <w:szCs w:val="24"/>
        </w:rPr>
        <w:t>Asian pacific journal of tropical biomedicine, 5</w:t>
      </w:r>
      <w:r w:rsidRPr="001E614D">
        <w:rPr>
          <w:rFonts w:ascii="Times New Roman" w:hAnsi="Times New Roman" w:cs="Times New Roman"/>
          <w:noProof/>
          <w:sz w:val="24"/>
          <w:szCs w:val="24"/>
        </w:rPr>
        <w:t xml:space="preserve">(7), 509-514. </w:t>
      </w:r>
    </w:p>
    <w:p w14:paraId="126103F8"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Khan, H. A., Baig, F. K., &amp; Mehboob, R. (2017). Nosocomial infections: Epidemiology, prevention, control and surveillance. </w:t>
      </w:r>
      <w:r w:rsidRPr="001E614D">
        <w:rPr>
          <w:rFonts w:ascii="Times New Roman" w:hAnsi="Times New Roman" w:cs="Times New Roman"/>
          <w:i/>
          <w:noProof/>
          <w:sz w:val="24"/>
          <w:szCs w:val="24"/>
        </w:rPr>
        <w:t>Asian pacific journal of tropical biomedicine, 7</w:t>
      </w:r>
      <w:r w:rsidRPr="001E614D">
        <w:rPr>
          <w:rFonts w:ascii="Times New Roman" w:hAnsi="Times New Roman" w:cs="Times New Roman"/>
          <w:noProof/>
          <w:sz w:val="24"/>
          <w:szCs w:val="24"/>
        </w:rPr>
        <w:t xml:space="preserve">(5), 478-482. </w:t>
      </w:r>
    </w:p>
    <w:p w14:paraId="2EE20056"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lastRenderedPageBreak/>
        <w:t xml:space="preserve">Khwaja, A., El Kossi, M., Floege, J., &amp; El Nahas, M. (2007). The management of CKD: a look into the future. </w:t>
      </w:r>
      <w:r w:rsidRPr="001E614D">
        <w:rPr>
          <w:rFonts w:ascii="Times New Roman" w:hAnsi="Times New Roman" w:cs="Times New Roman"/>
          <w:i/>
          <w:noProof/>
          <w:sz w:val="24"/>
          <w:szCs w:val="24"/>
        </w:rPr>
        <w:t>Kidney international, 72</w:t>
      </w:r>
      <w:r w:rsidRPr="001E614D">
        <w:rPr>
          <w:rFonts w:ascii="Times New Roman" w:hAnsi="Times New Roman" w:cs="Times New Roman"/>
          <w:noProof/>
          <w:sz w:val="24"/>
          <w:szCs w:val="24"/>
        </w:rPr>
        <w:t xml:space="preserve">(11), 1316-1323. </w:t>
      </w:r>
    </w:p>
    <w:p w14:paraId="2F33A268"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Kollef, M. H., Torres, A., Shorr, A. F., Martin-Loeches, I., &amp; Micek, S. T. (2021). Nosocomial infection. </w:t>
      </w:r>
      <w:r w:rsidRPr="001E614D">
        <w:rPr>
          <w:rFonts w:ascii="Times New Roman" w:hAnsi="Times New Roman" w:cs="Times New Roman"/>
          <w:i/>
          <w:noProof/>
          <w:sz w:val="24"/>
          <w:szCs w:val="24"/>
        </w:rPr>
        <w:t>Critical care medicine, 49</w:t>
      </w:r>
      <w:r w:rsidRPr="001E614D">
        <w:rPr>
          <w:rFonts w:ascii="Times New Roman" w:hAnsi="Times New Roman" w:cs="Times New Roman"/>
          <w:noProof/>
          <w:sz w:val="24"/>
          <w:szCs w:val="24"/>
        </w:rPr>
        <w:t xml:space="preserve">(2), 169-187. </w:t>
      </w:r>
    </w:p>
    <w:p w14:paraId="6AEA4E57"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Koncicki, H. M., Unruh, M., &amp; Schell, J. O. (2017). Pain management in CKD: a guide for nephrology providers. </w:t>
      </w:r>
      <w:r w:rsidRPr="001E614D">
        <w:rPr>
          <w:rFonts w:ascii="Times New Roman" w:hAnsi="Times New Roman" w:cs="Times New Roman"/>
          <w:i/>
          <w:noProof/>
          <w:sz w:val="24"/>
          <w:szCs w:val="24"/>
        </w:rPr>
        <w:t>American Journal of Kidney Diseases, 69</w:t>
      </w:r>
      <w:r w:rsidRPr="001E614D">
        <w:rPr>
          <w:rFonts w:ascii="Times New Roman" w:hAnsi="Times New Roman" w:cs="Times New Roman"/>
          <w:noProof/>
          <w:sz w:val="24"/>
          <w:szCs w:val="24"/>
        </w:rPr>
        <w:t xml:space="preserve">(3), 451-460. </w:t>
      </w:r>
    </w:p>
    <w:p w14:paraId="39CC4249"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Landecker, H. (2016). Antibiotic resistance and the biology of history. </w:t>
      </w:r>
      <w:r w:rsidRPr="001E614D">
        <w:rPr>
          <w:rFonts w:ascii="Times New Roman" w:hAnsi="Times New Roman" w:cs="Times New Roman"/>
          <w:i/>
          <w:noProof/>
          <w:sz w:val="24"/>
          <w:szCs w:val="24"/>
        </w:rPr>
        <w:t>Body &amp; Society, 22</w:t>
      </w:r>
      <w:r w:rsidRPr="001E614D">
        <w:rPr>
          <w:rFonts w:ascii="Times New Roman" w:hAnsi="Times New Roman" w:cs="Times New Roman"/>
          <w:noProof/>
          <w:sz w:val="24"/>
          <w:szCs w:val="24"/>
        </w:rPr>
        <w:t xml:space="preserve">(4), 19-52. </w:t>
      </w:r>
    </w:p>
    <w:p w14:paraId="6C17CCE6"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Larsson, D., &amp; Flach, C.-F. (2022). Antibiotic resistance in the environment. </w:t>
      </w:r>
      <w:r w:rsidRPr="001E614D">
        <w:rPr>
          <w:rFonts w:ascii="Times New Roman" w:hAnsi="Times New Roman" w:cs="Times New Roman"/>
          <w:i/>
          <w:noProof/>
          <w:sz w:val="24"/>
          <w:szCs w:val="24"/>
        </w:rPr>
        <w:t>Nature Reviews Microbiology, 20</w:t>
      </w:r>
      <w:r w:rsidRPr="001E614D">
        <w:rPr>
          <w:rFonts w:ascii="Times New Roman" w:hAnsi="Times New Roman" w:cs="Times New Roman"/>
          <w:noProof/>
          <w:sz w:val="24"/>
          <w:szCs w:val="24"/>
        </w:rPr>
        <w:t xml:space="preserve">(5), 257-269. </w:t>
      </w:r>
    </w:p>
    <w:p w14:paraId="681C8059"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Levin, A., Ahmed, S. B., Carrero, J. J., Foster, B., Francis, A., Hall, R. K., . . . Kazancıoğlu, R. (2024). Executive summary of the KDIGO 2024 Clinical Practice Guideline for the Evaluation and Management of Chronic Kidney Disease: known knowns and known unknowns. </w:t>
      </w:r>
      <w:r w:rsidRPr="001E614D">
        <w:rPr>
          <w:rFonts w:ascii="Times New Roman" w:hAnsi="Times New Roman" w:cs="Times New Roman"/>
          <w:i/>
          <w:noProof/>
          <w:sz w:val="24"/>
          <w:szCs w:val="24"/>
        </w:rPr>
        <w:t>Kidney international, 105</w:t>
      </w:r>
      <w:r w:rsidRPr="001E614D">
        <w:rPr>
          <w:rFonts w:ascii="Times New Roman" w:hAnsi="Times New Roman" w:cs="Times New Roman"/>
          <w:noProof/>
          <w:sz w:val="24"/>
          <w:szCs w:val="24"/>
        </w:rPr>
        <w:t xml:space="preserve">(4), 684-701. </w:t>
      </w:r>
    </w:p>
    <w:p w14:paraId="2874CCA5"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Levin, A., Hemmelgarn, B., Culleton, B., Tobe, S., McFarlane, P., Ruzicka, M., . . . Madore, F. (2008). Guidelines for the management of chronic kidney disease. </w:t>
      </w:r>
      <w:r w:rsidRPr="001E614D">
        <w:rPr>
          <w:rFonts w:ascii="Times New Roman" w:hAnsi="Times New Roman" w:cs="Times New Roman"/>
          <w:i/>
          <w:noProof/>
          <w:sz w:val="24"/>
          <w:szCs w:val="24"/>
        </w:rPr>
        <w:t>Cmaj, 179</w:t>
      </w:r>
      <w:r w:rsidRPr="001E614D">
        <w:rPr>
          <w:rFonts w:ascii="Times New Roman" w:hAnsi="Times New Roman" w:cs="Times New Roman"/>
          <w:noProof/>
          <w:sz w:val="24"/>
          <w:szCs w:val="24"/>
        </w:rPr>
        <w:t xml:space="preserve">(11), 1154-1162. </w:t>
      </w:r>
    </w:p>
    <w:p w14:paraId="23DBA884"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Li, P. K.-T., Chow, K. M., Van de Luijtgaarden, M. W., Johnson, D. W., Jager, K. J., Mehrotra, R., . . . Lameire, N. (2017). Changes in the worldwide epidemiology of peritoneal dialysis. </w:t>
      </w:r>
      <w:r w:rsidRPr="001E614D">
        <w:rPr>
          <w:rFonts w:ascii="Times New Roman" w:hAnsi="Times New Roman" w:cs="Times New Roman"/>
          <w:i/>
          <w:noProof/>
          <w:sz w:val="24"/>
          <w:szCs w:val="24"/>
        </w:rPr>
        <w:t>Nature Reviews Nephrology, 13</w:t>
      </w:r>
      <w:r w:rsidRPr="001E614D">
        <w:rPr>
          <w:rFonts w:ascii="Times New Roman" w:hAnsi="Times New Roman" w:cs="Times New Roman"/>
          <w:noProof/>
          <w:sz w:val="24"/>
          <w:szCs w:val="24"/>
        </w:rPr>
        <w:t xml:space="preserve">(2), 90-103. </w:t>
      </w:r>
    </w:p>
    <w:p w14:paraId="3CDC89E0"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Li, Y., Gong, Z., Lu, Y., Hu, G., Cai, R., &amp; Chen, Z. (2017). Impact of nosocomial infections surveillance on nosocomial infection rates: A systematic review. </w:t>
      </w:r>
      <w:r w:rsidRPr="001E614D">
        <w:rPr>
          <w:rFonts w:ascii="Times New Roman" w:hAnsi="Times New Roman" w:cs="Times New Roman"/>
          <w:i/>
          <w:noProof/>
          <w:sz w:val="24"/>
          <w:szCs w:val="24"/>
        </w:rPr>
        <w:t>International journal of surgery, 42</w:t>
      </w:r>
      <w:r w:rsidRPr="001E614D">
        <w:rPr>
          <w:rFonts w:ascii="Times New Roman" w:hAnsi="Times New Roman" w:cs="Times New Roman"/>
          <w:noProof/>
          <w:sz w:val="24"/>
          <w:szCs w:val="24"/>
        </w:rPr>
        <w:t xml:space="preserve">, 164-169. </w:t>
      </w:r>
    </w:p>
    <w:p w14:paraId="73A21982"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Lin, J., Nishino, K., Roberts, M. C., Tolmasky, M., Aminov, R. I., &amp; Zhang, L. (2015). Mechanisms of antibiotic resistance. </w:t>
      </w:r>
      <w:r w:rsidRPr="001E614D">
        <w:rPr>
          <w:rFonts w:ascii="Times New Roman" w:hAnsi="Times New Roman" w:cs="Times New Roman"/>
          <w:i/>
          <w:noProof/>
          <w:sz w:val="24"/>
          <w:szCs w:val="24"/>
        </w:rPr>
        <w:t>Frontiers in Microbiology, 6</w:t>
      </w:r>
      <w:r w:rsidRPr="001E614D">
        <w:rPr>
          <w:rFonts w:ascii="Times New Roman" w:hAnsi="Times New Roman" w:cs="Times New Roman"/>
          <w:noProof/>
          <w:sz w:val="24"/>
          <w:szCs w:val="24"/>
        </w:rPr>
        <w:t xml:space="preserve">, 34. </w:t>
      </w:r>
    </w:p>
    <w:p w14:paraId="2CB986D7"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Liu, J.-Y., &amp; Dickter, J. K. (2020). Nosocomial infections: a history of hospital-acquired infections. </w:t>
      </w:r>
      <w:r w:rsidRPr="001E614D">
        <w:rPr>
          <w:rFonts w:ascii="Times New Roman" w:hAnsi="Times New Roman" w:cs="Times New Roman"/>
          <w:i/>
          <w:noProof/>
          <w:sz w:val="24"/>
          <w:szCs w:val="24"/>
        </w:rPr>
        <w:t>Gastrointestinal Endoscopy Clinics, 30</w:t>
      </w:r>
      <w:r w:rsidRPr="001E614D">
        <w:rPr>
          <w:rFonts w:ascii="Times New Roman" w:hAnsi="Times New Roman" w:cs="Times New Roman"/>
          <w:noProof/>
          <w:sz w:val="24"/>
          <w:szCs w:val="24"/>
        </w:rPr>
        <w:t xml:space="preserve">(4), 637-652. </w:t>
      </w:r>
    </w:p>
    <w:p w14:paraId="6476AE42"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Ma, T. K.-W., Chow, K.-M., Choy, A. S. M., Kwan, B. C.-H., Szeto, C.-C., &amp; Li, P. K.-T. (2014). Clinical manifestation of macrolide antibiotic toxicity in CKD and dialysis patients. </w:t>
      </w:r>
      <w:r w:rsidRPr="001E614D">
        <w:rPr>
          <w:rFonts w:ascii="Times New Roman" w:hAnsi="Times New Roman" w:cs="Times New Roman"/>
          <w:i/>
          <w:noProof/>
          <w:sz w:val="24"/>
          <w:szCs w:val="24"/>
        </w:rPr>
        <w:t>Clinical kidney journal, 7</w:t>
      </w:r>
      <w:r w:rsidRPr="001E614D">
        <w:rPr>
          <w:rFonts w:ascii="Times New Roman" w:hAnsi="Times New Roman" w:cs="Times New Roman"/>
          <w:noProof/>
          <w:sz w:val="24"/>
          <w:szCs w:val="24"/>
        </w:rPr>
        <w:t xml:space="preserve">(6), 507-512. </w:t>
      </w:r>
    </w:p>
    <w:p w14:paraId="3808171C"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MacGowan, A., &amp; Macnaughton, E. (2017). Antibiotic resistance. </w:t>
      </w:r>
      <w:r w:rsidRPr="001E614D">
        <w:rPr>
          <w:rFonts w:ascii="Times New Roman" w:hAnsi="Times New Roman" w:cs="Times New Roman"/>
          <w:i/>
          <w:noProof/>
          <w:sz w:val="24"/>
          <w:szCs w:val="24"/>
        </w:rPr>
        <w:t>Medicine, 45</w:t>
      </w:r>
      <w:r w:rsidRPr="001E614D">
        <w:rPr>
          <w:rFonts w:ascii="Times New Roman" w:hAnsi="Times New Roman" w:cs="Times New Roman"/>
          <w:noProof/>
          <w:sz w:val="24"/>
          <w:szCs w:val="24"/>
        </w:rPr>
        <w:t xml:space="preserve">(10), 622-628. </w:t>
      </w:r>
    </w:p>
    <w:p w14:paraId="296B4DB0"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lastRenderedPageBreak/>
        <w:t xml:space="preserve">MacLean, R. C., &amp; San Millan, A. (2019). The evolution of antibiotic resistance. </w:t>
      </w:r>
      <w:r w:rsidRPr="001E614D">
        <w:rPr>
          <w:rFonts w:ascii="Times New Roman" w:hAnsi="Times New Roman" w:cs="Times New Roman"/>
          <w:i/>
          <w:noProof/>
          <w:sz w:val="24"/>
          <w:szCs w:val="24"/>
        </w:rPr>
        <w:t>Science, 365</w:t>
      </w:r>
      <w:r w:rsidRPr="001E614D">
        <w:rPr>
          <w:rFonts w:ascii="Times New Roman" w:hAnsi="Times New Roman" w:cs="Times New Roman"/>
          <w:noProof/>
          <w:sz w:val="24"/>
          <w:szCs w:val="24"/>
        </w:rPr>
        <w:t xml:space="preserve">(6458), 1082-1083. </w:t>
      </w:r>
    </w:p>
    <w:p w14:paraId="14901B7A"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Manaia, C. M., Macedo, G., Fatta-Kassinos, D., &amp; Nunes, O. C. (2016). Antibiotic resistance in urban aquatic environments: can it be controlled? </w:t>
      </w:r>
      <w:r w:rsidRPr="001E614D">
        <w:rPr>
          <w:rFonts w:ascii="Times New Roman" w:hAnsi="Times New Roman" w:cs="Times New Roman"/>
          <w:i/>
          <w:noProof/>
          <w:sz w:val="24"/>
          <w:szCs w:val="24"/>
        </w:rPr>
        <w:t>Applied microbiology and biotechnology, 100</w:t>
      </w:r>
      <w:r w:rsidRPr="001E614D">
        <w:rPr>
          <w:rFonts w:ascii="Times New Roman" w:hAnsi="Times New Roman" w:cs="Times New Roman"/>
          <w:noProof/>
          <w:sz w:val="24"/>
          <w:szCs w:val="24"/>
        </w:rPr>
        <w:t xml:space="preserve">, 1543-1557. </w:t>
      </w:r>
    </w:p>
    <w:p w14:paraId="777AD62F"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Mancini, A., Verdini, D., La Vigna, G., Recanatini, C., Lombardi, F. E., &amp; Barocci, S. (2016). Retrospective analysis of nosocomial infections in an Italian tertiary care hospital. </w:t>
      </w:r>
      <w:r w:rsidRPr="001E614D">
        <w:rPr>
          <w:rFonts w:ascii="Times New Roman" w:hAnsi="Times New Roman" w:cs="Times New Roman"/>
          <w:i/>
          <w:noProof/>
          <w:sz w:val="24"/>
          <w:szCs w:val="24"/>
        </w:rPr>
        <w:t>New Microbiologica, 39</w:t>
      </w:r>
      <w:r w:rsidRPr="001E614D">
        <w:rPr>
          <w:rFonts w:ascii="Times New Roman" w:hAnsi="Times New Roman" w:cs="Times New Roman"/>
          <w:noProof/>
          <w:sz w:val="24"/>
          <w:szCs w:val="24"/>
        </w:rPr>
        <w:t xml:space="preserve">(3), 197-205. </w:t>
      </w:r>
    </w:p>
    <w:p w14:paraId="3E77B220"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Martens, E., &amp; Demain, A. L. (2017). The antibiotic resistance crisis, with a focus on the United States. </w:t>
      </w:r>
      <w:r w:rsidRPr="001E614D">
        <w:rPr>
          <w:rFonts w:ascii="Times New Roman" w:hAnsi="Times New Roman" w:cs="Times New Roman"/>
          <w:i/>
          <w:noProof/>
          <w:sz w:val="24"/>
          <w:szCs w:val="24"/>
        </w:rPr>
        <w:t>The Journal of antibiotics, 70</w:t>
      </w:r>
      <w:r w:rsidRPr="001E614D">
        <w:rPr>
          <w:rFonts w:ascii="Times New Roman" w:hAnsi="Times New Roman" w:cs="Times New Roman"/>
          <w:noProof/>
          <w:sz w:val="24"/>
          <w:szCs w:val="24"/>
        </w:rPr>
        <w:t xml:space="preserve">(5), 520-526. </w:t>
      </w:r>
    </w:p>
    <w:p w14:paraId="10F94294"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Masakane, I., Nakai, S., Ogata, S., Kimata, N., Hanafusa, N., Hamano, T., . . . Nitta, K. (2015). An overview of regular dialysis treatment in Japan (as of 31 December 2013). </w:t>
      </w:r>
      <w:r w:rsidRPr="001E614D">
        <w:rPr>
          <w:rFonts w:ascii="Times New Roman" w:hAnsi="Times New Roman" w:cs="Times New Roman"/>
          <w:i/>
          <w:noProof/>
          <w:sz w:val="24"/>
          <w:szCs w:val="24"/>
        </w:rPr>
        <w:t>Therapeutic Apheresis and Dialysis, 19</w:t>
      </w:r>
      <w:r w:rsidRPr="001E614D">
        <w:rPr>
          <w:rFonts w:ascii="Times New Roman" w:hAnsi="Times New Roman" w:cs="Times New Roman"/>
          <w:noProof/>
          <w:sz w:val="24"/>
          <w:szCs w:val="24"/>
        </w:rPr>
        <w:t xml:space="preserve">(6), 540-574. </w:t>
      </w:r>
    </w:p>
    <w:p w14:paraId="457BF025"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Mbim, E., Mboto, C., &amp; Agbo, B. (2016). A review of nosocomial infections in Sub-Saharan Africa. </w:t>
      </w:r>
      <w:r w:rsidRPr="001E614D">
        <w:rPr>
          <w:rFonts w:ascii="Times New Roman" w:hAnsi="Times New Roman" w:cs="Times New Roman"/>
          <w:i/>
          <w:noProof/>
          <w:sz w:val="24"/>
          <w:szCs w:val="24"/>
        </w:rPr>
        <w:t>British Microbiology Research Journal, 15</w:t>
      </w:r>
      <w:r w:rsidRPr="001E614D">
        <w:rPr>
          <w:rFonts w:ascii="Times New Roman" w:hAnsi="Times New Roman" w:cs="Times New Roman"/>
          <w:noProof/>
          <w:sz w:val="24"/>
          <w:szCs w:val="24"/>
        </w:rPr>
        <w:t xml:space="preserve">(1), 1-11. </w:t>
      </w:r>
    </w:p>
    <w:p w14:paraId="3EB8A71D"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Miranda, M. V., González, F. C., Paredes-Godoy, O. S., Maulén, M. A., Vásquez, C. C., &amp; Díaz-Vásquez, W. A. (2022). Characterization of metal (loid) s and antibiotic resistance in bacteria of human gut microbiota from chronic kidney disease subjects. </w:t>
      </w:r>
      <w:r w:rsidRPr="001E614D">
        <w:rPr>
          <w:rFonts w:ascii="Times New Roman" w:hAnsi="Times New Roman" w:cs="Times New Roman"/>
          <w:i/>
          <w:noProof/>
          <w:sz w:val="24"/>
          <w:szCs w:val="24"/>
        </w:rPr>
        <w:t>Biological Research, 55</w:t>
      </w:r>
      <w:r w:rsidRPr="001E614D">
        <w:rPr>
          <w:rFonts w:ascii="Times New Roman" w:hAnsi="Times New Roman" w:cs="Times New Roman"/>
          <w:noProof/>
          <w:sz w:val="24"/>
          <w:szCs w:val="24"/>
        </w:rPr>
        <w:t xml:space="preserve">. </w:t>
      </w:r>
    </w:p>
    <w:p w14:paraId="4CEFDE0C"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Montoya-Urrego, D., Velasco-Castaño, J. J., Quintero Velez, J. C., &amp; Jiménez Quiceno, J. N. (2023). Knowledge, attitudes, and practices (KAP) about antibiotic use in hemodialysis patients with chronic kidney disease and their household contacts, Medellín-Colombia. </w:t>
      </w:r>
      <w:r w:rsidRPr="001E614D">
        <w:rPr>
          <w:rFonts w:ascii="Times New Roman" w:hAnsi="Times New Roman" w:cs="Times New Roman"/>
          <w:i/>
          <w:noProof/>
          <w:sz w:val="24"/>
          <w:szCs w:val="24"/>
        </w:rPr>
        <w:t>Infection and Drug Resistance</w:t>
      </w:r>
      <w:r w:rsidRPr="001E614D">
        <w:rPr>
          <w:rFonts w:ascii="Times New Roman" w:hAnsi="Times New Roman" w:cs="Times New Roman"/>
          <w:noProof/>
          <w:sz w:val="24"/>
          <w:szCs w:val="24"/>
        </w:rPr>
        <w:t xml:space="preserve">, 1725-1736. </w:t>
      </w:r>
    </w:p>
    <w:p w14:paraId="29265C62"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Nakayama, M., Kabayama, S., &amp; Miyazaki, M. (2024). Application of Electrolyzed Hydrogen Water for Management of Chronic Kidney Disease and Dialysis Treatment—Perspective View. </w:t>
      </w:r>
      <w:r w:rsidRPr="001E614D">
        <w:rPr>
          <w:rFonts w:ascii="Times New Roman" w:hAnsi="Times New Roman" w:cs="Times New Roman"/>
          <w:i/>
          <w:noProof/>
          <w:sz w:val="24"/>
          <w:szCs w:val="24"/>
        </w:rPr>
        <w:t>Antioxidants, 13</w:t>
      </w:r>
      <w:r w:rsidRPr="001E614D">
        <w:rPr>
          <w:rFonts w:ascii="Times New Roman" w:hAnsi="Times New Roman" w:cs="Times New Roman"/>
          <w:noProof/>
          <w:sz w:val="24"/>
          <w:szCs w:val="24"/>
        </w:rPr>
        <w:t xml:space="preserve">(1), 90. </w:t>
      </w:r>
    </w:p>
    <w:p w14:paraId="3FB2F644"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Neves, P. D. M. d. M., Sesso, R. d. C. C., Thomé, F. S., Lugon, J. R., &amp; Nascimento, M. M. (2021). Brazilian dialysis survey 2019. </w:t>
      </w:r>
      <w:r w:rsidRPr="001E614D">
        <w:rPr>
          <w:rFonts w:ascii="Times New Roman" w:hAnsi="Times New Roman" w:cs="Times New Roman"/>
          <w:i/>
          <w:noProof/>
          <w:sz w:val="24"/>
          <w:szCs w:val="24"/>
        </w:rPr>
        <w:t>Brazilian Journal of Nephrology, 43</w:t>
      </w:r>
      <w:r w:rsidRPr="001E614D">
        <w:rPr>
          <w:rFonts w:ascii="Times New Roman" w:hAnsi="Times New Roman" w:cs="Times New Roman"/>
          <w:noProof/>
          <w:sz w:val="24"/>
          <w:szCs w:val="24"/>
        </w:rPr>
        <w:t xml:space="preserve">, 217-227. </w:t>
      </w:r>
    </w:p>
    <w:p w14:paraId="4F9E604D"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Ortiz, A., Covic, A., Fliser, D., Fouque, D., Goldsmith, D., Kanbay, M., . . . Vanholder, R. (2014). Epidemiology, contributors to, and clinical trials of mortality risk in chronic kidney failure. </w:t>
      </w:r>
      <w:r w:rsidRPr="001E614D">
        <w:rPr>
          <w:rFonts w:ascii="Times New Roman" w:hAnsi="Times New Roman" w:cs="Times New Roman"/>
          <w:i/>
          <w:noProof/>
          <w:sz w:val="24"/>
          <w:szCs w:val="24"/>
        </w:rPr>
        <w:t>The Lancet, 383</w:t>
      </w:r>
      <w:r w:rsidRPr="001E614D">
        <w:rPr>
          <w:rFonts w:ascii="Times New Roman" w:hAnsi="Times New Roman" w:cs="Times New Roman"/>
          <w:noProof/>
          <w:sz w:val="24"/>
          <w:szCs w:val="24"/>
        </w:rPr>
        <w:t xml:space="preserve">(9931), 1831-1843. </w:t>
      </w:r>
    </w:p>
    <w:p w14:paraId="09E13C66"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lastRenderedPageBreak/>
        <w:t xml:space="preserve">Pea, F. (2018). Pharmacokinetics and drug metabolism of antibiotics in the elderly. </w:t>
      </w:r>
      <w:r w:rsidRPr="001E614D">
        <w:rPr>
          <w:rFonts w:ascii="Times New Roman" w:hAnsi="Times New Roman" w:cs="Times New Roman"/>
          <w:i/>
          <w:noProof/>
          <w:sz w:val="24"/>
          <w:szCs w:val="24"/>
        </w:rPr>
        <w:t>Expert Opinion on Drug Metabolism &amp; Toxicology, 14</w:t>
      </w:r>
      <w:r w:rsidRPr="001E614D">
        <w:rPr>
          <w:rFonts w:ascii="Times New Roman" w:hAnsi="Times New Roman" w:cs="Times New Roman"/>
          <w:noProof/>
          <w:sz w:val="24"/>
          <w:szCs w:val="24"/>
        </w:rPr>
        <w:t xml:space="preserve">(10), 1087-1100. </w:t>
      </w:r>
    </w:p>
    <w:p w14:paraId="20D6C10A"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Pezhman, B., Fatemeh, R., Amir, R., Mahboobeh, R., &amp; Mohammad, F. (2021). Nosocomial infections in an Iranian educational hospital: an evaluation study of the Iranian nosocomial infection surveillance system. </w:t>
      </w:r>
      <w:r w:rsidRPr="001E614D">
        <w:rPr>
          <w:rFonts w:ascii="Times New Roman" w:hAnsi="Times New Roman" w:cs="Times New Roman"/>
          <w:i/>
          <w:noProof/>
          <w:sz w:val="24"/>
          <w:szCs w:val="24"/>
        </w:rPr>
        <w:t>BMC infectious diseases, 21</w:t>
      </w:r>
      <w:r w:rsidRPr="001E614D">
        <w:rPr>
          <w:rFonts w:ascii="Times New Roman" w:hAnsi="Times New Roman" w:cs="Times New Roman"/>
          <w:noProof/>
          <w:sz w:val="24"/>
          <w:szCs w:val="24"/>
        </w:rPr>
        <w:t xml:space="preserve">(1), 1256. </w:t>
      </w:r>
    </w:p>
    <w:p w14:paraId="69B86802"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Ramasethu, J. (2017). Prevention and treatment of neonatal nosocomial infections. </w:t>
      </w:r>
      <w:r w:rsidRPr="001E614D">
        <w:rPr>
          <w:rFonts w:ascii="Times New Roman" w:hAnsi="Times New Roman" w:cs="Times New Roman"/>
          <w:i/>
          <w:noProof/>
          <w:sz w:val="24"/>
          <w:szCs w:val="24"/>
        </w:rPr>
        <w:t>Maternal health, neonatology and perinatology, 3</w:t>
      </w:r>
      <w:r w:rsidRPr="001E614D">
        <w:rPr>
          <w:rFonts w:ascii="Times New Roman" w:hAnsi="Times New Roman" w:cs="Times New Roman"/>
          <w:noProof/>
          <w:sz w:val="24"/>
          <w:szCs w:val="24"/>
        </w:rPr>
        <w:t xml:space="preserve">, 1-11. </w:t>
      </w:r>
    </w:p>
    <w:p w14:paraId="627B0A96"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Rather, I. A., Kim, B.-C., Bajpai, V. K., &amp; Park, Y.-H. (2017). Self-medication and antibiotic resistance: Crisis, current challenges, and prevention. </w:t>
      </w:r>
      <w:r w:rsidRPr="001E614D">
        <w:rPr>
          <w:rFonts w:ascii="Times New Roman" w:hAnsi="Times New Roman" w:cs="Times New Roman"/>
          <w:i/>
          <w:noProof/>
          <w:sz w:val="24"/>
          <w:szCs w:val="24"/>
        </w:rPr>
        <w:t>Saudi Journal of Biological Sciences, 24</w:t>
      </w:r>
      <w:r w:rsidRPr="001E614D">
        <w:rPr>
          <w:rFonts w:ascii="Times New Roman" w:hAnsi="Times New Roman" w:cs="Times New Roman"/>
          <w:noProof/>
          <w:sz w:val="24"/>
          <w:szCs w:val="24"/>
        </w:rPr>
        <w:t xml:space="preserve">(4), 808-812. </w:t>
      </w:r>
    </w:p>
    <w:p w14:paraId="255211FB"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Roca, I., Akova, M., Baquero, F., Carlet, J., Cavaleri, M., Coenen, S., . . . Heure, O. (2015). The global threat of antimicrobial resistance: science for intervention. </w:t>
      </w:r>
      <w:r w:rsidRPr="001E614D">
        <w:rPr>
          <w:rFonts w:ascii="Times New Roman" w:hAnsi="Times New Roman" w:cs="Times New Roman"/>
          <w:i/>
          <w:noProof/>
          <w:sz w:val="24"/>
          <w:szCs w:val="24"/>
        </w:rPr>
        <w:t>New microbes and new infections, 6</w:t>
      </w:r>
      <w:r w:rsidRPr="001E614D">
        <w:rPr>
          <w:rFonts w:ascii="Times New Roman" w:hAnsi="Times New Roman" w:cs="Times New Roman"/>
          <w:noProof/>
          <w:sz w:val="24"/>
          <w:szCs w:val="24"/>
        </w:rPr>
        <w:t xml:space="preserve">, 22-29. </w:t>
      </w:r>
    </w:p>
    <w:p w14:paraId="58889CD4"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Rteil, A., Kazma, J. M., El Sawda, J., Gharamti, A., Koubar, S. H., &amp; Kanafani, Z. A. (2020). Clinical characteristics, risk factors and microbiology of infections in patients receiving chronic hemodialysis. </w:t>
      </w:r>
      <w:r w:rsidRPr="001E614D">
        <w:rPr>
          <w:rFonts w:ascii="Times New Roman" w:hAnsi="Times New Roman" w:cs="Times New Roman"/>
          <w:i/>
          <w:noProof/>
          <w:sz w:val="24"/>
          <w:szCs w:val="24"/>
        </w:rPr>
        <w:t>Journal of Infection and Public Health, 13</w:t>
      </w:r>
      <w:r w:rsidRPr="001E614D">
        <w:rPr>
          <w:rFonts w:ascii="Times New Roman" w:hAnsi="Times New Roman" w:cs="Times New Roman"/>
          <w:noProof/>
          <w:sz w:val="24"/>
          <w:szCs w:val="24"/>
        </w:rPr>
        <w:t xml:space="preserve">(8), 1166-1171. </w:t>
      </w:r>
    </w:p>
    <w:p w14:paraId="0BF55845"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Ruiz-Ortega, M., Lamas, S., &amp; Ortiz, A. (2022). Antifibrotic agents for the management of CKD: a review. </w:t>
      </w:r>
      <w:r w:rsidRPr="001E614D">
        <w:rPr>
          <w:rFonts w:ascii="Times New Roman" w:hAnsi="Times New Roman" w:cs="Times New Roman"/>
          <w:i/>
          <w:noProof/>
          <w:sz w:val="24"/>
          <w:szCs w:val="24"/>
        </w:rPr>
        <w:t>American Journal of Kidney Diseases, 80</w:t>
      </w:r>
      <w:r w:rsidRPr="001E614D">
        <w:rPr>
          <w:rFonts w:ascii="Times New Roman" w:hAnsi="Times New Roman" w:cs="Times New Roman"/>
          <w:noProof/>
          <w:sz w:val="24"/>
          <w:szCs w:val="24"/>
        </w:rPr>
        <w:t xml:space="preserve">(2), 251-263. </w:t>
      </w:r>
    </w:p>
    <w:p w14:paraId="5E480E14"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Sabtu, N., Enoch, D., &amp; Brown, N. (2015). Antibiotic resistance: what, why, where, when and how? </w:t>
      </w:r>
      <w:r w:rsidRPr="001E614D">
        <w:rPr>
          <w:rFonts w:ascii="Times New Roman" w:hAnsi="Times New Roman" w:cs="Times New Roman"/>
          <w:i/>
          <w:noProof/>
          <w:sz w:val="24"/>
          <w:szCs w:val="24"/>
        </w:rPr>
        <w:t>British medical bulletin, 116</w:t>
      </w:r>
      <w:r w:rsidRPr="001E614D">
        <w:rPr>
          <w:rFonts w:ascii="Times New Roman" w:hAnsi="Times New Roman" w:cs="Times New Roman"/>
          <w:noProof/>
          <w:sz w:val="24"/>
          <w:szCs w:val="24"/>
        </w:rPr>
        <w:t xml:space="preserve">(1). </w:t>
      </w:r>
    </w:p>
    <w:p w14:paraId="0D510C41"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Salmanzadeh, S., Yousefi, F., Ahmadi, F., Geravandi, S., Moien, M., Mohammadi, M. J., . . . MOHAMADREZAI, E. N. (2015). Evaluation of nosocomial infections in a teaching hospital. </w:t>
      </w:r>
    </w:p>
    <w:p w14:paraId="794FDE2B"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Samal, L., Kilgallon, J. L., Lipsitz, S., Baer, H. J., McCoy, A., Gannon, M., . . . Chay, W. I. (2024). Clinical decision support for hypertension management in chronic kidney disease: a randomized clinical trial. </w:t>
      </w:r>
      <w:r w:rsidRPr="001E614D">
        <w:rPr>
          <w:rFonts w:ascii="Times New Roman" w:hAnsi="Times New Roman" w:cs="Times New Roman"/>
          <w:i/>
          <w:noProof/>
          <w:sz w:val="24"/>
          <w:szCs w:val="24"/>
        </w:rPr>
        <w:t>JAMA Internal Medicine, 184</w:t>
      </w:r>
      <w:r w:rsidRPr="001E614D">
        <w:rPr>
          <w:rFonts w:ascii="Times New Roman" w:hAnsi="Times New Roman" w:cs="Times New Roman"/>
          <w:noProof/>
          <w:sz w:val="24"/>
          <w:szCs w:val="24"/>
        </w:rPr>
        <w:t xml:space="preserve">(5), 484-492. </w:t>
      </w:r>
    </w:p>
    <w:p w14:paraId="080B1F8B"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Santra, S., Agrawal, D., Kumar, S., &amp; Mishra, S. (2015). A study on the drug utilization pattern in patients with chronic kidney disease with emphasis on antibiotics. </w:t>
      </w:r>
      <w:r w:rsidRPr="001E614D">
        <w:rPr>
          <w:rFonts w:ascii="Times New Roman" w:hAnsi="Times New Roman" w:cs="Times New Roman"/>
          <w:i/>
          <w:noProof/>
          <w:sz w:val="24"/>
          <w:szCs w:val="24"/>
        </w:rPr>
        <w:t>Journal of integrative nephrology and andrology, 2</w:t>
      </w:r>
      <w:r w:rsidRPr="001E614D">
        <w:rPr>
          <w:rFonts w:ascii="Times New Roman" w:hAnsi="Times New Roman" w:cs="Times New Roman"/>
          <w:noProof/>
          <w:sz w:val="24"/>
          <w:szCs w:val="24"/>
        </w:rPr>
        <w:t xml:space="preserve">(3), 85-85. </w:t>
      </w:r>
    </w:p>
    <w:p w14:paraId="2DC5DE28"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Sartelli, M. (2021). Antibiotic Management in the Elderly Patients. </w:t>
      </w:r>
      <w:r w:rsidRPr="001E614D">
        <w:rPr>
          <w:rFonts w:ascii="Times New Roman" w:hAnsi="Times New Roman" w:cs="Times New Roman"/>
          <w:i/>
          <w:noProof/>
          <w:sz w:val="24"/>
          <w:szCs w:val="24"/>
        </w:rPr>
        <w:t>Emergency General Surgery in Geriatrics</w:t>
      </w:r>
      <w:r w:rsidRPr="001E614D">
        <w:rPr>
          <w:rFonts w:ascii="Times New Roman" w:hAnsi="Times New Roman" w:cs="Times New Roman"/>
          <w:noProof/>
          <w:sz w:val="24"/>
          <w:szCs w:val="24"/>
        </w:rPr>
        <w:t xml:space="preserve">, 173-175. </w:t>
      </w:r>
    </w:p>
    <w:p w14:paraId="1AE86306"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lastRenderedPageBreak/>
        <w:t xml:space="preserve">Schweiger, A., Trevino, S., &amp; Marschall, J. (2015). Nosocomial infections in dialysis access </w:t>
      </w:r>
      <w:r w:rsidRPr="001E614D">
        <w:rPr>
          <w:rFonts w:ascii="Times New Roman" w:hAnsi="Times New Roman" w:cs="Times New Roman"/>
          <w:i/>
          <w:noProof/>
          <w:sz w:val="24"/>
          <w:szCs w:val="24"/>
        </w:rPr>
        <w:t>Patient Safety in Dialysis Access</w:t>
      </w:r>
      <w:r w:rsidRPr="001E614D">
        <w:rPr>
          <w:rFonts w:ascii="Times New Roman" w:hAnsi="Times New Roman" w:cs="Times New Roman"/>
          <w:noProof/>
          <w:sz w:val="24"/>
          <w:szCs w:val="24"/>
        </w:rPr>
        <w:t xml:space="preserve"> (Vol. 184, pp. 205-221): Karger Publishers.</w:t>
      </w:r>
    </w:p>
    <w:p w14:paraId="602BA363"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Shah, A. P., Kalantar-Zadeh, K., &amp; Kopple, J. D. (2015). Is there a role for ketoacid supplements in the management of CKD? </w:t>
      </w:r>
      <w:r w:rsidRPr="001E614D">
        <w:rPr>
          <w:rFonts w:ascii="Times New Roman" w:hAnsi="Times New Roman" w:cs="Times New Roman"/>
          <w:i/>
          <w:noProof/>
          <w:sz w:val="24"/>
          <w:szCs w:val="24"/>
        </w:rPr>
        <w:t>American Journal of Kidney Diseases, 65</w:t>
      </w:r>
      <w:r w:rsidRPr="001E614D">
        <w:rPr>
          <w:rFonts w:ascii="Times New Roman" w:hAnsi="Times New Roman" w:cs="Times New Roman"/>
          <w:noProof/>
          <w:sz w:val="24"/>
          <w:szCs w:val="24"/>
        </w:rPr>
        <w:t xml:space="preserve">(5), 659-673. </w:t>
      </w:r>
    </w:p>
    <w:p w14:paraId="0527EE60"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Starzyk-Łuszcz, K., Zielonka, T. M., Jakubik, J., &amp; Życińska, K. (2017). Mortality due to nosocomial infection with Klebsiella pneumoniae ESBL+. </w:t>
      </w:r>
      <w:r w:rsidRPr="001E614D">
        <w:rPr>
          <w:rFonts w:ascii="Times New Roman" w:hAnsi="Times New Roman" w:cs="Times New Roman"/>
          <w:i/>
          <w:noProof/>
          <w:sz w:val="24"/>
          <w:szCs w:val="24"/>
        </w:rPr>
        <w:t>Clinical Management of Pulmonary Disorders and Diseases</w:t>
      </w:r>
      <w:r w:rsidRPr="001E614D">
        <w:rPr>
          <w:rFonts w:ascii="Times New Roman" w:hAnsi="Times New Roman" w:cs="Times New Roman"/>
          <w:noProof/>
          <w:sz w:val="24"/>
          <w:szCs w:val="24"/>
        </w:rPr>
        <w:t xml:space="preserve">, 19-26. </w:t>
      </w:r>
    </w:p>
    <w:p w14:paraId="67F09172"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Suleyman, G., &amp; Alangaden, G. J. (2016). Nosocomial fungal infections: epidemiology, infection control, and prevention. </w:t>
      </w:r>
      <w:r w:rsidRPr="001E614D">
        <w:rPr>
          <w:rFonts w:ascii="Times New Roman" w:hAnsi="Times New Roman" w:cs="Times New Roman"/>
          <w:i/>
          <w:noProof/>
          <w:sz w:val="24"/>
          <w:szCs w:val="24"/>
        </w:rPr>
        <w:t>Infectious Disease Clinics, 30</w:t>
      </w:r>
      <w:r w:rsidRPr="001E614D">
        <w:rPr>
          <w:rFonts w:ascii="Times New Roman" w:hAnsi="Times New Roman" w:cs="Times New Roman"/>
          <w:noProof/>
          <w:sz w:val="24"/>
          <w:szCs w:val="24"/>
        </w:rPr>
        <w:t xml:space="preserve">(4), 1023-1052. </w:t>
      </w:r>
    </w:p>
    <w:p w14:paraId="1308A193"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Tangri, N., Stevens, L. A., Griffith, J., Tighiouart, H., Djurdjev, O., Naimark, D., . . . Levey, A. S. (2011). A predictive model for progression of chronic kidney disease to kidney failure. </w:t>
      </w:r>
      <w:r w:rsidRPr="001E614D">
        <w:rPr>
          <w:rFonts w:ascii="Times New Roman" w:hAnsi="Times New Roman" w:cs="Times New Roman"/>
          <w:i/>
          <w:noProof/>
          <w:sz w:val="24"/>
          <w:szCs w:val="24"/>
        </w:rPr>
        <w:t>Jama, 305</w:t>
      </w:r>
      <w:r w:rsidRPr="001E614D">
        <w:rPr>
          <w:rFonts w:ascii="Times New Roman" w:hAnsi="Times New Roman" w:cs="Times New Roman"/>
          <w:noProof/>
          <w:sz w:val="24"/>
          <w:szCs w:val="24"/>
        </w:rPr>
        <w:t xml:space="preserve">(15), 1553-1559. </w:t>
      </w:r>
    </w:p>
    <w:p w14:paraId="4D2B521A"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Trubiano, J. A., &amp; Padiglione, A. A. (2015). Nosocomial infections in the intensive care unit. </w:t>
      </w:r>
      <w:r w:rsidRPr="001E614D">
        <w:rPr>
          <w:rFonts w:ascii="Times New Roman" w:hAnsi="Times New Roman" w:cs="Times New Roman"/>
          <w:i/>
          <w:noProof/>
          <w:sz w:val="24"/>
          <w:szCs w:val="24"/>
        </w:rPr>
        <w:t>Anaesthesia &amp; Intensive Care Medicine, 16</w:t>
      </w:r>
      <w:r w:rsidRPr="001E614D">
        <w:rPr>
          <w:rFonts w:ascii="Times New Roman" w:hAnsi="Times New Roman" w:cs="Times New Roman"/>
          <w:noProof/>
          <w:sz w:val="24"/>
          <w:szCs w:val="24"/>
        </w:rPr>
        <w:t xml:space="preserve">(12), 598-602. </w:t>
      </w:r>
    </w:p>
    <w:p w14:paraId="11F99726"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Vacaroiu, I. A., Cuiban, E., Geavlete, B. F., Gheorghita, V., David, C., Ene, C. V., . . . Balcangiu-Stroescu, A. E. (2022). Chronic kidney disease—an underestimated risk factor for antimicrobial resistance in patients with urinary tract infections. </w:t>
      </w:r>
      <w:r w:rsidRPr="001E614D">
        <w:rPr>
          <w:rFonts w:ascii="Times New Roman" w:hAnsi="Times New Roman" w:cs="Times New Roman"/>
          <w:i/>
          <w:noProof/>
          <w:sz w:val="24"/>
          <w:szCs w:val="24"/>
        </w:rPr>
        <w:t>Biomedicines, 10</w:t>
      </w:r>
      <w:r w:rsidRPr="001E614D">
        <w:rPr>
          <w:rFonts w:ascii="Times New Roman" w:hAnsi="Times New Roman" w:cs="Times New Roman"/>
          <w:noProof/>
          <w:sz w:val="24"/>
          <w:szCs w:val="24"/>
        </w:rPr>
        <w:t xml:space="preserve">(10), 2368. </w:t>
      </w:r>
    </w:p>
    <w:p w14:paraId="2F284F44"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Vassalotti, J. A., Centor, R., Turner, B. J., Greer, R. C., Choi, M., Sequist, T. D., &amp; Initiative, N. K. F. K. D. O. Q. (2016). Practical approach to detection and management of chronic kidney disease for the primary care clinician. </w:t>
      </w:r>
      <w:r w:rsidRPr="001E614D">
        <w:rPr>
          <w:rFonts w:ascii="Times New Roman" w:hAnsi="Times New Roman" w:cs="Times New Roman"/>
          <w:i/>
          <w:noProof/>
          <w:sz w:val="24"/>
          <w:szCs w:val="24"/>
        </w:rPr>
        <w:t>The American journal of medicine, 129</w:t>
      </w:r>
      <w:r w:rsidRPr="001E614D">
        <w:rPr>
          <w:rFonts w:ascii="Times New Roman" w:hAnsi="Times New Roman" w:cs="Times New Roman"/>
          <w:noProof/>
          <w:sz w:val="24"/>
          <w:szCs w:val="24"/>
        </w:rPr>
        <w:t xml:space="preserve">(2), 153-162. e157. </w:t>
      </w:r>
    </w:p>
    <w:p w14:paraId="3875C1F7"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Ventola, C. L. (2015). The antibiotic resistance crisis: part 1: causes and threats. </w:t>
      </w:r>
      <w:r w:rsidRPr="001E614D">
        <w:rPr>
          <w:rFonts w:ascii="Times New Roman" w:hAnsi="Times New Roman" w:cs="Times New Roman"/>
          <w:i/>
          <w:noProof/>
          <w:sz w:val="24"/>
          <w:szCs w:val="24"/>
        </w:rPr>
        <w:t>Pharmacy and therapeutics, 40</w:t>
      </w:r>
      <w:r w:rsidRPr="001E614D">
        <w:rPr>
          <w:rFonts w:ascii="Times New Roman" w:hAnsi="Times New Roman" w:cs="Times New Roman"/>
          <w:noProof/>
          <w:sz w:val="24"/>
          <w:szCs w:val="24"/>
        </w:rPr>
        <w:t xml:space="preserve">(4), 277. </w:t>
      </w:r>
    </w:p>
    <w:p w14:paraId="189EE78A"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Vilay, A. M. (2019). Antibiotic dosing in chronic kidney disease and end-stage renal disease: a focus on contemporary challenges. </w:t>
      </w:r>
      <w:r w:rsidRPr="001E614D">
        <w:rPr>
          <w:rFonts w:ascii="Times New Roman" w:hAnsi="Times New Roman" w:cs="Times New Roman"/>
          <w:i/>
          <w:noProof/>
          <w:sz w:val="24"/>
          <w:szCs w:val="24"/>
        </w:rPr>
        <w:t>Advances in Chronic Kidney Disease, 26</w:t>
      </w:r>
      <w:r w:rsidRPr="001E614D">
        <w:rPr>
          <w:rFonts w:ascii="Times New Roman" w:hAnsi="Times New Roman" w:cs="Times New Roman"/>
          <w:noProof/>
          <w:sz w:val="24"/>
          <w:szCs w:val="24"/>
        </w:rPr>
        <w:t xml:space="preserve">(1), 61-71. </w:t>
      </w:r>
    </w:p>
    <w:p w14:paraId="23256590"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Wanner, C., &amp; Tonelli, M. (2014). KDIGO Clinical Practice Guideline for Lipid Management in CKD: summary of recommendation statements and clinical approach to the patient. </w:t>
      </w:r>
      <w:r w:rsidRPr="001E614D">
        <w:rPr>
          <w:rFonts w:ascii="Times New Roman" w:hAnsi="Times New Roman" w:cs="Times New Roman"/>
          <w:i/>
          <w:noProof/>
          <w:sz w:val="24"/>
          <w:szCs w:val="24"/>
        </w:rPr>
        <w:t>Kidney international, 85</w:t>
      </w:r>
      <w:r w:rsidRPr="001E614D">
        <w:rPr>
          <w:rFonts w:ascii="Times New Roman" w:hAnsi="Times New Roman" w:cs="Times New Roman"/>
          <w:noProof/>
          <w:sz w:val="24"/>
          <w:szCs w:val="24"/>
        </w:rPr>
        <w:t xml:space="preserve">(6), 1303-1309. </w:t>
      </w:r>
    </w:p>
    <w:p w14:paraId="6CB60347"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Xia, J., Gao, J., &amp; Tang, W. (2016). Nosocomial infection and its molecular mechanisms of antibiotic resistance. </w:t>
      </w:r>
      <w:r w:rsidRPr="001E614D">
        <w:rPr>
          <w:rFonts w:ascii="Times New Roman" w:hAnsi="Times New Roman" w:cs="Times New Roman"/>
          <w:i/>
          <w:noProof/>
          <w:sz w:val="24"/>
          <w:szCs w:val="24"/>
        </w:rPr>
        <w:t>Bioscience trends, 10</w:t>
      </w:r>
      <w:r w:rsidRPr="001E614D">
        <w:rPr>
          <w:rFonts w:ascii="Times New Roman" w:hAnsi="Times New Roman" w:cs="Times New Roman"/>
          <w:noProof/>
          <w:sz w:val="24"/>
          <w:szCs w:val="24"/>
        </w:rPr>
        <w:t xml:space="preserve">(1), 14-21. </w:t>
      </w:r>
    </w:p>
    <w:p w14:paraId="1DA89CF4"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lastRenderedPageBreak/>
        <w:t xml:space="preserve">Yelin, I., &amp; Kishony, R. (2018). Antibiotic resistance. </w:t>
      </w:r>
      <w:r w:rsidRPr="001E614D">
        <w:rPr>
          <w:rFonts w:ascii="Times New Roman" w:hAnsi="Times New Roman" w:cs="Times New Roman"/>
          <w:i/>
          <w:noProof/>
          <w:sz w:val="24"/>
          <w:szCs w:val="24"/>
        </w:rPr>
        <w:t>Cell, 172</w:t>
      </w:r>
      <w:r w:rsidRPr="001E614D">
        <w:rPr>
          <w:rFonts w:ascii="Times New Roman" w:hAnsi="Times New Roman" w:cs="Times New Roman"/>
          <w:noProof/>
          <w:sz w:val="24"/>
          <w:szCs w:val="24"/>
        </w:rPr>
        <w:t xml:space="preserve">(5), 1136-1136. e1131. </w:t>
      </w:r>
    </w:p>
    <w:p w14:paraId="6899EE51" w14:textId="77777777" w:rsidR="004827C6" w:rsidRPr="001E614D" w:rsidRDefault="004827C6" w:rsidP="001E614D">
      <w:pPr>
        <w:pStyle w:val="EndNoteBibliography"/>
        <w:spacing w:line="360" w:lineRule="auto"/>
        <w:ind w:left="720" w:hanging="720"/>
        <w:rPr>
          <w:rFonts w:ascii="Times New Roman" w:hAnsi="Times New Roman" w:cs="Times New Roman"/>
          <w:noProof/>
          <w:sz w:val="24"/>
          <w:szCs w:val="24"/>
        </w:rPr>
      </w:pPr>
      <w:r w:rsidRPr="001E614D">
        <w:rPr>
          <w:rFonts w:ascii="Times New Roman" w:hAnsi="Times New Roman" w:cs="Times New Roman"/>
          <w:noProof/>
          <w:sz w:val="24"/>
          <w:szCs w:val="24"/>
        </w:rPr>
        <w:t xml:space="preserve">Zhou, Q., Gao, Y., Wang, X., Liu, R., Du, P., Wang, X., . . . Shi, Q. (2020). Nosocomial infections among patients with COVID-19, SARS and MERS: a rapid review and meta-analysis. </w:t>
      </w:r>
      <w:r w:rsidRPr="001E614D">
        <w:rPr>
          <w:rFonts w:ascii="Times New Roman" w:hAnsi="Times New Roman" w:cs="Times New Roman"/>
          <w:i/>
          <w:noProof/>
          <w:sz w:val="24"/>
          <w:szCs w:val="24"/>
        </w:rPr>
        <w:t>Annals of Translational Medicine, 8</w:t>
      </w:r>
      <w:r w:rsidRPr="001E614D">
        <w:rPr>
          <w:rFonts w:ascii="Times New Roman" w:hAnsi="Times New Roman" w:cs="Times New Roman"/>
          <w:noProof/>
          <w:sz w:val="24"/>
          <w:szCs w:val="24"/>
        </w:rPr>
        <w:t xml:space="preserve">(10). </w:t>
      </w:r>
    </w:p>
    <w:p w14:paraId="745883AC" w14:textId="77777777" w:rsidR="00A80278" w:rsidRPr="001E614D" w:rsidRDefault="00011F94" w:rsidP="001E614D">
      <w:pPr>
        <w:spacing w:line="360" w:lineRule="auto"/>
        <w:jc w:val="both"/>
        <w:rPr>
          <w:rFonts w:ascii="Times New Roman" w:hAnsi="Times New Roman" w:cs="Times New Roman"/>
          <w:sz w:val="24"/>
          <w:szCs w:val="24"/>
        </w:rPr>
      </w:pPr>
      <w:r w:rsidRPr="001E614D">
        <w:rPr>
          <w:rFonts w:ascii="Times New Roman" w:hAnsi="Times New Roman" w:cs="Times New Roman"/>
          <w:sz w:val="24"/>
          <w:szCs w:val="24"/>
        </w:rPr>
        <w:fldChar w:fldCharType="end"/>
      </w:r>
    </w:p>
    <w:sectPr w:rsidR="00A80278" w:rsidRPr="001E61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366AD" w14:textId="77777777" w:rsidR="00FE30EA" w:rsidRDefault="00FE30EA" w:rsidP="005235EC">
      <w:pPr>
        <w:spacing w:after="0" w:line="240" w:lineRule="auto"/>
      </w:pPr>
      <w:r>
        <w:separator/>
      </w:r>
    </w:p>
  </w:endnote>
  <w:endnote w:type="continuationSeparator" w:id="0">
    <w:p w14:paraId="6BF22914" w14:textId="77777777" w:rsidR="00FE30EA" w:rsidRDefault="00FE30EA" w:rsidP="0052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92C9C" w14:textId="77777777" w:rsidR="00BC5CB4" w:rsidRDefault="00BC5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0F852" w14:textId="77777777" w:rsidR="00BC5CB4" w:rsidRDefault="00BC5C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AB28A" w14:textId="77777777" w:rsidR="00BC5CB4" w:rsidRDefault="00BC5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BCF93" w14:textId="77777777" w:rsidR="00FE30EA" w:rsidRDefault="00FE30EA" w:rsidP="005235EC">
      <w:pPr>
        <w:spacing w:after="0" w:line="240" w:lineRule="auto"/>
      </w:pPr>
      <w:r>
        <w:separator/>
      </w:r>
    </w:p>
  </w:footnote>
  <w:footnote w:type="continuationSeparator" w:id="0">
    <w:p w14:paraId="5310A6A9" w14:textId="77777777" w:rsidR="00FE30EA" w:rsidRDefault="00FE30EA" w:rsidP="00523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4F08B" w14:textId="0E6FE05B" w:rsidR="00BC5CB4" w:rsidRDefault="00BC5CB4">
    <w:pPr>
      <w:pStyle w:val="Header"/>
    </w:pPr>
    <w:r>
      <w:rPr>
        <w:noProof/>
      </w:rPr>
      <w:pict w14:anchorId="4DCB6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567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E94F8" w14:textId="1AA4AE88" w:rsidR="00BC5CB4" w:rsidRDefault="00BC5CB4">
    <w:pPr>
      <w:pStyle w:val="Header"/>
    </w:pPr>
    <w:r>
      <w:rPr>
        <w:noProof/>
      </w:rPr>
      <w:pict w14:anchorId="5FC4C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567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C06ED" w14:textId="3F2D93FA" w:rsidR="00BC5CB4" w:rsidRDefault="00BC5CB4">
    <w:pPr>
      <w:pStyle w:val="Header"/>
    </w:pPr>
    <w:r>
      <w:rPr>
        <w:noProof/>
      </w:rPr>
      <w:pict w14:anchorId="52270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567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F5D1F"/>
    <w:multiLevelType w:val="hybridMultilevel"/>
    <w:tmpl w:val="956E0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t2exae0qv2t5meds5xxawr9ed5vrfdxvezw&quot;&gt;My EndNote Library&lt;record-ids&gt;&lt;item&gt;615&lt;/item&gt;&lt;item&gt;616&lt;/item&gt;&lt;item&gt;617&lt;/item&gt;&lt;item&gt;618&lt;/item&gt;&lt;item&gt;619&lt;/item&gt;&lt;item&gt;620&lt;/item&gt;&lt;item&gt;621&lt;/item&gt;&lt;item&gt;622&lt;/item&gt;&lt;item&gt;623&lt;/item&gt;&lt;item&gt;624&lt;/item&gt;&lt;item&gt;625&lt;/item&gt;&lt;item&gt;626&lt;/item&gt;&lt;item&gt;627&lt;/item&gt;&lt;item&gt;628&lt;/item&gt;&lt;item&gt;629&lt;/item&gt;&lt;item&gt;630&lt;/item&gt;&lt;item&gt;631&lt;/item&gt;&lt;item&gt;632&lt;/item&gt;&lt;item&gt;633&lt;/item&gt;&lt;item&gt;634&lt;/item&gt;&lt;item&gt;635&lt;/item&gt;&lt;item&gt;636&lt;/item&gt;&lt;item&gt;637&lt;/item&gt;&lt;item&gt;638&lt;/item&gt;&lt;item&gt;639&lt;/item&gt;&lt;item&gt;640&lt;/item&gt;&lt;item&gt;641&lt;/item&gt;&lt;item&gt;642&lt;/item&gt;&lt;item&gt;643&lt;/item&gt;&lt;item&gt;644&lt;/item&gt;&lt;item&gt;645&lt;/item&gt;&lt;item&gt;646&lt;/item&gt;&lt;item&gt;647&lt;/item&gt;&lt;item&gt;648&lt;/item&gt;&lt;item&gt;649&lt;/item&gt;&lt;item&gt;650&lt;/item&gt;&lt;item&gt;651&lt;/item&gt;&lt;item&gt;652&lt;/item&gt;&lt;item&gt;653&lt;/item&gt;&lt;item&gt;654&lt;/item&gt;&lt;item&gt;655&lt;/item&gt;&lt;item&gt;656&lt;/item&gt;&lt;item&gt;657&lt;/item&gt;&lt;item&gt;658&lt;/item&gt;&lt;item&gt;659&lt;/item&gt;&lt;item&gt;660&lt;/item&gt;&lt;item&gt;661&lt;/item&gt;&lt;item&gt;662&lt;/item&gt;&lt;item&gt;663&lt;/item&gt;&lt;item&gt;664&lt;/item&gt;&lt;item&gt;665&lt;/item&gt;&lt;item&gt;666&lt;/item&gt;&lt;item&gt;667&lt;/item&gt;&lt;item&gt;668&lt;/item&gt;&lt;item&gt;669&lt;/item&gt;&lt;item&gt;670&lt;/item&gt;&lt;item&gt;671&lt;/item&gt;&lt;item&gt;672&lt;/item&gt;&lt;item&gt;673&lt;/item&gt;&lt;item&gt;674&lt;/item&gt;&lt;item&gt;675&lt;/item&gt;&lt;item&gt;676&lt;/item&gt;&lt;item&gt;677&lt;/item&gt;&lt;item&gt;678&lt;/item&gt;&lt;item&gt;679&lt;/item&gt;&lt;item&gt;680&lt;/item&gt;&lt;item&gt;681&lt;/item&gt;&lt;item&gt;682&lt;/item&gt;&lt;item&gt;683&lt;/item&gt;&lt;item&gt;684&lt;/item&gt;&lt;item&gt;685&lt;/item&gt;&lt;item&gt;686&lt;/item&gt;&lt;item&gt;687&lt;/item&gt;&lt;item&gt;688&lt;/item&gt;&lt;item&gt;689&lt;/item&gt;&lt;item&gt;690&lt;/item&gt;&lt;item&gt;691&lt;/item&gt;&lt;item&gt;692&lt;/item&gt;&lt;item&gt;693&lt;/item&gt;&lt;item&gt;694&lt;/item&gt;&lt;item&gt;695&lt;/item&gt;&lt;item&gt;696&lt;/item&gt;&lt;item&gt;697&lt;/item&gt;&lt;item&gt;698&lt;/item&gt;&lt;item&gt;699&lt;/item&gt;&lt;item&gt;700&lt;/item&gt;&lt;item&gt;701&lt;/item&gt;&lt;item&gt;702&lt;/item&gt;&lt;item&gt;703&lt;/item&gt;&lt;item&gt;704&lt;/item&gt;&lt;item&gt;705&lt;/item&gt;&lt;item&gt;706&lt;/item&gt;&lt;item&gt;707&lt;/item&gt;&lt;item&gt;708&lt;/item&gt;&lt;item&gt;709&lt;/item&gt;&lt;/record-ids&gt;&lt;/item&gt;&lt;/Libraries&gt;"/>
  </w:docVars>
  <w:rsids>
    <w:rsidRoot w:val="000547F1"/>
    <w:rsid w:val="00011F94"/>
    <w:rsid w:val="000547F1"/>
    <w:rsid w:val="000F4BAF"/>
    <w:rsid w:val="0014530E"/>
    <w:rsid w:val="00147A0D"/>
    <w:rsid w:val="001E614D"/>
    <w:rsid w:val="002111CB"/>
    <w:rsid w:val="00241DB3"/>
    <w:rsid w:val="002B4213"/>
    <w:rsid w:val="002B72FB"/>
    <w:rsid w:val="002C202B"/>
    <w:rsid w:val="00356B8E"/>
    <w:rsid w:val="003A5183"/>
    <w:rsid w:val="003D1548"/>
    <w:rsid w:val="0041409D"/>
    <w:rsid w:val="004231AB"/>
    <w:rsid w:val="004827C6"/>
    <w:rsid w:val="005214CD"/>
    <w:rsid w:val="005235EC"/>
    <w:rsid w:val="005312EF"/>
    <w:rsid w:val="00565A1C"/>
    <w:rsid w:val="00571C71"/>
    <w:rsid w:val="005E55DD"/>
    <w:rsid w:val="005F084B"/>
    <w:rsid w:val="006675D5"/>
    <w:rsid w:val="006F564A"/>
    <w:rsid w:val="007249D4"/>
    <w:rsid w:val="00750F2C"/>
    <w:rsid w:val="007D4B03"/>
    <w:rsid w:val="007F4DAC"/>
    <w:rsid w:val="00841140"/>
    <w:rsid w:val="008910D8"/>
    <w:rsid w:val="008E1CE8"/>
    <w:rsid w:val="00915364"/>
    <w:rsid w:val="00970511"/>
    <w:rsid w:val="00984B71"/>
    <w:rsid w:val="00987A80"/>
    <w:rsid w:val="00993E73"/>
    <w:rsid w:val="00A650A2"/>
    <w:rsid w:val="00A736D2"/>
    <w:rsid w:val="00A80278"/>
    <w:rsid w:val="00AA261B"/>
    <w:rsid w:val="00AB0ED8"/>
    <w:rsid w:val="00AD6016"/>
    <w:rsid w:val="00B12549"/>
    <w:rsid w:val="00B67725"/>
    <w:rsid w:val="00BA7407"/>
    <w:rsid w:val="00BC5CB4"/>
    <w:rsid w:val="00BC785A"/>
    <w:rsid w:val="00BD3416"/>
    <w:rsid w:val="00C01A73"/>
    <w:rsid w:val="00C451AA"/>
    <w:rsid w:val="00C56EB2"/>
    <w:rsid w:val="00CB7A9D"/>
    <w:rsid w:val="00CC22EC"/>
    <w:rsid w:val="00D20680"/>
    <w:rsid w:val="00E3745E"/>
    <w:rsid w:val="00F325FB"/>
    <w:rsid w:val="00F42376"/>
    <w:rsid w:val="00F46FDD"/>
    <w:rsid w:val="00F52871"/>
    <w:rsid w:val="00F67B0D"/>
    <w:rsid w:val="00FE3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38564B"/>
  <w15:docId w15:val="{F86F707D-4666-4BCB-94D6-49C850B6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D15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235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35EC"/>
    <w:rPr>
      <w:sz w:val="20"/>
      <w:szCs w:val="20"/>
    </w:rPr>
  </w:style>
  <w:style w:type="character" w:styleId="FootnoteReference">
    <w:name w:val="footnote reference"/>
    <w:basedOn w:val="DefaultParagraphFont"/>
    <w:uiPriority w:val="99"/>
    <w:semiHidden/>
    <w:unhideWhenUsed/>
    <w:rsid w:val="005235EC"/>
    <w:rPr>
      <w:vertAlign w:val="superscript"/>
    </w:rPr>
  </w:style>
  <w:style w:type="character" w:styleId="PlaceholderText">
    <w:name w:val="Placeholder Text"/>
    <w:basedOn w:val="DefaultParagraphFont"/>
    <w:uiPriority w:val="99"/>
    <w:semiHidden/>
    <w:rsid w:val="00A80278"/>
    <w:rPr>
      <w:color w:val="808080"/>
    </w:rPr>
  </w:style>
  <w:style w:type="paragraph" w:styleId="BalloonText">
    <w:name w:val="Balloon Text"/>
    <w:basedOn w:val="Normal"/>
    <w:link w:val="BalloonTextChar"/>
    <w:uiPriority w:val="99"/>
    <w:semiHidden/>
    <w:unhideWhenUsed/>
    <w:rsid w:val="00987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A80"/>
    <w:rPr>
      <w:rFonts w:ascii="Tahoma" w:hAnsi="Tahoma" w:cs="Tahoma"/>
      <w:sz w:val="16"/>
      <w:szCs w:val="16"/>
    </w:rPr>
  </w:style>
  <w:style w:type="character" w:styleId="Hyperlink">
    <w:name w:val="Hyperlink"/>
    <w:basedOn w:val="DefaultParagraphFont"/>
    <w:semiHidden/>
    <w:unhideWhenUsed/>
    <w:rsid w:val="00987A80"/>
    <w:rPr>
      <w:color w:val="0000FF"/>
      <w:u w:val="single"/>
    </w:rPr>
  </w:style>
  <w:style w:type="paragraph" w:customStyle="1" w:styleId="EndNoteBibliography">
    <w:name w:val="EndNote Bibliography"/>
    <w:rsid w:val="00987A80"/>
    <w:pPr>
      <w:spacing w:after="0" w:line="240" w:lineRule="auto"/>
      <w:jc w:val="both"/>
    </w:pPr>
    <w:rPr>
      <w:rFonts w:ascii="Calibri" w:eastAsiaTheme="minorEastAsia" w:hAnsi="Calibri" w:cs="Calibri"/>
      <w:szCs w:val="20"/>
      <w:lang w:eastAsia="zh-CN"/>
    </w:rPr>
  </w:style>
  <w:style w:type="paragraph" w:styleId="ListParagraph">
    <w:name w:val="List Paragraph"/>
    <w:basedOn w:val="Normal"/>
    <w:uiPriority w:val="34"/>
    <w:qFormat/>
    <w:rsid w:val="00F67B0D"/>
    <w:pPr>
      <w:ind w:left="720"/>
      <w:contextualSpacing/>
    </w:pPr>
    <w:rPr>
      <w:kern w:val="2"/>
      <w14:ligatures w14:val="standardContextual"/>
    </w:rPr>
  </w:style>
  <w:style w:type="character" w:customStyle="1" w:styleId="Heading1Char">
    <w:name w:val="Heading 1 Char"/>
    <w:basedOn w:val="DefaultParagraphFont"/>
    <w:link w:val="Heading1"/>
    <w:uiPriority w:val="9"/>
    <w:rsid w:val="003D154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D15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0F4BAF"/>
  </w:style>
  <w:style w:type="paragraph" w:customStyle="1" w:styleId="EndNoteBibliographyTitle">
    <w:name w:val="EndNote Bibliography Title"/>
    <w:basedOn w:val="Normal"/>
    <w:link w:val="EndNoteBibliographyTitleChar"/>
    <w:rsid w:val="00011F9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11F94"/>
    <w:rPr>
      <w:rFonts w:ascii="Calibri" w:hAnsi="Calibri" w:cs="Calibri"/>
      <w:noProof/>
    </w:rPr>
  </w:style>
  <w:style w:type="paragraph" w:styleId="Header">
    <w:name w:val="header"/>
    <w:basedOn w:val="Normal"/>
    <w:link w:val="HeaderChar"/>
    <w:uiPriority w:val="99"/>
    <w:unhideWhenUsed/>
    <w:rsid w:val="00571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71"/>
  </w:style>
  <w:style w:type="paragraph" w:styleId="Footer">
    <w:name w:val="footer"/>
    <w:basedOn w:val="Normal"/>
    <w:link w:val="FooterChar"/>
    <w:uiPriority w:val="99"/>
    <w:unhideWhenUsed/>
    <w:rsid w:val="00571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88627">
      <w:bodyDiv w:val="1"/>
      <w:marLeft w:val="0"/>
      <w:marRight w:val="0"/>
      <w:marTop w:val="0"/>
      <w:marBottom w:val="0"/>
      <w:divBdr>
        <w:top w:val="none" w:sz="0" w:space="0" w:color="auto"/>
        <w:left w:val="none" w:sz="0" w:space="0" w:color="auto"/>
        <w:bottom w:val="none" w:sz="0" w:space="0" w:color="auto"/>
        <w:right w:val="none" w:sz="0" w:space="0" w:color="auto"/>
      </w:divBdr>
      <w:divsChild>
        <w:div w:id="1167327542">
          <w:marLeft w:val="0"/>
          <w:marRight w:val="0"/>
          <w:marTop w:val="0"/>
          <w:marBottom w:val="0"/>
          <w:divBdr>
            <w:top w:val="none" w:sz="0" w:space="0" w:color="auto"/>
            <w:left w:val="none" w:sz="0" w:space="0" w:color="auto"/>
            <w:bottom w:val="none" w:sz="0" w:space="0" w:color="auto"/>
            <w:right w:val="none" w:sz="0" w:space="0" w:color="auto"/>
          </w:divBdr>
          <w:divsChild>
            <w:div w:id="1430391914">
              <w:marLeft w:val="0"/>
              <w:marRight w:val="0"/>
              <w:marTop w:val="0"/>
              <w:marBottom w:val="0"/>
              <w:divBdr>
                <w:top w:val="none" w:sz="0" w:space="0" w:color="auto"/>
                <w:left w:val="none" w:sz="0" w:space="0" w:color="auto"/>
                <w:bottom w:val="none" w:sz="0" w:space="0" w:color="auto"/>
                <w:right w:val="none" w:sz="0" w:space="0" w:color="auto"/>
              </w:divBdr>
              <w:divsChild>
                <w:div w:id="760101364">
                  <w:marLeft w:val="0"/>
                  <w:marRight w:val="0"/>
                  <w:marTop w:val="0"/>
                  <w:marBottom w:val="0"/>
                  <w:divBdr>
                    <w:top w:val="none" w:sz="0" w:space="0" w:color="auto"/>
                    <w:left w:val="none" w:sz="0" w:space="0" w:color="auto"/>
                    <w:bottom w:val="none" w:sz="0" w:space="0" w:color="auto"/>
                    <w:right w:val="none" w:sz="0" w:space="0" w:color="auto"/>
                  </w:divBdr>
                  <w:divsChild>
                    <w:div w:id="5739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219">
      <w:bodyDiv w:val="1"/>
      <w:marLeft w:val="0"/>
      <w:marRight w:val="0"/>
      <w:marTop w:val="0"/>
      <w:marBottom w:val="0"/>
      <w:divBdr>
        <w:top w:val="none" w:sz="0" w:space="0" w:color="auto"/>
        <w:left w:val="none" w:sz="0" w:space="0" w:color="auto"/>
        <w:bottom w:val="none" w:sz="0" w:space="0" w:color="auto"/>
        <w:right w:val="none" w:sz="0" w:space="0" w:color="auto"/>
      </w:divBdr>
      <w:divsChild>
        <w:div w:id="294215789">
          <w:marLeft w:val="480"/>
          <w:marRight w:val="0"/>
          <w:marTop w:val="0"/>
          <w:marBottom w:val="0"/>
          <w:divBdr>
            <w:top w:val="none" w:sz="0" w:space="0" w:color="auto"/>
            <w:left w:val="none" w:sz="0" w:space="0" w:color="auto"/>
            <w:bottom w:val="none" w:sz="0" w:space="0" w:color="auto"/>
            <w:right w:val="none" w:sz="0" w:space="0" w:color="auto"/>
          </w:divBdr>
        </w:div>
        <w:div w:id="1357268213">
          <w:marLeft w:val="480"/>
          <w:marRight w:val="0"/>
          <w:marTop w:val="0"/>
          <w:marBottom w:val="0"/>
          <w:divBdr>
            <w:top w:val="none" w:sz="0" w:space="0" w:color="auto"/>
            <w:left w:val="none" w:sz="0" w:space="0" w:color="auto"/>
            <w:bottom w:val="none" w:sz="0" w:space="0" w:color="auto"/>
            <w:right w:val="none" w:sz="0" w:space="0" w:color="auto"/>
          </w:divBdr>
        </w:div>
        <w:div w:id="2074355611">
          <w:marLeft w:val="480"/>
          <w:marRight w:val="0"/>
          <w:marTop w:val="0"/>
          <w:marBottom w:val="0"/>
          <w:divBdr>
            <w:top w:val="none" w:sz="0" w:space="0" w:color="auto"/>
            <w:left w:val="none" w:sz="0" w:space="0" w:color="auto"/>
            <w:bottom w:val="none" w:sz="0" w:space="0" w:color="auto"/>
            <w:right w:val="none" w:sz="0" w:space="0" w:color="auto"/>
          </w:divBdr>
        </w:div>
        <w:div w:id="1936668176">
          <w:marLeft w:val="480"/>
          <w:marRight w:val="0"/>
          <w:marTop w:val="0"/>
          <w:marBottom w:val="0"/>
          <w:divBdr>
            <w:top w:val="none" w:sz="0" w:space="0" w:color="auto"/>
            <w:left w:val="none" w:sz="0" w:space="0" w:color="auto"/>
            <w:bottom w:val="none" w:sz="0" w:space="0" w:color="auto"/>
            <w:right w:val="none" w:sz="0" w:space="0" w:color="auto"/>
          </w:divBdr>
        </w:div>
        <w:div w:id="643852368">
          <w:marLeft w:val="480"/>
          <w:marRight w:val="0"/>
          <w:marTop w:val="0"/>
          <w:marBottom w:val="0"/>
          <w:divBdr>
            <w:top w:val="none" w:sz="0" w:space="0" w:color="auto"/>
            <w:left w:val="none" w:sz="0" w:space="0" w:color="auto"/>
            <w:bottom w:val="none" w:sz="0" w:space="0" w:color="auto"/>
            <w:right w:val="none" w:sz="0" w:space="0" w:color="auto"/>
          </w:divBdr>
        </w:div>
        <w:div w:id="1771269625">
          <w:marLeft w:val="480"/>
          <w:marRight w:val="0"/>
          <w:marTop w:val="0"/>
          <w:marBottom w:val="0"/>
          <w:divBdr>
            <w:top w:val="none" w:sz="0" w:space="0" w:color="auto"/>
            <w:left w:val="none" w:sz="0" w:space="0" w:color="auto"/>
            <w:bottom w:val="none" w:sz="0" w:space="0" w:color="auto"/>
            <w:right w:val="none" w:sz="0" w:space="0" w:color="auto"/>
          </w:divBdr>
        </w:div>
      </w:divsChild>
    </w:div>
    <w:div w:id="254941347">
      <w:bodyDiv w:val="1"/>
      <w:marLeft w:val="0"/>
      <w:marRight w:val="0"/>
      <w:marTop w:val="0"/>
      <w:marBottom w:val="0"/>
      <w:divBdr>
        <w:top w:val="none" w:sz="0" w:space="0" w:color="auto"/>
        <w:left w:val="none" w:sz="0" w:space="0" w:color="auto"/>
        <w:bottom w:val="none" w:sz="0" w:space="0" w:color="auto"/>
        <w:right w:val="none" w:sz="0" w:space="0" w:color="auto"/>
      </w:divBdr>
      <w:divsChild>
        <w:div w:id="1767650336">
          <w:marLeft w:val="480"/>
          <w:marRight w:val="0"/>
          <w:marTop w:val="0"/>
          <w:marBottom w:val="0"/>
          <w:divBdr>
            <w:top w:val="none" w:sz="0" w:space="0" w:color="auto"/>
            <w:left w:val="none" w:sz="0" w:space="0" w:color="auto"/>
            <w:bottom w:val="none" w:sz="0" w:space="0" w:color="auto"/>
            <w:right w:val="none" w:sz="0" w:space="0" w:color="auto"/>
          </w:divBdr>
        </w:div>
        <w:div w:id="929464121">
          <w:marLeft w:val="480"/>
          <w:marRight w:val="0"/>
          <w:marTop w:val="0"/>
          <w:marBottom w:val="0"/>
          <w:divBdr>
            <w:top w:val="none" w:sz="0" w:space="0" w:color="auto"/>
            <w:left w:val="none" w:sz="0" w:space="0" w:color="auto"/>
            <w:bottom w:val="none" w:sz="0" w:space="0" w:color="auto"/>
            <w:right w:val="none" w:sz="0" w:space="0" w:color="auto"/>
          </w:divBdr>
        </w:div>
        <w:div w:id="1271939757">
          <w:marLeft w:val="480"/>
          <w:marRight w:val="0"/>
          <w:marTop w:val="0"/>
          <w:marBottom w:val="0"/>
          <w:divBdr>
            <w:top w:val="none" w:sz="0" w:space="0" w:color="auto"/>
            <w:left w:val="none" w:sz="0" w:space="0" w:color="auto"/>
            <w:bottom w:val="none" w:sz="0" w:space="0" w:color="auto"/>
            <w:right w:val="none" w:sz="0" w:space="0" w:color="auto"/>
          </w:divBdr>
        </w:div>
        <w:div w:id="39717671">
          <w:marLeft w:val="480"/>
          <w:marRight w:val="0"/>
          <w:marTop w:val="0"/>
          <w:marBottom w:val="0"/>
          <w:divBdr>
            <w:top w:val="none" w:sz="0" w:space="0" w:color="auto"/>
            <w:left w:val="none" w:sz="0" w:space="0" w:color="auto"/>
            <w:bottom w:val="none" w:sz="0" w:space="0" w:color="auto"/>
            <w:right w:val="none" w:sz="0" w:space="0" w:color="auto"/>
          </w:divBdr>
        </w:div>
        <w:div w:id="1710837070">
          <w:marLeft w:val="480"/>
          <w:marRight w:val="0"/>
          <w:marTop w:val="0"/>
          <w:marBottom w:val="0"/>
          <w:divBdr>
            <w:top w:val="none" w:sz="0" w:space="0" w:color="auto"/>
            <w:left w:val="none" w:sz="0" w:space="0" w:color="auto"/>
            <w:bottom w:val="none" w:sz="0" w:space="0" w:color="auto"/>
            <w:right w:val="none" w:sz="0" w:space="0" w:color="auto"/>
          </w:divBdr>
        </w:div>
        <w:div w:id="1068504538">
          <w:marLeft w:val="480"/>
          <w:marRight w:val="0"/>
          <w:marTop w:val="0"/>
          <w:marBottom w:val="0"/>
          <w:divBdr>
            <w:top w:val="none" w:sz="0" w:space="0" w:color="auto"/>
            <w:left w:val="none" w:sz="0" w:space="0" w:color="auto"/>
            <w:bottom w:val="none" w:sz="0" w:space="0" w:color="auto"/>
            <w:right w:val="none" w:sz="0" w:space="0" w:color="auto"/>
          </w:divBdr>
        </w:div>
        <w:div w:id="1231424139">
          <w:marLeft w:val="480"/>
          <w:marRight w:val="0"/>
          <w:marTop w:val="0"/>
          <w:marBottom w:val="0"/>
          <w:divBdr>
            <w:top w:val="none" w:sz="0" w:space="0" w:color="auto"/>
            <w:left w:val="none" w:sz="0" w:space="0" w:color="auto"/>
            <w:bottom w:val="none" w:sz="0" w:space="0" w:color="auto"/>
            <w:right w:val="none" w:sz="0" w:space="0" w:color="auto"/>
          </w:divBdr>
        </w:div>
      </w:divsChild>
    </w:div>
    <w:div w:id="741485272">
      <w:bodyDiv w:val="1"/>
      <w:marLeft w:val="0"/>
      <w:marRight w:val="0"/>
      <w:marTop w:val="0"/>
      <w:marBottom w:val="0"/>
      <w:divBdr>
        <w:top w:val="none" w:sz="0" w:space="0" w:color="auto"/>
        <w:left w:val="none" w:sz="0" w:space="0" w:color="auto"/>
        <w:bottom w:val="none" w:sz="0" w:space="0" w:color="auto"/>
        <w:right w:val="none" w:sz="0" w:space="0" w:color="auto"/>
      </w:divBdr>
    </w:div>
    <w:div w:id="971328521">
      <w:bodyDiv w:val="1"/>
      <w:marLeft w:val="0"/>
      <w:marRight w:val="0"/>
      <w:marTop w:val="0"/>
      <w:marBottom w:val="0"/>
      <w:divBdr>
        <w:top w:val="none" w:sz="0" w:space="0" w:color="auto"/>
        <w:left w:val="none" w:sz="0" w:space="0" w:color="auto"/>
        <w:bottom w:val="none" w:sz="0" w:space="0" w:color="auto"/>
        <w:right w:val="none" w:sz="0" w:space="0" w:color="auto"/>
      </w:divBdr>
      <w:divsChild>
        <w:div w:id="1705980718">
          <w:marLeft w:val="480"/>
          <w:marRight w:val="0"/>
          <w:marTop w:val="0"/>
          <w:marBottom w:val="0"/>
          <w:divBdr>
            <w:top w:val="none" w:sz="0" w:space="0" w:color="auto"/>
            <w:left w:val="none" w:sz="0" w:space="0" w:color="auto"/>
            <w:bottom w:val="none" w:sz="0" w:space="0" w:color="auto"/>
            <w:right w:val="none" w:sz="0" w:space="0" w:color="auto"/>
          </w:divBdr>
        </w:div>
        <w:div w:id="2124374466">
          <w:marLeft w:val="480"/>
          <w:marRight w:val="0"/>
          <w:marTop w:val="0"/>
          <w:marBottom w:val="0"/>
          <w:divBdr>
            <w:top w:val="none" w:sz="0" w:space="0" w:color="auto"/>
            <w:left w:val="none" w:sz="0" w:space="0" w:color="auto"/>
            <w:bottom w:val="none" w:sz="0" w:space="0" w:color="auto"/>
            <w:right w:val="none" w:sz="0" w:space="0" w:color="auto"/>
          </w:divBdr>
        </w:div>
        <w:div w:id="1748570329">
          <w:marLeft w:val="480"/>
          <w:marRight w:val="0"/>
          <w:marTop w:val="0"/>
          <w:marBottom w:val="0"/>
          <w:divBdr>
            <w:top w:val="none" w:sz="0" w:space="0" w:color="auto"/>
            <w:left w:val="none" w:sz="0" w:space="0" w:color="auto"/>
            <w:bottom w:val="none" w:sz="0" w:space="0" w:color="auto"/>
            <w:right w:val="none" w:sz="0" w:space="0" w:color="auto"/>
          </w:divBdr>
        </w:div>
        <w:div w:id="1472550587">
          <w:marLeft w:val="480"/>
          <w:marRight w:val="0"/>
          <w:marTop w:val="0"/>
          <w:marBottom w:val="0"/>
          <w:divBdr>
            <w:top w:val="none" w:sz="0" w:space="0" w:color="auto"/>
            <w:left w:val="none" w:sz="0" w:space="0" w:color="auto"/>
            <w:bottom w:val="none" w:sz="0" w:space="0" w:color="auto"/>
            <w:right w:val="none" w:sz="0" w:space="0" w:color="auto"/>
          </w:divBdr>
        </w:div>
        <w:div w:id="1408265491">
          <w:marLeft w:val="480"/>
          <w:marRight w:val="0"/>
          <w:marTop w:val="0"/>
          <w:marBottom w:val="0"/>
          <w:divBdr>
            <w:top w:val="none" w:sz="0" w:space="0" w:color="auto"/>
            <w:left w:val="none" w:sz="0" w:space="0" w:color="auto"/>
            <w:bottom w:val="none" w:sz="0" w:space="0" w:color="auto"/>
            <w:right w:val="none" w:sz="0" w:space="0" w:color="auto"/>
          </w:divBdr>
        </w:div>
        <w:div w:id="150029682">
          <w:marLeft w:val="480"/>
          <w:marRight w:val="0"/>
          <w:marTop w:val="0"/>
          <w:marBottom w:val="0"/>
          <w:divBdr>
            <w:top w:val="none" w:sz="0" w:space="0" w:color="auto"/>
            <w:left w:val="none" w:sz="0" w:space="0" w:color="auto"/>
            <w:bottom w:val="none" w:sz="0" w:space="0" w:color="auto"/>
            <w:right w:val="none" w:sz="0" w:space="0" w:color="auto"/>
          </w:divBdr>
        </w:div>
      </w:divsChild>
    </w:div>
    <w:div w:id="1051729412">
      <w:bodyDiv w:val="1"/>
      <w:marLeft w:val="0"/>
      <w:marRight w:val="0"/>
      <w:marTop w:val="0"/>
      <w:marBottom w:val="0"/>
      <w:divBdr>
        <w:top w:val="none" w:sz="0" w:space="0" w:color="auto"/>
        <w:left w:val="none" w:sz="0" w:space="0" w:color="auto"/>
        <w:bottom w:val="none" w:sz="0" w:space="0" w:color="auto"/>
        <w:right w:val="none" w:sz="0" w:space="0" w:color="auto"/>
      </w:divBdr>
    </w:div>
    <w:div w:id="1066605737">
      <w:bodyDiv w:val="1"/>
      <w:marLeft w:val="0"/>
      <w:marRight w:val="0"/>
      <w:marTop w:val="0"/>
      <w:marBottom w:val="0"/>
      <w:divBdr>
        <w:top w:val="none" w:sz="0" w:space="0" w:color="auto"/>
        <w:left w:val="none" w:sz="0" w:space="0" w:color="auto"/>
        <w:bottom w:val="none" w:sz="0" w:space="0" w:color="auto"/>
        <w:right w:val="none" w:sz="0" w:space="0" w:color="auto"/>
      </w:divBdr>
    </w:div>
    <w:div w:id="1360933212">
      <w:bodyDiv w:val="1"/>
      <w:marLeft w:val="0"/>
      <w:marRight w:val="0"/>
      <w:marTop w:val="0"/>
      <w:marBottom w:val="0"/>
      <w:divBdr>
        <w:top w:val="none" w:sz="0" w:space="0" w:color="auto"/>
        <w:left w:val="none" w:sz="0" w:space="0" w:color="auto"/>
        <w:bottom w:val="none" w:sz="0" w:space="0" w:color="auto"/>
        <w:right w:val="none" w:sz="0" w:space="0" w:color="auto"/>
      </w:divBdr>
      <w:divsChild>
        <w:div w:id="268784057">
          <w:marLeft w:val="0"/>
          <w:marRight w:val="0"/>
          <w:marTop w:val="0"/>
          <w:marBottom w:val="0"/>
          <w:divBdr>
            <w:top w:val="none" w:sz="0" w:space="0" w:color="auto"/>
            <w:left w:val="none" w:sz="0" w:space="0" w:color="auto"/>
            <w:bottom w:val="none" w:sz="0" w:space="0" w:color="auto"/>
            <w:right w:val="none" w:sz="0" w:space="0" w:color="auto"/>
          </w:divBdr>
          <w:divsChild>
            <w:div w:id="612059371">
              <w:marLeft w:val="0"/>
              <w:marRight w:val="0"/>
              <w:marTop w:val="0"/>
              <w:marBottom w:val="0"/>
              <w:divBdr>
                <w:top w:val="none" w:sz="0" w:space="0" w:color="auto"/>
                <w:left w:val="none" w:sz="0" w:space="0" w:color="auto"/>
                <w:bottom w:val="none" w:sz="0" w:space="0" w:color="auto"/>
                <w:right w:val="none" w:sz="0" w:space="0" w:color="auto"/>
              </w:divBdr>
              <w:divsChild>
                <w:div w:id="379717120">
                  <w:marLeft w:val="0"/>
                  <w:marRight w:val="0"/>
                  <w:marTop w:val="0"/>
                  <w:marBottom w:val="0"/>
                  <w:divBdr>
                    <w:top w:val="none" w:sz="0" w:space="0" w:color="auto"/>
                    <w:left w:val="none" w:sz="0" w:space="0" w:color="auto"/>
                    <w:bottom w:val="none" w:sz="0" w:space="0" w:color="auto"/>
                    <w:right w:val="none" w:sz="0" w:space="0" w:color="auto"/>
                  </w:divBdr>
                  <w:divsChild>
                    <w:div w:id="13676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0414">
          <w:marLeft w:val="0"/>
          <w:marRight w:val="0"/>
          <w:marTop w:val="0"/>
          <w:marBottom w:val="0"/>
          <w:divBdr>
            <w:top w:val="none" w:sz="0" w:space="0" w:color="auto"/>
            <w:left w:val="none" w:sz="0" w:space="0" w:color="auto"/>
            <w:bottom w:val="none" w:sz="0" w:space="0" w:color="auto"/>
            <w:right w:val="none" w:sz="0" w:space="0" w:color="auto"/>
          </w:divBdr>
          <w:divsChild>
            <w:div w:id="1836340247">
              <w:marLeft w:val="0"/>
              <w:marRight w:val="0"/>
              <w:marTop w:val="0"/>
              <w:marBottom w:val="0"/>
              <w:divBdr>
                <w:top w:val="none" w:sz="0" w:space="0" w:color="auto"/>
                <w:left w:val="none" w:sz="0" w:space="0" w:color="auto"/>
                <w:bottom w:val="none" w:sz="0" w:space="0" w:color="auto"/>
                <w:right w:val="none" w:sz="0" w:space="0" w:color="auto"/>
              </w:divBdr>
              <w:divsChild>
                <w:div w:id="33114764">
                  <w:marLeft w:val="0"/>
                  <w:marRight w:val="0"/>
                  <w:marTop w:val="0"/>
                  <w:marBottom w:val="0"/>
                  <w:divBdr>
                    <w:top w:val="none" w:sz="0" w:space="0" w:color="auto"/>
                    <w:left w:val="none" w:sz="0" w:space="0" w:color="auto"/>
                    <w:bottom w:val="none" w:sz="0" w:space="0" w:color="auto"/>
                    <w:right w:val="none" w:sz="0" w:space="0" w:color="auto"/>
                  </w:divBdr>
                  <w:divsChild>
                    <w:div w:id="9092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742632">
      <w:bodyDiv w:val="1"/>
      <w:marLeft w:val="0"/>
      <w:marRight w:val="0"/>
      <w:marTop w:val="0"/>
      <w:marBottom w:val="0"/>
      <w:divBdr>
        <w:top w:val="none" w:sz="0" w:space="0" w:color="auto"/>
        <w:left w:val="none" w:sz="0" w:space="0" w:color="auto"/>
        <w:bottom w:val="none" w:sz="0" w:space="0" w:color="auto"/>
        <w:right w:val="none" w:sz="0" w:space="0" w:color="auto"/>
      </w:divBdr>
    </w:div>
    <w:div w:id="193070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D1AA7D-057E-42D1-B805-DFD78A8AD953}">
  <we:reference id="wa104382081" version="1.55.1.0" store="en-US" storeType="OMEX"/>
  <we:alternateReferences>
    <we:reference id="wa104382081" version="1.55.1.0" store="wa104382081" storeType="OMEX"/>
  </we:alternateReferences>
  <we:properties>
    <we:property name="MENDELEY_CITATIONS" value="[{&quot;citationID&quot;:&quot;MENDELEY_CITATION_6b1423cb-62b4-463a-a58f-f165afdb7818&quot;,&quot;properties&quot;:{&quot;noteIndex&quot;:0},&quot;isEdited&quot;:false,&quot;manualOverride&quot;:{&quot;isManuallyOverridden&quot;:false,&quot;citeprocText&quot;:&quot;(Romagnani et al., 2017)&quot;,&quot;manualOverrideText&quot;:&quot;&quot;},&quot;citationTag&quot;:&quot;MENDELEY_CITATION_v3_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&quot;,&quot;citationItems&quot;:[{&quot;id&quot;:&quot;03cc6888-b044-3b54-91fd-4d9d9dc92cf0&quot;,&quot;itemData&quot;:{&quot;type&quot;:&quot;article&quot;,&quot;id&quot;:&quot;03cc6888-b044-3b54-91fd-4d9d9dc92cf0&quot;,&quot;title&quot;:&quot;Chronic kidney disease&quot;,&quot;author&quot;:[{&quot;family&quot;:&quot;Romagnani&quot;,&quot;given&quot;:&quot;Paola&quot;,&quot;parse-names&quot;:false,&quot;dropping-particle&quot;:&quot;&quot;,&quot;non-dropping-particle&quot;:&quot;&quot;},{&quot;family&quot;:&quot;Remuzzi&quot;,&quot;given&quot;:&quot;Giuseppe&quot;,&quot;parse-names&quot;:false,&quot;dropping-particle&quot;:&quot;&quot;,&quot;non-dropping-particle&quot;:&quot;&quot;},{&quot;family&quot;:&quot;Glassock&quot;,&quot;given&quot;:&quot;Richard&quot;,&quot;parse-names&quot;:false,&quot;dropping-particle&quot;:&quot;&quot;,&quot;non-dropping-particle&quot;:&quot;&quot;},{&quot;family&quot;:&quot;Levin&quot;,&quot;given&quot;:&quot;Adeera&quot;,&quot;parse-names&quot;:false,&quot;dropping-particle&quot;:&quot;&quot;,&quot;non-dropping-particle&quot;:&quot;&quot;},{&quot;family&quot;:&quot;Jager&quot;,&quot;given&quot;:&quot;Kitty J.&quot;,&quot;parse-names&quot;:false,&quot;dropping-particle&quot;:&quot;&quot;,&quot;non-dropping-particle&quot;:&quot;&quot;},{&quot;family&quot;:&quot;Tonelli&quot;,&quot;given&quot;:&quot;Marcello&quot;,&quot;parse-names&quot;:false,&quot;dropping-particle&quot;:&quot;&quot;,&quot;non-dropping-particle&quot;:&quot;&quot;},{&quot;family&quot;:&quot;Massy&quot;,&quot;given&quot;:&quot;Ziad&quot;,&quot;parse-names&quot;:false,&quot;dropping-particle&quot;:&quot;&quot;,&quot;non-dropping-particle&quot;:&quot;&quot;},{&quot;family&quot;:&quot;Wanner&quot;,&quot;given&quot;:&quot;Christoph&quot;,&quot;parse-names&quot;:false,&quot;dropping-particle&quot;:&quot;&quot;,&quot;non-dropping-particle&quot;:&quot;&quot;},{&quot;family&quot;:&quot;Anders&quot;,&quot;given&quot;:&quot;Hans Joachim&quot;,&quot;parse-names&quot;:false,&quot;dropping-particle&quot;:&quot;&quot;,&quot;non-dropping-particle&quot;:&quot;&quot;}],&quot;container-title&quot;:&quot;Nature Reviews Disease Primers&quot;,&quot;container-title-short&quot;:&quot;Nat Rev Dis Primers&quot;,&quot;DOI&quot;:&quot;10.1038/nrdp.2017.88&quot;,&quot;ISSN&quot;:&quot;2056676X&quot;,&quot;PMID&quot;:&quot;29168475&quot;,&quot;issued&quot;:{&quot;date-parts&quot;:[[2017,11,23]]},&quot;abstract&quot;:&quot;Chronic kidney disease (CKD) is defined by persistent urine abnormalities, structural abnormalities or impaired excretory renal function suggestive of a loss of functional nephrons. The majority of patients with CKD are at risk of accelerated cardiovascular disease and death. For those who progress to end-stage renal disease, the limited accessibility to renal replacement therapy is a problem in many parts of the world. Risk factors for the development and progression of CKD include low nephron number at birth, nephron loss due to increasing age and acute or chronic kidney injuries caused by toxic exposures or diseases (for example, obesity and type 2 diabetes mellitus). The management of patients with CKD is focused on early detection or prevention, treatment of the underlying cause (if possible) to curb progression and attention to secondary processes that contribute to ongoing nephron loss. Blood pressure control, inhibition of the renin-angiotensin system and disease-specific interventions are the cornerstones of therapy. CKD complications such as anaemia, metabolic acidosis and secondary hyperparathyroidism affect cardiovascular health and quality of life, and require diagnosis and treatment.&quot;,&quot;publisher&quot;:&quot;Nature Publishing Group&quot;,&quot;volume&quot;:&quot;3&quot;},&quot;isTemporary&quot;:false}]},{&quot;citationID&quot;:&quot;MENDELEY_CITATION_eb650146-a588-42a1-a49b-b1a527f23365&quot;,&quot;properties&quot;:{&quot;noteIndex&quot;:0},&quot;isEdited&quot;:false,&quot;manualOverride&quot;:{&quot;isManuallyOverridden&quot;:false,&quot;citeprocText&quot;:&quot;(Webster et al., 2017)&quot;,&quot;manualOverrideText&quot;:&quot;&quot;},&quot;citationTag&quot;:&quot;MENDELEY_CITATION_v3_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&quot;,&quot;citationItems&quot;:[{&quot;id&quot;:&quot;d198b3fe-6713-31f4-8017-6ae9d445cd7b&quot;,&quot;itemData&quot;:{&quot;type&quot;:&quot;article&quot;,&quot;id&quot;:&quot;d198b3fe-6713-31f4-8017-6ae9d445cd7b&quot;,&quot;title&quot;:&quot;Chronic Kidney Disease&quot;,&quot;author&quot;:[{&quot;family&quot;:&quot;Webster&quot;,&quot;given&quot;:&quot;Angela C.&quot;,&quot;parse-names&quot;:false,&quot;dropping-particle&quot;:&quot;&quot;,&quot;non-dropping-particle&quot;:&quot;&quot;},{&quot;family&quot;:&quot;Nagler&quot;,&quot;given&quot;:&quot;Evi&quot;,&quot;parse-names&quot;:false,&quot;dropping-particle&quot;:&quot;V.&quot;,&quot;non-dropping-particle&quot;:&quot;&quot;},{&quot;family&quot;:&quot;Morton&quot;,&quot;given&quot;:&quot;Rachael L.&quot;,&quot;parse-names&quot;:false,&quot;dropping-particle&quot;:&quot;&quot;,&quot;non-dropping-particle&quot;:&quot;&quot;},{&quot;family&quot;:&quot;Masson&quot;,&quot;given&quot;:&quot;Philip&quot;,&quot;parse-names&quot;:false,&quot;dropping-particle&quot;:&quot;&quot;,&quot;non-dropping-particle&quot;:&quot;&quot;}],&quot;container-title&quot;:&quot;The Lancet&quot;,&quot;DOI&quot;:&quot;10.1016/S0140-6736(16)32064-5&quot;,&quot;ISSN&quot;:&quot;1474547X&quot;,&quot;PMID&quot;:&quot;27887750&quot;,&quot;issued&quot;:{&quot;date-parts&quot;:[[2017,3,25]]},&quot;page&quot;:&quot;1238-1252&quot;,&quot;abstract&quot;:&quot;The definition and classification of chronic kidney disease (CKD) have evolved over time, but current international guidelines define this condition as decreased kidney function shown by glomerular filtration rate (GFR) of less than 60 mL/min per 1·73 m2, or markers of kidney damage, or both, of at least 3 months duration, regardless of the underlying cause. Diabetes and hypertension are the main causes of CKD in all high-income and middle-income countries, and also in many low-income countries. Incidence, prevalence, and progression of CKD also vary within countries by ethnicity and social determinants of health, possibly through epigenetic influence. Many people are asymptomatic or have non-specific symptoms such as lethargy, itch, or loss of appetite. Diagnosis is commonly made after chance findings from screening tests (urinary dipstick or blood tests), or when symptoms become severe. The best available indicator of overall kidney function is GFR, which is measured either via exogenous markers (eg, DTPA, iohexol), or estimated using equations. Presence of proteinuria is associated with increased risk of progression of CKD and death. Kidney biopsy samples can show definitive evidence of CKD, through common changes such as glomerular sclerosis, tubular atrophy, and interstitial fibrosis. Complications include anaemia due to reduced production of erythropoietin by the kidney; reduced red blood cell survival and iron deficiency; and mineral bone disease caused by disturbed vitamin D, calcium, and phosphate metabolism. People with CKD are five to ten times more likely to die prematurely than they are to progress to end stage kidney disease. This increased risk of death rises exponentially as kidney function worsens and is largely attributable to death from cardiovascular disease, although cancer incidence and mortality are also increased. Health-related quality of life is substantially lower for people with CKD than for the general population, and falls as GFR declines. Interventions targeting specific symptoms, or aimed at supporting educational or lifestyle considerations, make a positive difference to people living with CKD. Inequity in access to services for this disease disproportionally affects disadvantaged populations, and health service provision to incentivise early intervention over provision of care only for advanced CKD is still evolving in many countries.&quot;,&quot;publisher&quot;:&quot;Lancet Publishing Group&quot;,&quot;issue&quot;:&quot;10075&quot;,&quot;volume&quot;:&quot;389&quot;,&quot;container-title-short&quot;:&quot;&quot;},&quot;isTemporary&quot;:false}]},{&quot;citationID&quot;:&quot;MENDELEY_CITATION_ffb4b72b-ee40-41d4-8abf-3bfb7db106bc&quot;,&quot;properties&quot;:{&quot;noteIndex&quot;:0},&quot;isEdited&quot;:false,&quot;manualOverride&quot;:{&quot;isManuallyOverridden&quot;:false,&quot;citeprocText&quot;:&quot;(El Nahas FRCP et al., 2005)&quot;,&quot;manualOverrideText&quot;:&quot;&quot;},&quot;citationTag&quot;:&quot;MENDELEY_CITATION_v3_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&quot;,&quot;citationItems&quot;:[{&quot;id&quot;:&quot;436f94fd-b3b2-3b28-8576-7c2232252a02&quot;,&quot;itemData&quot;:{&quot;type&quot;:&quot;report&quot;,&quot;id&quot;:&quot;436f94fd-b3b2-3b28-8576-7c2232252a02&quot;,&quot;title&quot;:&quot;Chronic kidney disease: the global challenge&quot;,&quot;author&quot;:[{&quot;family&quot;:&quot;Nahas FRCP&quot;,&quot;given&quot;:&quot;A M&quot;,&quot;parse-names&quot;:false,&quot;dropping-particle&quot;:&quot;&quot;,&quot;non-dropping-particle&quot;:&quot;El&quot;},{&quot;family&quot;:&quot;Bello MMedSci&quot;,&quot;given&quot;:&quot;A K&quot;,&quot;parse-names&quot;:false,&quot;dropping-particle&quot;:&quot;&quot;,&quot;non-dropping-particle&quot;:&quot;&quot;},{&quot;family&quot;:&quot;Meguid El Nahas&quot;,&quot;given&quot;:&quot;A&quot;,&quot;parse-names&quot;:false,&quot;dropping-particle&quot;:&quot;&quot;,&quot;non-dropping-particle&quot;:&quot;&quot;},{&quot;family&quot;:&quot;Bello&quot;,&quot;given&quot;:&quot;Aminu K&quot;,&quot;parse-names&quot;:false,&quot;dropping-particle&quot;:&quot;&quot;,&quot;non-dropping-particle&quot;:&quot;&quot;}],&quot;container-title&quot;:&quot;www.thelancet.com&quot;,&quot;URL&quot;:&quot;www.thelancet.com&quot;,&quot;issued&quot;:{&quot;date-parts&quot;:[[2005]]},&quot;abstract&quot;:&quot;Seminar Worldwide, increasing numbers of patients are affected by chronic kidney disease (CKD). 1,2 The progressive nature of chronic kidney failure and the ensuing end-stage renal disease (ESRD) is putting a substantial burden on global health-care resources. A better understanding of the nature of CKD, leading to early detection and prevention and effective therapy might alleviate the global burden. Epidemiology The worldwide rise in the number of patients with CKD is reflected in the increasing number of people with ESRD treated by renal replacement therapy-dialysis or transplantation. 2 In the UK, the annual incidence of ESRD has doubled over the past decade to reach about 100 new patients per million of population, 3 well below the European average (about 135 per million) and rates in the USA 4 (table 1). The UK trend, like trends in other more developed countries, is expected to continue to rise at an annual rate of around 5-8%. 2 Two factors are important. The first is the ageing of the population; the incidence of ESRD is higher in elderly people than in the general population (the annual incidence in people older than 65 years in the USA is more than 1200 per million 4). The second factor is the global epidemic of type 2 diabetes mellitus; the number of people with diabetes worldwide (currently about 154 million) is predicted to double within the next 20 years. 5 This increase will be most notable in less developed countries, where the number of diabetic patients could rise from 99 million to 286 million by 2025, 5 with an expected parallel epidemic of diabetic nephropathy. About 90% of treated ESRD patients come from more developed countries that can still afford the cost of renal replacement therapy. 6 In the USA, the annual expenditure on ESRD is estimated to increase to more than US$28 billion by 2010. 4 In Europe, dialysis alone takes up about 2% of health-care budgets with only a small proportion (&lt;0·1%) of the population needing treatment. There is a clear and direct relation between the gross national product and the availability of renal replacement therapy, with less developed countries unable to meet the increasing demand. 6 The huge disparity in the prevalence of ESRD between the more and less developed countries probably stems from the inadequacy of health-care resource allocation to programmes of renal replacement therapy. However, disparities in the incidence of ESRD within and between more developed countries are likely to reflect the racial and ethnic mix. For example, in the USA and Australia the annual incidence of ESRD is substantially lower in white than in African-American or aboriginal people (table 1). 4,7 The number of patients with ESRD probably underestimates the entire burden of CKD because the numbers with earlier stages of disease (stages 1 to 4, panel 1) are likely to exceed by as much as 50 times those reaching ESRD (stage 5). 8 For instance in the USA, data derived from the third National Health and Nutrition Examination Survey have implied that up to 11% of the general adult population (19 million) could have some degree of CKD, including more than 8 million individuals with glomerular filtration rates of less than 60 mL per min. 8 This analysis also estimated that 5·9 million people could have stage 1 CKD with normal renal function. 8 However, these observations have substantial limitations, including the basing of prevalence estimation on single serum creatinine measurements, which are subject to variations owing to The worldwide rise in the number of patients with chronic kidney disease (CKD) and consequent end-stage renal failure necessitating renal replacement therapy is threatening to reach epidemic proportions over the next decade, and only a small number of countries have robust economies able to meet the challenges posed. A change in global approach to CKD from treatment of end-stage renal disease (ESRD) to much more aggressive primary and secondary prevention is therefore imperative. In this Seminar, we examine the epidemiology of CKD worldwide, with emphasis on early detection and prevention, and the feasibility of methods for detection and primary prevention of CKD. We also review the risk factors and markers of progressive CKD. We explore current understanding of the mechanisms underlying renal scarring leading to ESRD to inform on current and future interventions as well as evidence relating to interventions to slow the progression of CKD. Finally, we make strategic recommendations based on future research to stem the worldwide growth of CKD. Consideration is given to health economics. A global and concerted approach to CKD must be adopted in both more and less developed countries to avoid a major catastrophe.&quot;,&quot;volume&quot;:&quot;365&quot;,&quot;container-title-short&quot;:&quot;&quot;},&quot;isTemporary&quot;:false}]},{&quot;citationID&quot;:&quot;MENDELEY_CITATION_880e7104-6cd9-4a51-9fc4-9827de2d1e8b&quot;,&quot;properties&quot;:{&quot;noteIndex&quot;:0},&quot;isEdited&quot;:false,&quot;manualOverride&quot;:{&quot;isManuallyOverridden&quot;:false,&quot;citeprocText&quot;:&quot;(Chahine, 2022)&quot;,&quot;manualOverrideText&quot;:&quot;&quot;},&quot;citationTag&quot;:&quot;MENDELEY_CITATION_v3_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&quot;,&quot;citationItems&quot;:[{&quot;id&quot;:&quot;e5613ed7-4c77-3dd1-b9a3-98144e557f9c&quot;,&quot;itemData&quot;:{&quot;type&quot;:&quot;article-journal&quot;,&quot;id&quot;:&quot;e5613ed7-4c77-3dd1-b9a3-98144e557f9c&quot;,&quot;title&quot;:&quot;Antibiotic dosing adjustments in hospitalized patients with chronic kidney disease: a retrospective chart review&quot;,&quot;author&quot;:[{&quot;family&quot;:&quot;Chahine&quot;,&quot;given&quot;:&quot;Bahia&quot;,&quot;parse-names&quot;:false,&quot;dropping-particle&quot;:&quot;&quot;,&quot;non-dropping-particle&quot;:&quot;&quot;}],&quot;container-title&quot;:&quot;International Urology and Nephrology&quot;,&quot;container-title-short&quot;:&quot;Int Urol Nephrol&quot;,&quot;DOI&quot;:&quot;10.1007/s11255-021-02834-6&quot;,&quot;ISSN&quot;:&quot;15732584&quot;,&quot;PMID&quot;:&quot;33738646&quot;,&quot;issued&quot;:{&quot;date-parts&quot;:[[2022,1,1]]},&quot;page&quot;:&quot;157-163&quot;,&quot;abstract&quot;:&quot;Background: Infections in patients with chronic kidney disease (CKD) are a major cause of hospitalization. The pharmacokinetics of renally eliminated antibiotics may lead to drug accumulation, resulting in potential toxicity. The renal dosing adjustment of antibiotics is crucial to avoid toxicity and decrease mortality. In Lebanon, limited data are available on antibiotic dose adequacy in CKD. Objectives: To estimate the prevalence of inappropriately dosed antibiotics in non-dialysis CKD patients and to identify possible risk factors that may be associated with unadjusted renal dosing. Methods: A retrospective chart review was conducted at two tertiary-care hospitals in Lebanon. International Statistical Classification of Diseases (ICD-10) code for CKD was used to search the databases. Demographic and clinical data were collected for patients who received antibiotics that requires renal dosing adjustment. Lexi-Comp online Drug Information database was the guideline used to evaluate the appropriateness of dosing. Results: A total of 495 antibiotic orders were dispensed to 190 patients. 51.6% of patients received antibiotics without renal dose adjustments. The most inappropriately dosed class was penicillins (39.8%), while fluoroquinolones were the most adequately adjusted. Piperacillin/tazobactam was the most frequently prescribed drug (30.6%) without renal dose adjustment. Respiratory infections (OR 1.301, CI 95% 1.327–1.915) and multimorbidity (OR 1.183, CI 95% 1.358–2.081) were statistically highly significant associations for unadjusted antibiotic dosing from the fitted multivariable-adjusted logistic models. Conclusion: Our study revealed a high frequency of guideline-discordant antibiotic dosing in patients with CKD. This dosing error is preventable by increasing awareness of prescribing physicians and collaborating with clinical pharmacists.&quot;,&quot;publisher&quot;:&quot;Springer Science and Business Media B.V.&quot;,&quot;issue&quot;:&quot;1&quot;,&quot;volume&quot;:&quot;54&quot;},&quot;isTemporary&quot;:false}]},{&quot;citationID&quot;:&quot;MENDELEY_CITATION_664eedaf-9483-4643-88a6-589a33040941&quot;,&quot;properties&quot;:{&quot;noteIndex&quot;:0},&quot;isEdited&quot;:false,&quot;manualOverride&quot;:{&quot;isManuallyOverridden&quot;:false,&quot;citeprocText&quot;:&quot;(Ruggenenti et al., 2012)&quot;,&quot;manualOverrideText&quot;:&quot;&quot;},&quot;citationTag&quot;:&quot;MENDELEY_CITATION_v3_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&quot;,&quot;citationItems&quot;:[{&quot;id&quot;:&quot;9bffa2e9-dc4a-3732-a1eb-6ca5f0e02dea&quot;,&quot;itemData&quot;:{&quot;type&quot;:&quot;article&quot;,&quot;id&quot;:&quot;9bffa2e9-dc4a-3732-a1eb-6ca5f0e02dea&quot;,&quot;title&quot;:&quot;Mechanisms and treatment of CKD&quot;,&quot;author&quot;:[{&quot;family&quot;:&quot;Ruggenenti&quot;,&quot;given&quot;:&quot;Piero&quot;,&quot;parse-names&quot;:false,&quot;dropping-particle&quot;:&quot;&quot;,&quot;non-dropping-particle&quot;:&quot;&quot;},{&quot;family&quot;:&quot;Cravedi&quot;,&quot;given&quot;:&quot;Paolo&quot;,&quot;parse-names&quot;:false,&quot;dropping-particle&quot;:&quot;&quot;,&quot;non-dropping-particle&quot;:&quot;&quot;},{&quot;family&quot;:&quot;Remuzzi&quot;,&quot;given&quot;:&quot;Giuseppe&quot;,&quot;parse-names&quot;:false,&quot;dropping-particle&quot;:&quot;&quot;,&quot;non-dropping-particle&quot;:&quot;&quot;}],&quot;container-title&quot;:&quot;Journal of the American Society of Nephrology&quot;,&quot;DOI&quot;:&quot;10.1681/ASN.2012040390&quot;,&quot;ISSN&quot;:&quot;15333450&quot;,&quot;PMID&quot;:&quot;23100218&quot;,&quot;issued&quot;:{&quot;date-parts&quot;:[[2012]]},&quot;page&quot;:&quot;1917-1928&quot;,&quot;abstract&quot;:&quot;As CKD continues to increase worldwide, along with the demand for related life-saving therapies, the financial burden of CKD will place an increasing drain on health care systems. Experimental studies showed that glomerular capillary hypertension and impaired sieving function with consequent protein overload play a pathogenic role in the progression of CKD. Consistently, human studies show that proteinuria is an independent predictor of progression and that its reduction is renoprotective. At comparable BP control, inhibitors of the renin-angiotensin system (RAS), including angiotensin converting enzyme (ACE) inhibitors and angiotensin II receptor blockers (ARBs), more effectively than non-RAS inhibitor therapy reduce proteinuria, slow progression to ESRD, and even improve the kidney function achieving disease regression in some cases. In participants with diabetes, RAS inhibitors delay the onset of microalbuminuria and its progression to macroalbuminuria, and ACE inhibitors may reduce the excess cardiovascular mortality associated with diabetic renal disease. In addition to RAS inhibitors, however, multimodal approaches including lifestyle modifications and multidrug therapy will be required in most cases to optimize control of the several risk factors for CKD and related cardiovascular morbidity. Whether novel medications may help further improve the cost-effectiveness of renoprotective interventions is a matter of investigation. Copyright © 2012 by the American Society of Nephrology.&quot;,&quot;publisher&quot;:&quot;American Society of Nephrology&quot;,&quot;issue&quot;:&quot;12&quot;,&quot;volume&quot;:&quot;23&quot;,&quot;container-title-short&quot;:&quot;&quot;},&quot;isTemporary&quot;:false}]},{&quot;citationID&quot;:&quot;MENDELEY_CITATION_7e067ffb-e949-4112-9ea1-04e16daef33a&quot;,&quot;properties&quot;:{&quot;noteIndex&quot;:0},&quot;isEdited&quot;:false,&quot;manualOverride&quot;:{&quot;isManuallyOverridden&quot;:false,&quot;citeprocText&quot;:&quot;(Haque Sumon et al., 2023)&quot;,&quot;manualOverrideText&quot;:&quot;&quot;},&quot;citationTag&quot;:&quot;MENDELEY_CITATION_v3_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&quot;,&quot;citationItems&quot;:[{&quot;id&quot;:&quot;4f637f3d-02dd-35d7-9c71-fd549c1dd327&quot;,&quot;itemData&quot;:{&quot;type&quot;:&quot;article-journal&quot;,&quot;id&quot;:&quot;4f637f3d-02dd-35d7-9c71-fd549c1dd327&quot;,&quot;title&quot;:&quot;Multidrug Resistance Urinary Tract Infection in Chronic Kidney Disease Patients: An Observational Study&quot;,&quot;author&quot;:[{&quot;family&quot;:&quot;Haque Sumon&quot;,&quot;given&quot;:&quot;A.H.M Sanjedul&quot;,&quot;parse-names&quot;:false,&quot;dropping-particle&quot;:&quot;&quot;,&quot;non-dropping-particle&quot;:&quot;&quot;},{&quot;family&quot;:&quot;Al-Mahmood&quot;,&quot;given&quot;:&quot;Md. Rashid&quot;,&quot;parse-names&quot;:false,&quot;dropping-particle&quot;:&quot;&quot;,&quot;non-dropping-particle&quot;:&quot;&quot;},{&quot;family&quot;:&quot;Islam&quot;,&quot;given&quot;:&quot;Khaza Amirul&quot;,&quot;parse-names&quot;:false,&quot;dropping-particle&quot;:&quot;&quot;,&quot;non-dropping-particle&quot;:&quot;&quot;},{&quot;family&quot;:&quot;Karim&quot;,&quot;given&quot;:&quot;A.N.M Ehsanul&quot;,&quot;parse-names&quot;:false,&quot;dropping-particle&quot;:&quot;&quot;,&quot;non-dropping-particle&quot;:&quot;&quot;},{&quot;family&quot;:&quot;Aker&quot;,&quot;given&quot;:&quot;Parvin&quot;,&quot;parse-names&quot;:false,&quot;dropping-particle&quot;:&quot;&quot;,&quot;non-dropping-particle&quot;:&quot;&quot;},{&quot;family&quot;:&quot;Ullah&quot;,&quot;given&quot;:&quot;Ahsan&quot;,&quot;parse-names&quot;:false,&quot;dropping-particle&quot;:&quot;&quot;,&quot;non-dropping-particle&quot;:&quot;&quot;},{&quot;family&quot;:&quot;Rashid&quot;,&quot;given&quot;:&quot;Mohammad Afzalur&quot;,&quot;parse-names&quot;:false,&quot;dropping-particle&quot;:&quot;&quot;,&quot;non-dropping-particle&quot;:&quot;&quot;},{&quot;family&quot;:&quot;Hasan&quot;,&quot;given&quot;:&quot;Md Nazmul&quot;,&quot;parse-names&quot;:false,&quot;dropping-particle&quot;:&quot;&quot;,&quot;non-dropping-particle&quot;:&quot;&quot;}],&quot;container-title&quot;:&quot;Cureus&quot;,&quot;container-title-short&quot;:&quot;Cureus&quot;,&quot;DOI&quot;:&quot;10.7759/cureus.38571&quot;,&quot;issued&quot;:{&quot;date-parts&quot;:[[2023,5,5]]},&quot;abstract&quot;:&quot;OBJECTIVE: To determine the presence of multidrug-resistant (MDR) urinary tract  infections (UTI) and the MDR pattern of the bacterial isolates causing MDR UTI in chronic kidney disease (CKD) patients. METHODS: This cross-sectional study was conducted among 326 diagnosed CKD patients in the Department of Nephrology at Bangabandhu Sheikh Mujib Medical University (BSMMU). Purposive sampling technique was used, and data were collected from the respondents using a semi-structured questionnaire. From duly collected urine samples, identification of organisms and antibiotic susceptibility tests were done, maintaining proper procedure in the microbiology laboratory. RESULTS: The study population was predominantly female (60.1%). The outpatient department provided the majority of the respondents (75.2%). A history of UTI within the last six months was present among 74.2% of the respondents, and 59.2% had a history of taking antibiotics. Bacterial isolates were predominantly gram-negative (79.4%). Escherichia coli was the most prevalent bacterial isolate, present in 55.5% of the study population. Among the respondents, 64.7% were found to have MDR UTI, and among them, 81.5% were gram-negative, and 18.5% were gram-positive isolates. Among all the antibiotics tested, Colistin Sulphate, Polymyxin B, Cefoxitin, Vancomycin, and Linezolid had the highest (100%) sensitivity, followed by Meropenem, with 94.9% sensitivity. Among the gram-negative isolates, Acinetobacter and Enterobacter were most resistant to aminoglycoside, at 70% and 91.7%, respectively. E. coli, Klebsiella, Proteus, and Pseudomonas were most resistant to quinolone at 76.8%, 76.9%, 83.3%, and 66.7%, respectively. Among the gram-positive isolates, Enterococci and Staphylococcus aureus were most resistant to aminoglycoside, 81.5% and 88.9%, respectively. Streptococcus was found to be most resistant to cephalosporin (75.0%). There was a statistically significant (p &lt; 0.05) relationship between MDR UTI, history of UTI, and previous antibiotic intake, and diabetic CKD. CONCLUSIONS: The prevalence of MDR UTI among CKD patients is considerably high. When treating UTI, choosing an appropriate antibiotic by urine culture and implementing a guideline on the rational use of antibiotics are essential to managing and preventing the development of MDR UTI.&quot;,&quot;publisher&quot;:&quot;Springer Science and Business Media LLC&quot;},&quot;isTemporary&quot;:false}]},{&quot;citationID&quot;:&quot;MENDELEY_CITATION_18a046f5-9944-4532-8a06-c37a0bdd2696&quot;,&quot;properties&quot;:{&quot;noteIndex&quot;:0},&quot;isEdited&quot;:false,&quot;manualOverride&quot;:{&quot;isManuallyOverridden&quot;:false,&quot;citeprocText&quot;:&quot;(Midturi &amp;#38; Ranganath, 2019)&quot;,&quot;manualOverrideText&quot;:&quot;&quot;},&quot;citationTag&quot;:&quot;MENDELEY_CITATION_v3_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&quot;,&quot;citationItems&quot;:[{&quot;id&quot;:&quot;e15785e5-699a-3885-8a2e-f7e3e5634df8&quot;,&quot;itemData&quot;:{&quot;type&quot;:&quot;article&quot;,&quot;id&quot;:&quot;e15785e5-699a-3885-8a2e-f7e3e5634df8&quot;,&quot;title&quot;:&quot;Prevention and Treatment of Multidrug-Resistant Organisms in End-Stage Renal Disease&quot;,&quot;author&quot;:[{&quot;family&quot;:&quot;Midturi&quot;,&quot;given&quot;:&quot;John K.&quot;,&quot;parse-names&quot;:false,&quot;dropping-particle&quot;:&quot;&quot;,&quot;non-dropping-particle&quot;:&quot;&quot;},{&quot;family&quot;:&quot;Ranganath&quot;,&quot;given&quot;:&quot;Sangeetha&quot;,&quot;parse-names&quot;:false,&quot;dropping-particle&quot;:&quot;&quot;,&quot;non-dropping-particle&quot;:&quot;&quot;}],&quot;container-title&quot;:&quot;Advances in Chronic Kidney Disease&quot;,&quot;container-title-short&quot;:&quot;Adv Chronic Kidney Dis&quot;,&quot;DOI&quot;:&quot;10.1053/j.ackd.2018.09.003&quot;,&quot;ISSN&quot;:&quot;15485609&quot;,&quot;PMID&quot;:&quot;30876618&quot;,&quot;issued&quot;:{&quot;date-parts&quot;:[[2019,1,1]]},&quot;page&quot;:&quot;51-60&quot;,&quot;abstract&quot;:&quot;Chronic kidney disease patients are at high risk for infections because of multidrug-resistant organisms. Infections are the second most common cause of death in patients with ESRD. Patients with ESRD are prone to infections given alterations in immunity, increased rates of colonization with multidrug-resistant organisms, increased hospitalizations, and interactions with health care systems. Infections range from urinary tract infections, pneumonia, skin and soft tissue infections, central line–associated bloodstream infections to sepsis. A coordinated collaborative effort using a multipronged approach must be stressed to reduce the burden of infections. Preventive measures such as hand hygiene, antibiotic stewardship, immunizations, and minimizing central venous catheters are critical to curtail infections with multidrug-resistant organisms. Empirical and targeted treatment for multidrug-resistant organisms may require collaboration with infectious disease providers to improve outcomes in these serious infections. It is imperative to address multidrug-resistant organisms in ESRD patients at this juncture to improve medical outcomes now and for the future.&quot;,&quot;publisher&quot;:&quot;W.B. Saunders&quot;,&quot;issue&quot;:&quot;1&quot;,&quot;volume&quot;:&quot;26&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81B4C-E6EE-4A8C-9E16-2DAA06AAB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27</Pages>
  <Words>23521</Words>
  <Characters>134072</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Husnain Ali</dc:creator>
  <cp:keywords/>
  <dc:description/>
  <cp:lastModifiedBy>SDI 1084</cp:lastModifiedBy>
  <cp:revision>28</cp:revision>
  <dcterms:created xsi:type="dcterms:W3CDTF">2024-03-06T05:38:00Z</dcterms:created>
  <dcterms:modified xsi:type="dcterms:W3CDTF">2025-02-10T08:26:00Z</dcterms:modified>
</cp:coreProperties>
</file>