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AFC9C" w14:textId="77777777" w:rsidR="00ED1298" w:rsidRDefault="00ED1298">
      <w:pPr>
        <w:pStyle w:val="Title"/>
        <w:spacing w:after="0"/>
        <w:jc w:val="both"/>
        <w:rPr>
          <w:rFonts w:ascii="Arial" w:hAnsi="Arial" w:cs="Arial"/>
        </w:rPr>
      </w:pPr>
    </w:p>
    <w:p w14:paraId="1979D606" w14:textId="77777777" w:rsidR="00ED1298" w:rsidRDefault="00E77581">
      <w:pPr>
        <w:pStyle w:val="Author"/>
        <w:spacing w:line="240" w:lineRule="auto"/>
        <w:rPr>
          <w:rFonts w:ascii="Arial" w:hAnsi="Arial" w:cs="Arial"/>
          <w:bCs/>
          <w:iCs/>
          <w:kern w:val="28"/>
          <w:sz w:val="36"/>
        </w:rPr>
      </w:pPr>
      <w:r>
        <w:rPr>
          <w:rFonts w:ascii="Arial" w:hAnsi="Arial" w:cs="Arial"/>
          <w:bCs/>
          <w:iCs/>
          <w:kern w:val="28"/>
          <w:sz w:val="36"/>
        </w:rPr>
        <w:t xml:space="preserve">The Mediating Effect of Student Environmental Literacy on the Relationship between Factors of Academic Performance and Engagement in Science </w:t>
      </w:r>
    </w:p>
    <w:p w14:paraId="7214667D" w14:textId="77777777" w:rsidR="00ED1298" w:rsidRDefault="00ED1298">
      <w:pPr>
        <w:pStyle w:val="Author"/>
        <w:spacing w:line="240" w:lineRule="auto"/>
        <w:jc w:val="both"/>
        <w:rPr>
          <w:rFonts w:ascii="Arial" w:hAnsi="Arial" w:cs="Arial"/>
          <w:sz w:val="36"/>
        </w:rPr>
      </w:pPr>
    </w:p>
    <w:p w14:paraId="5703B7F0" w14:textId="77777777" w:rsidR="000B24C6" w:rsidRDefault="000B24C6" w:rsidP="00CB2442">
      <w:pPr>
        <w:spacing w:line="240" w:lineRule="exact"/>
        <w:ind w:right="86"/>
        <w:contextualSpacing/>
        <w:rPr>
          <w:rFonts w:ascii="Arial" w:hAnsi="Arial" w:cs="Arial"/>
        </w:rPr>
      </w:pPr>
      <w:bookmarkStart w:id="0" w:name="_Hlk190689075"/>
    </w:p>
    <w:bookmarkEnd w:id="0"/>
    <w:p w14:paraId="19CA4647" w14:textId="77777777" w:rsidR="00CB2442" w:rsidRDefault="00CB2442">
      <w:pPr>
        <w:pStyle w:val="Affiliation"/>
        <w:wordWrap w:val="0"/>
        <w:spacing w:after="0" w:line="240" w:lineRule="auto"/>
        <w:rPr>
          <w:rFonts w:ascii="Arial" w:hAnsi="Arial" w:cs="Arial"/>
          <w:i/>
        </w:rPr>
      </w:pPr>
    </w:p>
    <w:p w14:paraId="25D83B03" w14:textId="77777777" w:rsidR="00ED1298" w:rsidRDefault="00E77581">
      <w:pPr>
        <w:pStyle w:val="Copyright"/>
        <w:spacing w:after="0" w:line="240" w:lineRule="auto"/>
        <w:jc w:val="both"/>
        <w:rPr>
          <w:rFonts w:ascii="Arial" w:hAnsi="Arial" w:cs="Arial"/>
        </w:rPr>
        <w:sectPr w:rsidR="00ED1298" w:rsidSect="00BA427A">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59BEB0DE">
          <v:shapetype id="_x0000_t32" coordsize="21600,21600" o:spt="32" o:oned="t" path="m,l21600,21600e" filled="f">
            <v:path arrowok="t" fillok="f" o:connecttype="none"/>
            <o:lock v:ext="edit" shapetype="t"/>
          </v:shapetype>
          <v:shape id="_x0000_s1039"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Pr>
          <w:rFonts w:ascii="Arial" w:hAnsi="Arial" w:cs="Arial"/>
        </w:rPr>
        <w:t>.</w:t>
      </w:r>
    </w:p>
    <w:p w14:paraId="735CB63B" w14:textId="77777777" w:rsidR="00ED1298" w:rsidRDefault="00E77581">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ED1298" w14:paraId="7484F18D" w14:textId="77777777">
        <w:tc>
          <w:tcPr>
            <w:tcW w:w="9576" w:type="dxa"/>
            <w:shd w:val="clear" w:color="auto" w:fill="F2F2F2"/>
          </w:tcPr>
          <w:p w14:paraId="46C7F4F6" w14:textId="77777777" w:rsidR="00ED1298" w:rsidRDefault="00E77581">
            <w:pPr>
              <w:pStyle w:val="Body"/>
              <w:spacing w:after="0"/>
              <w:rPr>
                <w:rFonts w:ascii="Arial" w:eastAsiaTheme="minorHAnsi" w:hAnsi="Arial" w:cs="Arial"/>
                <w:bCs/>
                <w:color w:val="000000" w:themeColor="text1"/>
                <w:lang w:val="en-PH"/>
              </w:rPr>
            </w:pPr>
            <w:r>
              <w:rPr>
                <w:rFonts w:ascii="Arial" w:eastAsia="Calibri" w:hAnsi="Arial" w:cs="Arial"/>
                <w:b/>
                <w:szCs w:val="22"/>
              </w:rPr>
              <w:t xml:space="preserve">Aims: </w:t>
            </w:r>
            <w:r>
              <w:rPr>
                <w:rFonts w:ascii="Arial" w:eastAsia="Calibri" w:hAnsi="Arial" w:cs="Arial"/>
                <w:bCs/>
                <w:szCs w:val="22"/>
              </w:rPr>
              <w:t>T</w:t>
            </w:r>
            <w:r>
              <w:rPr>
                <w:rFonts w:ascii="Arial" w:eastAsiaTheme="minorHAnsi" w:hAnsi="Arial" w:cs="Arial"/>
                <w:bCs/>
                <w:color w:val="000000" w:themeColor="text1"/>
                <w:lang w:val="en-PH"/>
              </w:rPr>
              <w:t>o determine the significance of the mediating effect of student environmental literacy on the relationship between factors of academic performance and student engagement among junior high school student</w:t>
            </w:r>
            <w:r>
              <w:rPr>
                <w:rFonts w:ascii="Arial" w:eastAsiaTheme="minorHAnsi" w:hAnsi="Arial" w:cs="Arial"/>
                <w:bCs/>
                <w:color w:val="000000" w:themeColor="text1"/>
                <w:lang w:val="en-PH"/>
              </w:rPr>
              <w:t>s in a public high school</w:t>
            </w:r>
          </w:p>
          <w:p w14:paraId="000D6134" w14:textId="77777777" w:rsidR="00ED1298" w:rsidRDefault="00E77581">
            <w:pPr>
              <w:pStyle w:val="Body"/>
              <w:spacing w:after="0"/>
              <w:rPr>
                <w:rFonts w:ascii="Arial" w:eastAsia="SimSun" w:hAnsi="Arial" w:cs="Arial"/>
              </w:rPr>
            </w:pPr>
            <w:r>
              <w:rPr>
                <w:rFonts w:ascii="Arial" w:eastAsia="Calibri" w:hAnsi="Arial" w:cs="Arial"/>
                <w:b/>
                <w:szCs w:val="22"/>
              </w:rPr>
              <w:t>Study design:</w:t>
            </w:r>
            <w:r>
              <w:rPr>
                <w:rFonts w:ascii="Arial" w:eastAsia="Calibri" w:hAnsi="Arial" w:cs="Arial"/>
                <w:szCs w:val="22"/>
              </w:rPr>
              <w:t xml:space="preserve">  Q</w:t>
            </w:r>
            <w:r>
              <w:rPr>
                <w:rFonts w:ascii="Arial" w:eastAsia="SimSun" w:hAnsi="Arial" w:cs="Arial"/>
              </w:rPr>
              <w:t>uantitative, non-experimental, correlational study</w:t>
            </w:r>
          </w:p>
          <w:p w14:paraId="1C56C795" w14:textId="77777777" w:rsidR="00ED1298" w:rsidRDefault="00E77581">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Department of Education, </w:t>
            </w:r>
            <w:proofErr w:type="spellStart"/>
            <w:r>
              <w:rPr>
                <w:rFonts w:ascii="Arial" w:eastAsia="Calibri" w:hAnsi="Arial" w:cs="Arial"/>
                <w:szCs w:val="22"/>
              </w:rPr>
              <w:t>Banganga</w:t>
            </w:r>
            <w:proofErr w:type="spellEnd"/>
            <w:r>
              <w:rPr>
                <w:rFonts w:ascii="Arial" w:eastAsia="Calibri" w:hAnsi="Arial" w:cs="Arial"/>
                <w:szCs w:val="22"/>
              </w:rPr>
              <w:t>, Davao Oriental, Philippines during the school year 2022-2023</w:t>
            </w:r>
          </w:p>
          <w:p w14:paraId="483361BE" w14:textId="77777777" w:rsidR="00ED1298" w:rsidRDefault="00E77581">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w:t>
            </w:r>
          </w:p>
          <w:p w14:paraId="7639897E" w14:textId="77777777" w:rsidR="00ED1298" w:rsidRDefault="00E77581">
            <w:pPr>
              <w:jc w:val="both"/>
              <w:rPr>
                <w:rFonts w:ascii="Arial" w:hAnsi="Arial" w:cs="Arial"/>
              </w:rPr>
            </w:pPr>
            <w:r>
              <w:rPr>
                <w:rFonts w:ascii="Arial" w:hAnsi="Arial" w:cs="Arial"/>
              </w:rPr>
              <w:t xml:space="preserve">A total of 286 students </w:t>
            </w:r>
            <w:r>
              <w:rPr>
                <w:rFonts w:ascii="Arial" w:hAnsi="Arial" w:cs="Arial"/>
              </w:rPr>
              <w:t xml:space="preserve">were calculated as a sample from the entire population of 998 using </w:t>
            </w:r>
            <w:proofErr w:type="spellStart"/>
            <w:r>
              <w:rPr>
                <w:rFonts w:ascii="Arial" w:hAnsi="Arial" w:cs="Arial"/>
              </w:rPr>
              <w:t>Slovin's</w:t>
            </w:r>
            <w:proofErr w:type="spellEnd"/>
            <w:r>
              <w:rPr>
                <w:rFonts w:ascii="Arial" w:hAnsi="Arial" w:cs="Arial"/>
              </w:rPr>
              <w:t xml:space="preserve"> formula with a 5% margin of error. The 286 students were chosen using stratified random sampling. Data were collected using adapted and researcher-made survey questionnaires. </w:t>
            </w:r>
            <w:r>
              <w:rPr>
                <w:rStyle w:val="Strong"/>
                <w:rFonts w:ascii="Arial" w:hAnsi="Arial" w:cs="Arial"/>
                <w:b w:val="0"/>
                <w:bCs w:val="0"/>
              </w:rPr>
              <w:t xml:space="preserve">For </w:t>
            </w:r>
            <w:r>
              <w:rPr>
                <w:rStyle w:val="Strong"/>
                <w:rFonts w:ascii="Arial" w:hAnsi="Arial" w:cs="Arial"/>
                <w:b w:val="0"/>
                <w:bCs w:val="0"/>
              </w:rPr>
              <w:t>the environmental literacy,</w:t>
            </w:r>
            <w:r>
              <w:rPr>
                <w:rFonts w:ascii="Arial" w:hAnsi="Arial" w:cs="Arial"/>
              </w:rPr>
              <w:t xml:space="preserve"> a 63-item researcher-made questionnaire, based on </w:t>
            </w:r>
            <w:proofErr w:type="spellStart"/>
            <w:r>
              <w:rPr>
                <w:rFonts w:ascii="Arial" w:hAnsi="Arial" w:cs="Arial"/>
              </w:rPr>
              <w:t>Gheith</w:t>
            </w:r>
            <w:proofErr w:type="spellEnd"/>
            <w:r>
              <w:rPr>
                <w:rFonts w:ascii="Arial" w:hAnsi="Arial" w:cs="Arial"/>
              </w:rPr>
              <w:t xml:space="preserve"> (2019). For s</w:t>
            </w:r>
            <w:r>
              <w:rPr>
                <w:rStyle w:val="Strong"/>
                <w:rFonts w:ascii="Arial" w:hAnsi="Arial" w:cs="Arial"/>
                <w:b w:val="0"/>
                <w:bCs w:val="0"/>
              </w:rPr>
              <w:t>tudent engagement,</w:t>
            </w:r>
            <w:r>
              <w:rPr>
                <w:rFonts w:ascii="Arial" w:hAnsi="Arial" w:cs="Arial"/>
              </w:rPr>
              <w:t xml:space="preserve"> a 20-item adapted questionnaire from </w:t>
            </w:r>
            <w:proofErr w:type="spellStart"/>
            <w:r>
              <w:rPr>
                <w:rFonts w:ascii="Arial" w:hAnsi="Arial" w:cs="Arial"/>
              </w:rPr>
              <w:t>Veiga</w:t>
            </w:r>
            <w:proofErr w:type="spellEnd"/>
            <w:r>
              <w:rPr>
                <w:rFonts w:ascii="Arial" w:hAnsi="Arial" w:cs="Arial"/>
              </w:rPr>
              <w:t xml:space="preserve"> (2016) was used. For f</w:t>
            </w:r>
            <w:r>
              <w:rPr>
                <w:rStyle w:val="Strong"/>
                <w:rFonts w:ascii="Arial" w:hAnsi="Arial" w:cs="Arial"/>
                <w:b w:val="0"/>
                <w:bCs w:val="0"/>
              </w:rPr>
              <w:t>actors of academic performance,</w:t>
            </w:r>
            <w:r>
              <w:rPr>
                <w:rFonts w:ascii="Arial" w:hAnsi="Arial" w:cs="Arial"/>
              </w:rPr>
              <w:t xml:space="preserve"> a 23-item adapted questionnaire from </w:t>
            </w:r>
            <w:proofErr w:type="spellStart"/>
            <w:r>
              <w:rPr>
                <w:rFonts w:ascii="Arial" w:hAnsi="Arial" w:cs="Arial"/>
              </w:rPr>
              <w:t>Shahz</w:t>
            </w:r>
            <w:r>
              <w:rPr>
                <w:rFonts w:ascii="Arial" w:hAnsi="Arial" w:cs="Arial"/>
              </w:rPr>
              <w:t>adi</w:t>
            </w:r>
            <w:proofErr w:type="spellEnd"/>
            <w:r>
              <w:rPr>
                <w:rFonts w:ascii="Arial" w:hAnsi="Arial" w:cs="Arial"/>
              </w:rPr>
              <w:t xml:space="preserve"> and Ahmad (2011). Responses for all three instruments were categorized using a five-point scale ranging from Very High (4.20-5.00) to Very Low (1.00-1.79). Moreover, the adapted questionnaires were reviewed by the research advisor and expert validators</w:t>
            </w:r>
            <w:r>
              <w:rPr>
                <w:rFonts w:ascii="Arial" w:hAnsi="Arial" w:cs="Arial"/>
              </w:rPr>
              <w:t>. Pilot tests with 30 students (5 per grade level) was conducted to establish validity and reliability. Revisions were made based on feedback and pilot test results before final data collection.</w:t>
            </w:r>
          </w:p>
          <w:p w14:paraId="185C8DF4" w14:textId="77777777" w:rsidR="00ED1298" w:rsidRDefault="00E77581">
            <w:pPr>
              <w:pStyle w:val="Body"/>
              <w:spacing w:after="0"/>
              <w:rPr>
                <w:rFonts w:ascii="Arial" w:eastAsia="SimSun" w:hAnsi="Arial" w:cs="Arial"/>
              </w:rPr>
            </w:pPr>
            <w:r>
              <w:rPr>
                <w:rFonts w:ascii="Arial" w:eastAsia="Calibri" w:hAnsi="Arial" w:cs="Arial"/>
                <w:b/>
                <w:bCs/>
                <w:szCs w:val="22"/>
              </w:rPr>
              <w:t>Results:</w:t>
            </w:r>
            <w:r>
              <w:rPr>
                <w:rFonts w:ascii="Arial" w:eastAsia="Calibri" w:hAnsi="Arial" w:cs="Arial"/>
                <w:szCs w:val="22"/>
              </w:rPr>
              <w:t xml:space="preserve"> </w:t>
            </w:r>
            <w:r>
              <w:rPr>
                <w:rFonts w:ascii="Arial" w:eastAsia="SimSun" w:hAnsi="Arial" w:cs="Arial"/>
              </w:rPr>
              <w:t>High levels of all three variables and significant r</w:t>
            </w:r>
            <w:r>
              <w:rPr>
                <w:rFonts w:ascii="Arial" w:eastAsia="SimSun" w:hAnsi="Arial" w:cs="Arial"/>
              </w:rPr>
              <w:t>elationships between academic performance factors and both student engagement and environmental literacy, as well as between environmental literacy and student engagement were found. It also found partial mediation, meaning academic performance factors inf</w:t>
            </w:r>
            <w:r>
              <w:rPr>
                <w:rFonts w:ascii="Arial" w:eastAsia="SimSun" w:hAnsi="Arial" w:cs="Arial"/>
              </w:rPr>
              <w:t xml:space="preserve">luenced student engagement both directly and indirectly through environmental literacy. </w:t>
            </w:r>
          </w:p>
          <w:p w14:paraId="31BE81C3" w14:textId="77777777" w:rsidR="00ED1298" w:rsidRDefault="00E77581">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r>
              <w:rPr>
                <w:rFonts w:ascii="Arial" w:eastAsia="SimSun" w:hAnsi="Arial" w:cs="Arial"/>
              </w:rPr>
              <w:t>Fostering environmental literacy directly boosts student engagement and acts as a key pathway for academic performance factors to influence engagement. The</w:t>
            </w:r>
            <w:r>
              <w:rPr>
                <w:rFonts w:ascii="Arial" w:eastAsia="SimSun" w:hAnsi="Arial" w:cs="Arial"/>
              </w:rPr>
              <w:t xml:space="preserve"> results supported the Environmental Education Theory (EET), which emphasizes using the environment as a learning context to enhance environmental literacy and improve academic outcomes.</w:t>
            </w:r>
          </w:p>
        </w:tc>
      </w:tr>
    </w:tbl>
    <w:p w14:paraId="2B3394A7" w14:textId="77777777" w:rsidR="00ED1298" w:rsidRDefault="00ED1298">
      <w:pPr>
        <w:pStyle w:val="Body"/>
        <w:spacing w:after="0"/>
        <w:rPr>
          <w:rFonts w:ascii="Arial" w:hAnsi="Arial" w:cs="Arial"/>
          <w:i/>
        </w:rPr>
      </w:pPr>
    </w:p>
    <w:p w14:paraId="74DA89D4" w14:textId="77777777" w:rsidR="00ED1298" w:rsidRDefault="00E77581">
      <w:pPr>
        <w:pStyle w:val="Body"/>
        <w:spacing w:after="0"/>
        <w:rPr>
          <w:rFonts w:ascii="Arial" w:hAnsi="Arial" w:cs="Arial"/>
          <w:i/>
        </w:rPr>
      </w:pPr>
      <w:r>
        <w:rPr>
          <w:rFonts w:ascii="Arial" w:hAnsi="Arial" w:cs="Arial"/>
          <w:i/>
        </w:rPr>
        <w:t>Keywords: Student environment literary, academic performance, engag</w:t>
      </w:r>
      <w:r>
        <w:rPr>
          <w:rFonts w:ascii="Arial" w:hAnsi="Arial" w:cs="Arial"/>
          <w:i/>
        </w:rPr>
        <w:t>ement in science</w:t>
      </w:r>
    </w:p>
    <w:p w14:paraId="7EE68EEF" w14:textId="77777777" w:rsidR="00ED1298" w:rsidRDefault="00ED1298">
      <w:pPr>
        <w:pStyle w:val="AbstHead"/>
        <w:spacing w:after="0"/>
        <w:jc w:val="both"/>
        <w:rPr>
          <w:rFonts w:ascii="Arial" w:hAnsi="Arial" w:cs="Arial"/>
        </w:rPr>
      </w:pPr>
    </w:p>
    <w:p w14:paraId="6E067004" w14:textId="77777777" w:rsidR="00ED1298" w:rsidRDefault="00E77581">
      <w:pPr>
        <w:pStyle w:val="AbstHead"/>
        <w:spacing w:after="0"/>
        <w:jc w:val="both"/>
        <w:rPr>
          <w:rFonts w:ascii="Arial" w:hAnsi="Arial" w:cs="Arial"/>
        </w:rPr>
      </w:pPr>
      <w:r>
        <w:rPr>
          <w:rFonts w:ascii="Arial" w:hAnsi="Arial" w:cs="Arial"/>
        </w:rPr>
        <w:t>1. INTRODUCTION</w:t>
      </w:r>
    </w:p>
    <w:p w14:paraId="080439C6" w14:textId="77777777" w:rsidR="00ED1298" w:rsidRDefault="00ED1298">
      <w:pPr>
        <w:pStyle w:val="AbstHead"/>
        <w:spacing w:after="0"/>
        <w:jc w:val="both"/>
        <w:rPr>
          <w:rFonts w:ascii="Arial" w:hAnsi="Arial" w:cs="Arial"/>
        </w:rPr>
      </w:pPr>
    </w:p>
    <w:p w14:paraId="25291F32" w14:textId="77777777" w:rsidR="00ED1298" w:rsidRDefault="00E77581">
      <w:pPr>
        <w:pStyle w:val="Body"/>
        <w:spacing w:after="0"/>
        <w:rPr>
          <w:rFonts w:ascii="Arial" w:eastAsia="SimSun" w:hAnsi="Arial" w:cs="Arial"/>
          <w:color w:val="000000" w:themeColor="text1"/>
        </w:rPr>
      </w:pPr>
      <w:r>
        <w:rPr>
          <w:rFonts w:ascii="Arial" w:eastAsia="SimSun" w:hAnsi="Arial" w:cs="Arial"/>
          <w:color w:val="000000" w:themeColor="text1"/>
        </w:rPr>
        <w:t xml:space="preserve">In developing nations such as the Philippines, education has always played a central role in human capital formation. Despite reforms, the Philippine educational system still faces access, equity, and quality challenges. </w:t>
      </w:r>
      <w:r>
        <w:rPr>
          <w:rFonts w:ascii="Arial" w:eastAsia="SimSun" w:hAnsi="Arial" w:cs="Arial"/>
          <w:color w:val="000000" w:themeColor="text1"/>
        </w:rPr>
        <w:t xml:space="preserve">The Philippines participated the </w:t>
      </w:r>
      <w:proofErr w:type="spellStart"/>
      <w:r>
        <w:rPr>
          <w:rFonts w:ascii="Arial" w:eastAsia="SimSun" w:hAnsi="Arial" w:cs="Arial"/>
          <w:color w:val="000000" w:themeColor="text1"/>
        </w:rPr>
        <w:t>Programme</w:t>
      </w:r>
      <w:proofErr w:type="spellEnd"/>
      <w:r>
        <w:rPr>
          <w:rFonts w:ascii="Arial" w:eastAsia="SimSun" w:hAnsi="Arial" w:cs="Arial"/>
          <w:color w:val="000000" w:themeColor="text1"/>
        </w:rPr>
        <w:t xml:space="preserve"> for International Student Assessment (PISA) of the </w:t>
      </w:r>
      <w:proofErr w:type="spellStart"/>
      <w:r>
        <w:rPr>
          <w:rFonts w:ascii="Arial" w:eastAsia="SimSun" w:hAnsi="Arial" w:cs="Arial"/>
          <w:color w:val="0000FF"/>
        </w:rPr>
        <w:t>Organisation</w:t>
      </w:r>
      <w:proofErr w:type="spellEnd"/>
      <w:r>
        <w:rPr>
          <w:rFonts w:ascii="Arial" w:eastAsia="SimSun" w:hAnsi="Arial" w:cs="Arial"/>
          <w:color w:val="0000FF"/>
        </w:rPr>
        <w:t xml:space="preserve"> for Economic Cooperation and </w:t>
      </w:r>
      <w:r>
        <w:rPr>
          <w:rFonts w:ascii="Arial" w:eastAsia="SimSun" w:hAnsi="Arial" w:cs="Arial"/>
          <w:color w:val="0000FF"/>
        </w:rPr>
        <w:lastRenderedPageBreak/>
        <w:t>Development (2018) [1]</w:t>
      </w:r>
      <w:r>
        <w:rPr>
          <w:rFonts w:ascii="Arial" w:eastAsia="SimSun" w:hAnsi="Arial" w:cs="Arial"/>
          <w:color w:val="000000" w:themeColor="text1"/>
        </w:rPr>
        <w:t xml:space="preserve"> evaluating students' skills in reading, mathematics, and science across countries, as part of the</w:t>
      </w:r>
      <w:r>
        <w:rPr>
          <w:rFonts w:ascii="Arial" w:eastAsia="SimSun" w:hAnsi="Arial" w:cs="Arial"/>
          <w:color w:val="000000" w:themeColor="text1"/>
        </w:rPr>
        <w:t xml:space="preserve"> Quality Basic Education reform plan and a step towards globalizing the quality of Philippine basic education </w:t>
      </w:r>
      <w:r>
        <w:rPr>
          <w:rFonts w:ascii="Arial" w:eastAsia="SimSun" w:hAnsi="Arial" w:cs="Arial"/>
          <w:color w:val="0000FF"/>
        </w:rPr>
        <w:t>(DepEd, 2019) [2]</w:t>
      </w:r>
      <w:r>
        <w:rPr>
          <w:rFonts w:ascii="Arial" w:eastAsia="SimSun" w:hAnsi="Arial" w:cs="Arial"/>
          <w:color w:val="000000" w:themeColor="text1"/>
        </w:rPr>
        <w:t>. According to recent results from the PISA, students from the Philippines are still among the least proficient in the world in m</w:t>
      </w:r>
      <w:r>
        <w:rPr>
          <w:rFonts w:ascii="Arial" w:eastAsia="SimSun" w:hAnsi="Arial" w:cs="Arial"/>
          <w:color w:val="000000" w:themeColor="text1"/>
        </w:rPr>
        <w:t xml:space="preserve">ath, reading, and science. The country's performance in 2018 did not significantly improve as measured by the most current PISA 2022 test results </w:t>
      </w:r>
      <w:r>
        <w:rPr>
          <w:rFonts w:ascii="Arial" w:eastAsia="SimSun" w:hAnsi="Arial" w:cs="Arial"/>
          <w:color w:val="0000FF"/>
        </w:rPr>
        <w:t>(Chi, 2023) [3]</w:t>
      </w:r>
      <w:r>
        <w:rPr>
          <w:rFonts w:ascii="Arial" w:eastAsia="SimSun" w:hAnsi="Arial" w:cs="Arial"/>
          <w:color w:val="000000" w:themeColor="text1"/>
        </w:rPr>
        <w:t>.</w:t>
      </w:r>
    </w:p>
    <w:p w14:paraId="359E98D5" w14:textId="77777777" w:rsidR="00ED1298" w:rsidRDefault="00ED1298">
      <w:pPr>
        <w:jc w:val="both"/>
        <w:rPr>
          <w:rFonts w:ascii="Arial" w:eastAsia="SimSun" w:hAnsi="Arial" w:cs="Arial"/>
          <w:color w:val="000000" w:themeColor="text1"/>
        </w:rPr>
      </w:pPr>
    </w:p>
    <w:p w14:paraId="2059EACA" w14:textId="77777777" w:rsidR="00ED1298" w:rsidRDefault="00E77581">
      <w:pPr>
        <w:jc w:val="both"/>
        <w:rPr>
          <w:rFonts w:ascii="Arial" w:eastAsia="SimSun" w:hAnsi="Arial" w:cs="Arial"/>
          <w:color w:val="FF0000"/>
        </w:rPr>
      </w:pPr>
      <w:r>
        <w:rPr>
          <w:rFonts w:ascii="Arial" w:eastAsia="SimSun" w:hAnsi="Arial" w:cs="Arial"/>
          <w:color w:val="000000" w:themeColor="text1"/>
        </w:rPr>
        <w:t>In PISA 2022, particularly in science, the results are alarming. The Filipino students’ mean</w:t>
      </w:r>
      <w:r>
        <w:rPr>
          <w:rFonts w:ascii="Arial" w:eastAsia="SimSun" w:hAnsi="Arial" w:cs="Arial"/>
          <w:color w:val="000000" w:themeColor="text1"/>
        </w:rPr>
        <w:t xml:space="preserve"> score in science performance is one of the lowest among PISA-participating countries and economies, which is ranked 78 out of 80. Meanwhile, the percentage of low performers in science (below proficiency Level 2) is one of the highest among PISA-participa</w:t>
      </w:r>
      <w:r>
        <w:rPr>
          <w:rFonts w:ascii="Arial" w:eastAsia="SimSun" w:hAnsi="Arial" w:cs="Arial"/>
          <w:color w:val="000000" w:themeColor="text1"/>
        </w:rPr>
        <w:t xml:space="preserve">ting countries and economies (77.2%, rank 4 out of 80) </w:t>
      </w:r>
      <w:r>
        <w:rPr>
          <w:rFonts w:ascii="Arial" w:eastAsia="SimSun" w:hAnsi="Arial" w:cs="Arial"/>
          <w:color w:val="0000FF"/>
        </w:rPr>
        <w:t>(Education GPS - OECD, 2022) [4]</w:t>
      </w:r>
      <w:r>
        <w:rPr>
          <w:rFonts w:ascii="Arial" w:eastAsia="SimSun" w:hAnsi="Arial" w:cs="Arial"/>
          <w:color w:val="000000" w:themeColor="text1"/>
        </w:rPr>
        <w:t>. In November 2023, Vice President Sarah Duterte, who also serves as the Secretary of the Department of Education, anticipated the poor results of the PISA. She emphasiz</w:t>
      </w:r>
      <w:r>
        <w:rPr>
          <w:rFonts w:ascii="Arial" w:eastAsia="SimSun" w:hAnsi="Arial" w:cs="Arial"/>
          <w:color w:val="000000" w:themeColor="text1"/>
        </w:rPr>
        <w:t>ed that the PISA scores do not solely reflect the state of the educational system but also serve as a broader indicator of collective efforts, financial investments, and societal dedication to improving learning outcomes and securing a better future for th</w:t>
      </w:r>
      <w:r>
        <w:rPr>
          <w:rFonts w:ascii="Arial" w:eastAsia="SimSun" w:hAnsi="Arial" w:cs="Arial"/>
          <w:color w:val="000000" w:themeColor="text1"/>
        </w:rPr>
        <w:t>e youth</w:t>
      </w:r>
      <w:r>
        <w:rPr>
          <w:rFonts w:ascii="Arial" w:hAnsi="Arial" w:cs="Arial"/>
          <w:color w:val="0000FF"/>
        </w:rPr>
        <w:t xml:space="preserve"> (</w:t>
      </w:r>
      <w:proofErr w:type="spellStart"/>
      <w:r>
        <w:rPr>
          <w:rFonts w:ascii="Arial" w:eastAsia="SimSun" w:hAnsi="Arial" w:cs="Arial"/>
          <w:color w:val="0000FF"/>
        </w:rPr>
        <w:t>Mangaluz</w:t>
      </w:r>
      <w:proofErr w:type="spellEnd"/>
      <w:r>
        <w:rPr>
          <w:rFonts w:ascii="Arial" w:eastAsia="SimSun" w:hAnsi="Arial" w:cs="Arial"/>
          <w:color w:val="0000FF"/>
        </w:rPr>
        <w:t>, 2023) [5]</w:t>
      </w:r>
      <w:r>
        <w:rPr>
          <w:rFonts w:ascii="Arial" w:eastAsia="SimSun" w:hAnsi="Arial" w:cs="Arial"/>
          <w:color w:val="000000" w:themeColor="text1"/>
        </w:rPr>
        <w:t>.</w:t>
      </w:r>
    </w:p>
    <w:p w14:paraId="3490FED5" w14:textId="77777777" w:rsidR="00ED1298" w:rsidRDefault="00ED1298">
      <w:pPr>
        <w:jc w:val="both"/>
        <w:rPr>
          <w:rFonts w:ascii="Arial" w:eastAsia="SimSun" w:hAnsi="Arial" w:cs="Arial"/>
          <w:color w:val="000000" w:themeColor="text1"/>
        </w:rPr>
      </w:pPr>
    </w:p>
    <w:p w14:paraId="398CF4BD" w14:textId="77777777" w:rsidR="00ED1298" w:rsidRDefault="00E77581">
      <w:pPr>
        <w:jc w:val="both"/>
        <w:rPr>
          <w:rFonts w:ascii="Arial" w:eastAsia="SimSun" w:hAnsi="Arial" w:cs="Arial"/>
          <w:color w:val="000000" w:themeColor="text1"/>
        </w:rPr>
      </w:pPr>
      <w:r>
        <w:rPr>
          <w:rFonts w:ascii="Arial" w:eastAsia="SimSun" w:hAnsi="Arial" w:cs="Arial"/>
          <w:color w:val="000000" w:themeColor="text1"/>
        </w:rPr>
        <w:t xml:space="preserve">The evolution of science education has been driven by technological advancements, the integration of proficiency-focused approaches in K-12 curricula, and the emergence of innovative school systems. These dynamic changes are </w:t>
      </w:r>
      <w:r>
        <w:rPr>
          <w:rFonts w:ascii="Arial" w:eastAsia="SimSun" w:hAnsi="Arial" w:cs="Arial"/>
          <w:color w:val="000000" w:themeColor="text1"/>
        </w:rPr>
        <w:t>expected to significantly influence various aspects of learning, particularly in enhancing student engagement and academic performance throughout the educational process. In the Philippines, science education faces several challenges, including those encou</w:t>
      </w:r>
      <w:r>
        <w:rPr>
          <w:rFonts w:ascii="Arial" w:eastAsia="SimSun" w:hAnsi="Arial" w:cs="Arial"/>
          <w:color w:val="000000" w:themeColor="text1"/>
        </w:rPr>
        <w:t xml:space="preserve">ntered by science teachers and the influence of student, family, and classroom-related factors on science learning </w:t>
      </w:r>
      <w:r>
        <w:rPr>
          <w:rFonts w:ascii="Arial" w:eastAsia="SimSun" w:hAnsi="Arial" w:cs="Arial"/>
          <w:color w:val="0000FF"/>
        </w:rPr>
        <w:t>(Collates et al., 2022; Bernardo et al., 2023) [6,7].</w:t>
      </w:r>
      <w:r>
        <w:rPr>
          <w:rFonts w:ascii="Arial" w:eastAsia="SimSun" w:hAnsi="Arial" w:cs="Arial"/>
          <w:color w:val="000000" w:themeColor="text1"/>
        </w:rPr>
        <w:t xml:space="preserve"> Amidst these challenges, teachers have demonstrated adaptability in navigating the "new</w:t>
      </w:r>
      <w:r>
        <w:rPr>
          <w:rFonts w:ascii="Arial" w:eastAsia="SimSun" w:hAnsi="Arial" w:cs="Arial"/>
          <w:color w:val="000000" w:themeColor="text1"/>
        </w:rPr>
        <w:t xml:space="preserve"> normal" of education, taking on a crucial role in fostering supportive and engaging learning environments for science education </w:t>
      </w:r>
      <w:r>
        <w:rPr>
          <w:rFonts w:ascii="Arial" w:eastAsia="SimSun" w:hAnsi="Arial" w:cs="Arial"/>
          <w:color w:val="0000FF"/>
        </w:rPr>
        <w:t>(Arietta et al., 2020; Adaro et al., 2022) [8,9].</w:t>
      </w:r>
    </w:p>
    <w:p w14:paraId="6F95DBD0" w14:textId="77777777" w:rsidR="00ED1298" w:rsidRDefault="00ED1298">
      <w:pPr>
        <w:jc w:val="both"/>
        <w:rPr>
          <w:rFonts w:ascii="Arial" w:eastAsia="SimSun" w:hAnsi="Arial" w:cs="Arial"/>
          <w:color w:val="000000" w:themeColor="text1"/>
        </w:rPr>
      </w:pPr>
    </w:p>
    <w:p w14:paraId="631E9CA4" w14:textId="77777777" w:rsidR="00ED1298" w:rsidRDefault="00E77581">
      <w:pPr>
        <w:jc w:val="both"/>
        <w:rPr>
          <w:rFonts w:ascii="Arial" w:eastAsia="Calibri" w:hAnsi="Arial" w:cs="Arial"/>
        </w:rPr>
      </w:pPr>
      <w:r>
        <w:rPr>
          <w:rFonts w:ascii="Arial" w:eastAsia="SimSun" w:hAnsi="Arial" w:cs="Arial"/>
          <w:color w:val="000000" w:themeColor="text1"/>
        </w:rPr>
        <w:t>The ability of students' environmental literacy is very influential in learn</w:t>
      </w:r>
      <w:r>
        <w:rPr>
          <w:rFonts w:ascii="Arial" w:eastAsia="SimSun" w:hAnsi="Arial" w:cs="Arial"/>
          <w:color w:val="000000" w:themeColor="text1"/>
        </w:rPr>
        <w:t xml:space="preserve">ing at school </w:t>
      </w:r>
      <w:r>
        <w:rPr>
          <w:rFonts w:ascii="Arial" w:eastAsia="SimSun" w:hAnsi="Arial" w:cs="Arial"/>
          <w:color w:val="0000FF"/>
        </w:rPr>
        <w:t>(</w:t>
      </w:r>
      <w:proofErr w:type="spellStart"/>
      <w:r>
        <w:rPr>
          <w:rFonts w:ascii="Arial" w:eastAsia="SimSun" w:hAnsi="Arial" w:cs="Arial"/>
          <w:color w:val="0000FF"/>
        </w:rPr>
        <w:t>Panjaitan</w:t>
      </w:r>
      <w:proofErr w:type="spellEnd"/>
      <w:r>
        <w:rPr>
          <w:rFonts w:ascii="Arial" w:eastAsia="SimSun" w:hAnsi="Arial" w:cs="Arial"/>
          <w:color w:val="0000FF"/>
        </w:rPr>
        <w:t xml:space="preserve"> et al., 2021) [10]</w:t>
      </w:r>
      <w:r>
        <w:rPr>
          <w:rFonts w:ascii="Arial" w:eastAsia="SimSun" w:hAnsi="Arial" w:cs="Arial"/>
          <w:color w:val="000000" w:themeColor="text1"/>
        </w:rPr>
        <w:t xml:space="preserve">. In addition, the study conducted by </w:t>
      </w:r>
      <w:r>
        <w:rPr>
          <w:rFonts w:ascii="Arial" w:eastAsia="SimSun" w:hAnsi="Arial" w:cs="Arial"/>
          <w:color w:val="0000FF"/>
        </w:rPr>
        <w:t>Yeh et al., (2021) [11]</w:t>
      </w:r>
      <w:r>
        <w:rPr>
          <w:rFonts w:ascii="Arial" w:eastAsia="SimSun" w:hAnsi="Arial" w:cs="Arial"/>
          <w:color w:val="000000" w:themeColor="text1"/>
        </w:rPr>
        <w:t xml:space="preserve"> reported that the students with higher scores in environmental literacy were able to proffer better environmental problem-solving strategies, analyze environmental problem-solving solutions incisively, and present multiple plans. </w:t>
      </w:r>
      <w:r>
        <w:rPr>
          <w:rFonts w:ascii="Arial" w:eastAsia="Calibri" w:hAnsi="Arial" w:cs="Arial"/>
        </w:rPr>
        <w:t>Likewise, environmental l</w:t>
      </w:r>
      <w:r>
        <w:rPr>
          <w:rFonts w:ascii="Arial" w:eastAsia="Calibri" w:hAnsi="Arial" w:cs="Arial"/>
        </w:rPr>
        <w:t xml:space="preserve">iteracy and engagement in science are closely connected, as environmental issues and sustainability are increasingly relevant and important topics in the scientific community. A study found that students who were more engaged in nature-related activities, </w:t>
      </w:r>
      <w:r>
        <w:rPr>
          <w:rFonts w:ascii="Arial" w:eastAsia="Calibri" w:hAnsi="Arial" w:cs="Arial"/>
        </w:rPr>
        <w:t xml:space="preserve">such as outdoor education and environmental stewardship, had higher levels of environmental knowledge and attitudes. The researchers suggest that engagement in nature-related activities can help to build students' environmental literacy. </w:t>
      </w:r>
    </w:p>
    <w:p w14:paraId="286C36F1" w14:textId="77777777" w:rsidR="00ED1298" w:rsidRDefault="00ED1298">
      <w:pPr>
        <w:jc w:val="both"/>
        <w:rPr>
          <w:rFonts w:ascii="Arial" w:eastAsia="Calibri" w:hAnsi="Arial" w:cs="Arial"/>
        </w:rPr>
      </w:pPr>
    </w:p>
    <w:p w14:paraId="5A847C96" w14:textId="77777777" w:rsidR="00ED1298" w:rsidRDefault="00E77581">
      <w:pPr>
        <w:jc w:val="both"/>
        <w:rPr>
          <w:rFonts w:ascii="Arial" w:eastAsia="Calibri" w:hAnsi="Arial" w:cs="Arial"/>
        </w:rPr>
      </w:pPr>
      <w:r>
        <w:rPr>
          <w:rFonts w:ascii="Arial" w:eastAsia="Calibri" w:hAnsi="Arial" w:cs="Arial"/>
        </w:rPr>
        <w:t xml:space="preserve">Several studies </w:t>
      </w:r>
      <w:r>
        <w:rPr>
          <w:rFonts w:ascii="Arial" w:eastAsia="Calibri" w:hAnsi="Arial" w:cs="Arial"/>
        </w:rPr>
        <w:t xml:space="preserve">conducted about factors of academic performance and engagement in science. However, the researcher was not coming across with similar studies in the locale. It is in this context that the researcher was interested to </w:t>
      </w:r>
      <w:r>
        <w:rPr>
          <w:rFonts w:ascii="Arial" w:hAnsi="Arial" w:cs="Arial"/>
          <w:bCs/>
          <w:color w:val="000000" w:themeColor="text1"/>
        </w:rPr>
        <w:t xml:space="preserve">determine the significance of the </w:t>
      </w:r>
      <w:r>
        <w:rPr>
          <w:rFonts w:ascii="Arial" w:hAnsi="Arial" w:cs="Arial"/>
          <w:bCs/>
        </w:rPr>
        <w:t>media</w:t>
      </w:r>
      <w:r>
        <w:rPr>
          <w:rFonts w:ascii="Arial" w:hAnsi="Arial" w:cs="Arial"/>
          <w:bCs/>
        </w:rPr>
        <w:t>ting effect of student environmental literacy on the relationship between factors of academic performance and student’s engagement</w:t>
      </w:r>
      <w:r>
        <w:rPr>
          <w:rFonts w:ascii="Arial" w:eastAsia="Calibri" w:hAnsi="Arial" w:cs="Arial"/>
        </w:rPr>
        <w:t>.</w:t>
      </w:r>
    </w:p>
    <w:p w14:paraId="27AC79CF" w14:textId="77777777" w:rsidR="00ED1298" w:rsidRDefault="00ED1298">
      <w:pPr>
        <w:pStyle w:val="NoSpacing"/>
        <w:contextualSpacing/>
        <w:jc w:val="both"/>
        <w:rPr>
          <w:rFonts w:ascii="Arial" w:eastAsiaTheme="minorHAnsi" w:hAnsi="Arial" w:cs="Arial"/>
          <w:bCs/>
          <w:color w:val="000000" w:themeColor="text1"/>
          <w:sz w:val="20"/>
          <w:szCs w:val="20"/>
          <w:lang w:val="en-PH"/>
        </w:rPr>
      </w:pPr>
    </w:p>
    <w:p w14:paraId="1EC9C295" w14:textId="77777777" w:rsidR="00ED1298" w:rsidRDefault="00E77581">
      <w:pPr>
        <w:pStyle w:val="NoSpacing"/>
        <w:contextualSpacing/>
        <w:jc w:val="both"/>
        <w:rPr>
          <w:rFonts w:ascii="Arial" w:eastAsiaTheme="minorHAnsi" w:hAnsi="Arial" w:cs="Arial"/>
          <w:bCs/>
          <w:color w:val="000000" w:themeColor="text1"/>
          <w:sz w:val="20"/>
          <w:szCs w:val="20"/>
          <w:lang w:val="en-PH"/>
        </w:rPr>
      </w:pPr>
      <w:r>
        <w:rPr>
          <w:rFonts w:ascii="Arial" w:eastAsiaTheme="minorHAnsi" w:hAnsi="Arial" w:cs="Arial"/>
          <w:bCs/>
          <w:color w:val="000000" w:themeColor="text1"/>
          <w:sz w:val="20"/>
          <w:szCs w:val="20"/>
          <w:lang w:val="en-PH"/>
        </w:rPr>
        <w:t xml:space="preserve">This study aimed to determine the significance of the mediating effect of student environmental literacy on the relationship between factors of academic performance and student engagement among junior high school students in a public high school in </w:t>
      </w:r>
      <w:proofErr w:type="spellStart"/>
      <w:r>
        <w:rPr>
          <w:rFonts w:ascii="Arial" w:eastAsiaTheme="minorHAnsi" w:hAnsi="Arial" w:cs="Arial"/>
          <w:bCs/>
          <w:color w:val="000000" w:themeColor="text1"/>
          <w:sz w:val="20"/>
          <w:szCs w:val="20"/>
          <w:lang w:val="en-PH"/>
        </w:rPr>
        <w:t>Baganga</w:t>
      </w:r>
      <w:proofErr w:type="spellEnd"/>
      <w:r>
        <w:rPr>
          <w:rFonts w:ascii="Arial" w:eastAsiaTheme="minorHAnsi" w:hAnsi="Arial" w:cs="Arial"/>
          <w:bCs/>
          <w:color w:val="000000" w:themeColor="text1"/>
          <w:sz w:val="20"/>
          <w:szCs w:val="20"/>
          <w:lang w:val="en-PH"/>
        </w:rPr>
        <w:t xml:space="preserve">, Davao Oriental. Specifically, this study sought answers to the following objectives. First was to identify the level of agreement among respondents regarding factors of academic </w:t>
      </w:r>
      <w:r>
        <w:rPr>
          <w:rFonts w:ascii="Arial" w:eastAsiaTheme="minorHAnsi" w:hAnsi="Arial" w:cs="Arial"/>
          <w:bCs/>
          <w:color w:val="000000" w:themeColor="text1"/>
          <w:sz w:val="20"/>
          <w:szCs w:val="20"/>
          <w:lang w:val="en-PH"/>
        </w:rPr>
        <w:lastRenderedPageBreak/>
        <w:t xml:space="preserve">performance, which include </w:t>
      </w:r>
      <w:r>
        <w:rPr>
          <w:rFonts w:ascii="Arial" w:eastAsiaTheme="minorHAnsi" w:hAnsi="Arial" w:cs="Arial"/>
          <w:bCs/>
          <w:i/>
          <w:iCs/>
          <w:color w:val="000000" w:themeColor="text1"/>
          <w:sz w:val="20"/>
          <w:szCs w:val="20"/>
          <w:lang w:val="en-PH"/>
        </w:rPr>
        <w:t>study habits</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learning skills</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hard work</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academi</w:t>
      </w:r>
      <w:r>
        <w:rPr>
          <w:rFonts w:ascii="Arial" w:eastAsiaTheme="minorHAnsi" w:hAnsi="Arial" w:cs="Arial"/>
          <w:bCs/>
          <w:i/>
          <w:iCs/>
          <w:color w:val="000000" w:themeColor="text1"/>
          <w:sz w:val="20"/>
          <w:szCs w:val="20"/>
          <w:lang w:val="en-PH"/>
        </w:rPr>
        <w:t>c interaction</w:t>
      </w:r>
      <w:r>
        <w:rPr>
          <w:rFonts w:ascii="Arial" w:eastAsiaTheme="minorHAnsi" w:hAnsi="Arial" w:cs="Arial"/>
          <w:bCs/>
          <w:color w:val="000000" w:themeColor="text1"/>
          <w:sz w:val="20"/>
          <w:szCs w:val="20"/>
          <w:lang w:val="en-PH"/>
        </w:rPr>
        <w:t xml:space="preserve">, and </w:t>
      </w:r>
      <w:r>
        <w:rPr>
          <w:rFonts w:ascii="Arial" w:eastAsiaTheme="minorHAnsi" w:hAnsi="Arial" w:cs="Arial"/>
          <w:bCs/>
          <w:i/>
          <w:iCs/>
          <w:color w:val="000000" w:themeColor="text1"/>
          <w:sz w:val="20"/>
          <w:szCs w:val="20"/>
          <w:lang w:val="en-PH"/>
        </w:rPr>
        <w:t xml:space="preserve">home environment. </w:t>
      </w:r>
      <w:r>
        <w:rPr>
          <w:rFonts w:ascii="Arial" w:eastAsiaTheme="minorHAnsi" w:hAnsi="Arial" w:cs="Arial"/>
          <w:bCs/>
          <w:color w:val="000000" w:themeColor="text1"/>
          <w:sz w:val="20"/>
          <w:szCs w:val="20"/>
          <w:lang w:val="en-PH"/>
        </w:rPr>
        <w:t xml:space="preserve">Second was to assess the level of agreement regarding student engagement, focusing on </w:t>
      </w:r>
      <w:r>
        <w:rPr>
          <w:rFonts w:ascii="Arial" w:eastAsiaTheme="minorHAnsi" w:hAnsi="Arial" w:cs="Arial"/>
          <w:bCs/>
          <w:i/>
          <w:iCs/>
          <w:color w:val="000000" w:themeColor="text1"/>
          <w:sz w:val="20"/>
          <w:szCs w:val="20"/>
          <w:lang w:val="en-PH"/>
        </w:rPr>
        <w:t>cognitive</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affective</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behavioral</w:t>
      </w:r>
      <w:r>
        <w:rPr>
          <w:rFonts w:ascii="Arial" w:eastAsiaTheme="minorHAnsi" w:hAnsi="Arial" w:cs="Arial"/>
          <w:bCs/>
          <w:color w:val="000000" w:themeColor="text1"/>
          <w:sz w:val="20"/>
          <w:szCs w:val="20"/>
          <w:lang w:val="en-PH"/>
        </w:rPr>
        <w:t xml:space="preserve">, and </w:t>
      </w:r>
      <w:r>
        <w:rPr>
          <w:rFonts w:ascii="Arial" w:eastAsiaTheme="minorHAnsi" w:hAnsi="Arial" w:cs="Arial"/>
          <w:bCs/>
          <w:i/>
          <w:iCs/>
          <w:color w:val="000000" w:themeColor="text1"/>
          <w:sz w:val="20"/>
          <w:szCs w:val="20"/>
          <w:lang w:val="en-PH"/>
        </w:rPr>
        <w:t>agency</w:t>
      </w:r>
      <w:r>
        <w:rPr>
          <w:rFonts w:ascii="Arial" w:eastAsiaTheme="minorHAnsi" w:hAnsi="Arial" w:cs="Arial"/>
          <w:bCs/>
          <w:color w:val="000000" w:themeColor="text1"/>
          <w:sz w:val="20"/>
          <w:szCs w:val="20"/>
          <w:lang w:val="en-PH"/>
        </w:rPr>
        <w:t xml:space="preserve"> aspects. Third was to measure the level of agreement about environmental literacy, looki</w:t>
      </w:r>
      <w:r>
        <w:rPr>
          <w:rFonts w:ascii="Arial" w:eastAsiaTheme="minorHAnsi" w:hAnsi="Arial" w:cs="Arial"/>
          <w:bCs/>
          <w:color w:val="000000" w:themeColor="text1"/>
          <w:sz w:val="20"/>
          <w:szCs w:val="20"/>
          <w:lang w:val="en-PH"/>
        </w:rPr>
        <w:t xml:space="preserve">ng at </w:t>
      </w:r>
      <w:r>
        <w:rPr>
          <w:rFonts w:ascii="Arial" w:eastAsiaTheme="minorHAnsi" w:hAnsi="Arial" w:cs="Arial"/>
          <w:bCs/>
          <w:i/>
          <w:iCs/>
          <w:color w:val="000000" w:themeColor="text1"/>
          <w:sz w:val="20"/>
          <w:szCs w:val="20"/>
          <w:lang w:val="en-PH"/>
        </w:rPr>
        <w:t>attitudes</w:t>
      </w:r>
      <w:r>
        <w:rPr>
          <w:rFonts w:ascii="Arial" w:eastAsiaTheme="minorHAnsi" w:hAnsi="Arial" w:cs="Arial"/>
          <w:bCs/>
          <w:color w:val="000000" w:themeColor="text1"/>
          <w:sz w:val="20"/>
          <w:szCs w:val="20"/>
          <w:lang w:val="en-PH"/>
        </w:rPr>
        <w:t xml:space="preserve">, </w:t>
      </w:r>
      <w:r>
        <w:rPr>
          <w:rFonts w:ascii="Arial" w:eastAsiaTheme="minorHAnsi" w:hAnsi="Arial" w:cs="Arial"/>
          <w:bCs/>
          <w:i/>
          <w:iCs/>
          <w:color w:val="000000" w:themeColor="text1"/>
          <w:sz w:val="20"/>
          <w:szCs w:val="20"/>
          <w:lang w:val="en-PH"/>
        </w:rPr>
        <w:t>knowledge</w:t>
      </w:r>
      <w:r>
        <w:rPr>
          <w:rFonts w:ascii="Arial" w:eastAsiaTheme="minorHAnsi" w:hAnsi="Arial" w:cs="Arial"/>
          <w:bCs/>
          <w:color w:val="000000" w:themeColor="text1"/>
          <w:sz w:val="20"/>
          <w:szCs w:val="20"/>
          <w:lang w:val="en-PH"/>
        </w:rPr>
        <w:t xml:space="preserve">, and </w:t>
      </w:r>
      <w:r>
        <w:rPr>
          <w:rFonts w:ascii="Arial" w:eastAsiaTheme="minorHAnsi" w:hAnsi="Arial" w:cs="Arial"/>
          <w:bCs/>
          <w:i/>
          <w:iCs/>
          <w:color w:val="000000" w:themeColor="text1"/>
          <w:sz w:val="20"/>
          <w:szCs w:val="20"/>
          <w:lang w:val="en-PH"/>
        </w:rPr>
        <w:t>behavior</w:t>
      </w:r>
      <w:r>
        <w:rPr>
          <w:rFonts w:ascii="Arial" w:eastAsiaTheme="minorHAnsi" w:hAnsi="Arial" w:cs="Arial"/>
          <w:bCs/>
          <w:color w:val="000000" w:themeColor="text1"/>
          <w:sz w:val="20"/>
          <w:szCs w:val="20"/>
          <w:lang w:val="en-PH"/>
        </w:rPr>
        <w:t>. Fourth was to determine the significance of the relationship between factors of academic performance and student engagement, academic performance and environmental literacy, and environmental literacy and student e</w:t>
      </w:r>
      <w:r>
        <w:rPr>
          <w:rFonts w:ascii="Arial" w:eastAsiaTheme="minorHAnsi" w:hAnsi="Arial" w:cs="Arial"/>
          <w:bCs/>
          <w:color w:val="000000" w:themeColor="text1"/>
          <w:sz w:val="20"/>
          <w:szCs w:val="20"/>
          <w:lang w:val="en-PH"/>
        </w:rPr>
        <w:t>ngagement, and last was to evaluate the significance of the mediating effect of student environmental literacy on the relationship between academic performance and student engagement.</w:t>
      </w:r>
    </w:p>
    <w:p w14:paraId="3D3A9370" w14:textId="77777777" w:rsidR="00ED1298" w:rsidRDefault="00ED1298">
      <w:pPr>
        <w:pStyle w:val="NoSpacing"/>
        <w:contextualSpacing/>
        <w:jc w:val="both"/>
        <w:rPr>
          <w:rFonts w:ascii="Arial" w:eastAsiaTheme="minorHAnsi" w:hAnsi="Arial" w:cs="Arial"/>
          <w:bCs/>
          <w:color w:val="000000" w:themeColor="text1"/>
          <w:sz w:val="20"/>
          <w:szCs w:val="20"/>
          <w:lang w:val="en-PH"/>
        </w:rPr>
      </w:pPr>
    </w:p>
    <w:p w14:paraId="0B370A34" w14:textId="77777777" w:rsidR="00ED1298" w:rsidRDefault="00E77581">
      <w:pPr>
        <w:pStyle w:val="NoSpacing"/>
        <w:contextualSpacing/>
        <w:jc w:val="both"/>
        <w:rPr>
          <w:rFonts w:ascii="Arial" w:eastAsiaTheme="minorHAnsi" w:hAnsi="Arial" w:cs="Arial"/>
          <w:bCs/>
          <w:color w:val="000000" w:themeColor="text1"/>
          <w:sz w:val="20"/>
          <w:szCs w:val="20"/>
        </w:rPr>
      </w:pPr>
      <w:r>
        <w:rPr>
          <w:rFonts w:ascii="Arial" w:eastAsiaTheme="minorHAnsi" w:hAnsi="Arial" w:cs="Arial"/>
          <w:bCs/>
          <w:color w:val="000000" w:themeColor="text1"/>
          <w:sz w:val="20"/>
          <w:szCs w:val="20"/>
          <w:lang w:val="en-PH"/>
        </w:rPr>
        <w:t xml:space="preserve">Further, </w:t>
      </w:r>
      <w:r>
        <w:rPr>
          <w:rFonts w:ascii="Arial" w:eastAsia="Times New Roman" w:hAnsi="Arial" w:cs="Arial"/>
          <w:sz w:val="20"/>
          <w:szCs w:val="20"/>
        </w:rPr>
        <w:t>the following null hypotheses are tested at 0.05 level of significance. First, there is no significant relationship between factors of academic performance and student’s engagement; factors of academic performance and environment literacy; and environmenta</w:t>
      </w:r>
      <w:r>
        <w:rPr>
          <w:rFonts w:ascii="Arial" w:eastAsia="Times New Roman" w:hAnsi="Arial" w:cs="Arial"/>
          <w:sz w:val="20"/>
          <w:szCs w:val="20"/>
        </w:rPr>
        <w:t xml:space="preserve">l literacy and student’s engagement. Second, there is no </w:t>
      </w:r>
      <w:r>
        <w:rPr>
          <w:rFonts w:ascii="Arial" w:eastAsiaTheme="minorHAnsi" w:hAnsi="Arial" w:cs="Arial"/>
          <w:bCs/>
          <w:color w:val="000000" w:themeColor="text1"/>
          <w:sz w:val="20"/>
          <w:szCs w:val="20"/>
        </w:rPr>
        <w:t>significance of the mediating effect of student environmental literacy on the relationship between factors of academic performance and student’s engagement.</w:t>
      </w:r>
    </w:p>
    <w:p w14:paraId="598F308D" w14:textId="77777777" w:rsidR="00ED1298" w:rsidRDefault="00ED1298">
      <w:pPr>
        <w:jc w:val="both"/>
        <w:rPr>
          <w:rFonts w:ascii="Arial" w:hAnsi="Arial" w:cs="Arial"/>
        </w:rPr>
      </w:pPr>
    </w:p>
    <w:p w14:paraId="65466BE2" w14:textId="77777777" w:rsidR="00ED1298" w:rsidRDefault="00E77581">
      <w:pPr>
        <w:jc w:val="both"/>
        <w:rPr>
          <w:rFonts w:ascii="Arial" w:hAnsi="Arial" w:cs="Arial"/>
        </w:rPr>
      </w:pPr>
      <w:r>
        <w:rPr>
          <w:rFonts w:ascii="Arial" w:hAnsi="Arial" w:cs="Arial"/>
        </w:rPr>
        <w:t>The conceptual framework in Figure 1 show</w:t>
      </w:r>
      <w:r>
        <w:rPr>
          <w:rFonts w:ascii="Arial" w:hAnsi="Arial" w:cs="Arial"/>
        </w:rPr>
        <w:t xml:space="preserve">s the independent variable, dependent variable, and mediating variable of the study. The independent variable of the study is the </w:t>
      </w:r>
      <w:r>
        <w:rPr>
          <w:rFonts w:ascii="Arial" w:hAnsi="Arial" w:cs="Arial"/>
          <w:i/>
          <w:iCs/>
        </w:rPr>
        <w:t>factors of academic performance</w:t>
      </w:r>
      <w:r>
        <w:rPr>
          <w:rFonts w:ascii="Arial" w:hAnsi="Arial" w:cs="Arial"/>
        </w:rPr>
        <w:t xml:space="preserve">, which has its indicators namely: </w:t>
      </w:r>
      <w:r>
        <w:rPr>
          <w:rFonts w:ascii="Arial" w:hAnsi="Arial" w:cs="Arial"/>
          <w:i/>
          <w:iCs/>
        </w:rPr>
        <w:t>study skills, learning skills, hardworking, academic interac</w:t>
      </w:r>
      <w:r>
        <w:rPr>
          <w:rFonts w:ascii="Arial" w:hAnsi="Arial" w:cs="Arial"/>
          <w:i/>
          <w:iCs/>
        </w:rPr>
        <w:t>tion, and home environment</w:t>
      </w:r>
      <w:r>
        <w:rPr>
          <w:rFonts w:ascii="Arial" w:hAnsi="Arial" w:cs="Arial"/>
        </w:rPr>
        <w:t xml:space="preserve">. The dependent variable in this study is student engagement, as defined by </w:t>
      </w:r>
      <w:r>
        <w:rPr>
          <w:rFonts w:ascii="Arial" w:hAnsi="Arial" w:cs="Arial"/>
          <w:color w:val="0000FF"/>
        </w:rPr>
        <w:t>Reeve et al. (2020) [12].</w:t>
      </w:r>
      <w:r>
        <w:rPr>
          <w:rFonts w:ascii="Arial" w:hAnsi="Arial" w:cs="Arial"/>
        </w:rPr>
        <w:t xml:space="preserve"> It is measured across four dimensions: </w:t>
      </w:r>
      <w:r>
        <w:rPr>
          <w:rFonts w:ascii="Arial" w:hAnsi="Arial" w:cs="Arial"/>
          <w:i/>
          <w:iCs/>
        </w:rPr>
        <w:t>cognitive engagement</w:t>
      </w:r>
      <w:r>
        <w:rPr>
          <w:rFonts w:ascii="Arial" w:hAnsi="Arial" w:cs="Arial"/>
        </w:rPr>
        <w:t xml:space="preserve">, </w:t>
      </w:r>
      <w:r>
        <w:rPr>
          <w:rFonts w:ascii="Arial" w:hAnsi="Arial" w:cs="Arial"/>
          <w:i/>
          <w:iCs/>
        </w:rPr>
        <w:t>affective engagement</w:t>
      </w:r>
      <w:r>
        <w:rPr>
          <w:rFonts w:ascii="Arial" w:hAnsi="Arial" w:cs="Arial"/>
        </w:rPr>
        <w:t xml:space="preserve">, </w:t>
      </w:r>
      <w:r>
        <w:rPr>
          <w:rFonts w:ascii="Arial" w:hAnsi="Arial" w:cs="Arial"/>
          <w:i/>
          <w:iCs/>
        </w:rPr>
        <w:t>behavioral engagement</w:t>
      </w:r>
      <w:r>
        <w:rPr>
          <w:rFonts w:ascii="Arial" w:hAnsi="Arial" w:cs="Arial"/>
        </w:rPr>
        <w:t xml:space="preserve">, and </w:t>
      </w:r>
      <w:r>
        <w:rPr>
          <w:rFonts w:ascii="Arial" w:hAnsi="Arial" w:cs="Arial"/>
          <w:i/>
          <w:iCs/>
        </w:rPr>
        <w:t>agency engagement</w:t>
      </w:r>
      <w:r>
        <w:rPr>
          <w:rFonts w:ascii="Arial" w:hAnsi="Arial" w:cs="Arial"/>
        </w:rPr>
        <w:t>.</w:t>
      </w:r>
      <w:r>
        <w:rPr>
          <w:rFonts w:ascii="Arial" w:hAnsi="Arial" w:cs="Arial"/>
        </w:rPr>
        <w:t xml:space="preserve"> A mediating variable is used in this study. It is an intermediate variable that acts as a bridge between the independent variable and the dependent variable. In the current study, environmental literacy is the mediating variable that explains the relation</w:t>
      </w:r>
      <w:r>
        <w:rPr>
          <w:rFonts w:ascii="Arial" w:hAnsi="Arial" w:cs="Arial"/>
        </w:rPr>
        <w:t>ship between the factors of academic performance (independent variable) and student engagement in science (dependent variable).</w:t>
      </w:r>
    </w:p>
    <w:p w14:paraId="7D5D507B" w14:textId="77777777" w:rsidR="00CB2442" w:rsidRDefault="00CB2442">
      <w:pPr>
        <w:jc w:val="both"/>
        <w:rPr>
          <w:rFonts w:ascii="Arial" w:hAnsi="Arial" w:cs="Arial"/>
        </w:rPr>
      </w:pPr>
    </w:p>
    <w:p w14:paraId="6FE24F89" w14:textId="77777777" w:rsidR="00CB2442" w:rsidRDefault="00CB2442">
      <w:pPr>
        <w:jc w:val="both"/>
        <w:rPr>
          <w:rFonts w:ascii="Arial" w:hAnsi="Arial" w:cs="Arial"/>
        </w:rPr>
      </w:pPr>
    </w:p>
    <w:p w14:paraId="77134415" w14:textId="77777777" w:rsidR="00CB2442" w:rsidRDefault="00CB2442">
      <w:pPr>
        <w:jc w:val="both"/>
        <w:rPr>
          <w:rFonts w:ascii="Arial" w:hAnsi="Arial" w:cs="Arial"/>
        </w:rPr>
      </w:pPr>
    </w:p>
    <w:p w14:paraId="41F1F8E2" w14:textId="77777777" w:rsidR="00CB2442" w:rsidRDefault="00CB2442">
      <w:pPr>
        <w:jc w:val="both"/>
        <w:rPr>
          <w:rFonts w:ascii="Arial" w:hAnsi="Arial" w:cs="Arial"/>
        </w:rPr>
      </w:pPr>
    </w:p>
    <w:p w14:paraId="69C1B623" w14:textId="77777777" w:rsidR="00CB2442" w:rsidRDefault="00CB2442">
      <w:pPr>
        <w:jc w:val="both"/>
        <w:rPr>
          <w:rFonts w:ascii="Arial" w:hAnsi="Arial" w:cs="Arial"/>
        </w:rPr>
      </w:pPr>
    </w:p>
    <w:p w14:paraId="1E29823C" w14:textId="77777777" w:rsidR="00CB2442" w:rsidRDefault="00CB2442">
      <w:pPr>
        <w:jc w:val="both"/>
        <w:rPr>
          <w:rFonts w:ascii="Arial" w:hAnsi="Arial" w:cs="Arial"/>
        </w:rPr>
      </w:pPr>
    </w:p>
    <w:p w14:paraId="310F6EF3" w14:textId="77777777" w:rsidR="00CB2442" w:rsidRDefault="00CB2442">
      <w:pPr>
        <w:jc w:val="both"/>
        <w:rPr>
          <w:rFonts w:ascii="Arial" w:hAnsi="Arial" w:cs="Arial"/>
        </w:rPr>
      </w:pPr>
    </w:p>
    <w:p w14:paraId="6A33F095" w14:textId="77777777" w:rsidR="00CB2442" w:rsidRDefault="00CB2442">
      <w:pPr>
        <w:jc w:val="both"/>
        <w:rPr>
          <w:rFonts w:ascii="Arial" w:hAnsi="Arial" w:cs="Arial"/>
        </w:rPr>
      </w:pPr>
    </w:p>
    <w:p w14:paraId="6F4408A8" w14:textId="77777777" w:rsidR="00CB2442" w:rsidRDefault="00CB2442">
      <w:pPr>
        <w:jc w:val="both"/>
        <w:rPr>
          <w:rFonts w:ascii="Arial" w:hAnsi="Arial" w:cs="Arial"/>
        </w:rPr>
      </w:pPr>
    </w:p>
    <w:p w14:paraId="1329BECD" w14:textId="77777777" w:rsidR="00CB2442" w:rsidRDefault="00CB2442">
      <w:pPr>
        <w:jc w:val="both"/>
        <w:rPr>
          <w:rFonts w:ascii="Arial" w:hAnsi="Arial" w:cs="Arial"/>
        </w:rPr>
      </w:pPr>
    </w:p>
    <w:p w14:paraId="07FD5DB9" w14:textId="77777777" w:rsidR="00CB2442" w:rsidRDefault="00CB2442">
      <w:pPr>
        <w:jc w:val="both"/>
        <w:rPr>
          <w:rFonts w:ascii="Arial" w:hAnsi="Arial" w:cs="Arial"/>
        </w:rPr>
      </w:pPr>
    </w:p>
    <w:p w14:paraId="09F51E26" w14:textId="77777777" w:rsidR="00CB2442" w:rsidRDefault="00CB2442">
      <w:pPr>
        <w:jc w:val="both"/>
        <w:rPr>
          <w:rFonts w:ascii="Arial" w:hAnsi="Arial" w:cs="Arial"/>
        </w:rPr>
      </w:pPr>
    </w:p>
    <w:p w14:paraId="5813C72B" w14:textId="77777777" w:rsidR="00CB2442" w:rsidRDefault="00CB2442">
      <w:pPr>
        <w:jc w:val="both"/>
        <w:rPr>
          <w:rFonts w:ascii="Arial" w:hAnsi="Arial" w:cs="Arial"/>
        </w:rPr>
      </w:pPr>
    </w:p>
    <w:p w14:paraId="0C8092D5" w14:textId="77777777" w:rsidR="00CB2442" w:rsidRDefault="00CB2442">
      <w:pPr>
        <w:jc w:val="both"/>
        <w:rPr>
          <w:rFonts w:ascii="Arial" w:hAnsi="Arial" w:cs="Arial"/>
        </w:rPr>
      </w:pPr>
    </w:p>
    <w:p w14:paraId="29D51574" w14:textId="77777777" w:rsidR="00CB2442" w:rsidRDefault="00CB2442">
      <w:pPr>
        <w:jc w:val="both"/>
        <w:rPr>
          <w:rFonts w:ascii="Arial" w:hAnsi="Arial" w:cs="Arial"/>
        </w:rPr>
      </w:pPr>
    </w:p>
    <w:p w14:paraId="3DAF3418" w14:textId="77777777" w:rsidR="00CB2442" w:rsidRDefault="00CB2442">
      <w:pPr>
        <w:jc w:val="both"/>
        <w:rPr>
          <w:rFonts w:ascii="Arial" w:hAnsi="Arial" w:cs="Arial"/>
        </w:rPr>
      </w:pPr>
    </w:p>
    <w:p w14:paraId="46D2E49D" w14:textId="77777777" w:rsidR="00CB2442" w:rsidRDefault="00CB2442">
      <w:pPr>
        <w:jc w:val="both"/>
        <w:rPr>
          <w:rFonts w:ascii="Arial" w:hAnsi="Arial" w:cs="Arial"/>
        </w:rPr>
      </w:pPr>
    </w:p>
    <w:p w14:paraId="2A32DD2D" w14:textId="77777777" w:rsidR="00CB2442" w:rsidRDefault="00CB2442">
      <w:pPr>
        <w:jc w:val="both"/>
        <w:rPr>
          <w:rFonts w:ascii="Arial" w:hAnsi="Arial" w:cs="Arial"/>
        </w:rPr>
      </w:pPr>
    </w:p>
    <w:p w14:paraId="2C249637" w14:textId="77777777" w:rsidR="00CB2442" w:rsidRDefault="00CB2442">
      <w:pPr>
        <w:jc w:val="both"/>
        <w:rPr>
          <w:rFonts w:ascii="Arial" w:hAnsi="Arial" w:cs="Arial"/>
        </w:rPr>
      </w:pPr>
    </w:p>
    <w:p w14:paraId="59A5B50F" w14:textId="77777777" w:rsidR="00ED1298" w:rsidRDefault="00ED1298">
      <w:pPr>
        <w:jc w:val="both"/>
        <w:rPr>
          <w:rFonts w:ascii="Arial" w:hAnsi="Arial" w:cs="Arial"/>
        </w:rPr>
      </w:pPr>
    </w:p>
    <w:p w14:paraId="451FF93C" w14:textId="77777777" w:rsidR="00ED1298" w:rsidRDefault="00E77581">
      <w:pPr>
        <w:ind w:right="-909"/>
        <w:jc w:val="both"/>
        <w:rPr>
          <w:rFonts w:ascii="Arial" w:hAnsi="Arial" w:cs="Arial"/>
          <w:color w:val="000000" w:themeColor="text1"/>
        </w:rPr>
      </w:pPr>
      <w:r>
        <w:rPr>
          <w:rFonts w:ascii="Arial" w:hAnsi="Arial" w:cs="Arial"/>
          <w:color w:val="000000" w:themeColor="text1"/>
        </w:rPr>
        <w:t xml:space="preserve">             Independent Variable</w:t>
      </w:r>
      <w:r>
        <w:rPr>
          <w:rFonts w:ascii="Arial" w:hAnsi="Arial" w:cs="Arial"/>
          <w:color w:val="000000" w:themeColor="text1"/>
        </w:rPr>
        <w:tab/>
        <w:t xml:space="preserve">                                                               Dependent V</w:t>
      </w:r>
      <w:r>
        <w:rPr>
          <w:rFonts w:ascii="Arial" w:hAnsi="Arial" w:cs="Arial"/>
          <w:color w:val="000000" w:themeColor="text1"/>
        </w:rPr>
        <w:t>ariable</w:t>
      </w:r>
    </w:p>
    <w:p w14:paraId="76A94524" w14:textId="77777777" w:rsidR="00ED1298" w:rsidRDefault="00E77581">
      <w:pPr>
        <w:jc w:val="both"/>
        <w:rPr>
          <w:rFonts w:ascii="Arial" w:hAnsi="Arial" w:cs="Arial"/>
          <w:b/>
          <w:bCs/>
          <w:color w:val="000000" w:themeColor="text1"/>
        </w:rPr>
      </w:pPr>
      <w:r>
        <w:rPr>
          <w:rFonts w:ascii="Arial" w:hAnsi="Arial" w:cs="Arial"/>
        </w:rPr>
        <w:pict w14:anchorId="0394166F">
          <v:rect id="Rectangle 13" o:spid="_x0000_s1033" style="position:absolute;left:0;text-align:left;margin-left:.2pt;margin-top:5.8pt;width:170.15pt;height:88.95pt;z-index:251662336;mso-width-relative:page;mso-height-relative:page;v-text-anchor:middle" o:gfxdata="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fFqEdUAAAAIAQAADwAA&#10;AAAAAAABACAAAAAiAAAAZHJzL2Rvd25yZXYueG1sUEsBAhQAFAAAAAgAh07iQC2emc6LAgAAPgUA&#10;AA4AAAAAAAAAAQAgAAAAJAEAAGRycy9lMm9Eb2MueG1sUEsFBgAAAAAGAAYAWQEAACEGAAAAAA==&#10;" strokeweight="1pt">
            <v:textbox>
              <w:txbxContent>
                <w:p w14:paraId="6AE56927" w14:textId="77777777" w:rsidR="00ED1298" w:rsidRDefault="00E77581">
                  <w:pPr>
                    <w:jc w:val="center"/>
                    <w:rPr>
                      <w:rFonts w:ascii="Arial" w:hAnsi="Arial" w:cs="Arial"/>
                    </w:rPr>
                  </w:pPr>
                  <w:r>
                    <w:rPr>
                      <w:rFonts w:ascii="Arial" w:hAnsi="Arial" w:cs="Arial"/>
                    </w:rPr>
                    <w:t>Factors of Academic Performance</w:t>
                  </w:r>
                </w:p>
                <w:p w14:paraId="7DFFFB45" w14:textId="77777777" w:rsidR="00ED1298" w:rsidRDefault="00E77581">
                  <w:pPr>
                    <w:pStyle w:val="ListParagraph"/>
                    <w:numPr>
                      <w:ilvl w:val="0"/>
                      <w:numId w:val="2"/>
                    </w:numPr>
                    <w:spacing w:after="0" w:line="240" w:lineRule="auto"/>
                    <w:rPr>
                      <w:rFonts w:ascii="Arial" w:hAnsi="Arial" w:cs="Arial"/>
                    </w:rPr>
                  </w:pPr>
                  <w:r>
                    <w:rPr>
                      <w:rFonts w:ascii="Arial" w:hAnsi="Arial" w:cs="Arial"/>
                    </w:rPr>
                    <w:t>Study Habits</w:t>
                  </w:r>
                </w:p>
                <w:p w14:paraId="60577AE1" w14:textId="77777777" w:rsidR="00ED1298" w:rsidRDefault="00E77581">
                  <w:pPr>
                    <w:pStyle w:val="ListParagraph"/>
                    <w:numPr>
                      <w:ilvl w:val="0"/>
                      <w:numId w:val="2"/>
                    </w:numPr>
                    <w:spacing w:after="0" w:line="240" w:lineRule="auto"/>
                    <w:rPr>
                      <w:rFonts w:ascii="Arial" w:hAnsi="Arial" w:cs="Arial"/>
                    </w:rPr>
                  </w:pPr>
                  <w:r>
                    <w:rPr>
                      <w:rFonts w:ascii="Arial" w:hAnsi="Arial" w:cs="Arial"/>
                    </w:rPr>
                    <w:t>Learning Skills</w:t>
                  </w:r>
                </w:p>
                <w:p w14:paraId="1711EA79" w14:textId="77777777" w:rsidR="00ED1298" w:rsidRDefault="00E77581">
                  <w:pPr>
                    <w:pStyle w:val="ListParagraph"/>
                    <w:numPr>
                      <w:ilvl w:val="0"/>
                      <w:numId w:val="2"/>
                    </w:numPr>
                    <w:spacing w:after="0" w:line="240" w:lineRule="auto"/>
                    <w:rPr>
                      <w:rFonts w:ascii="Arial" w:hAnsi="Arial" w:cs="Arial"/>
                    </w:rPr>
                  </w:pPr>
                  <w:r>
                    <w:rPr>
                      <w:rFonts w:ascii="Arial" w:hAnsi="Arial" w:cs="Arial"/>
                    </w:rPr>
                    <w:t>Hardworking</w:t>
                  </w:r>
                </w:p>
                <w:p w14:paraId="255CEA8B" w14:textId="77777777" w:rsidR="00ED1298" w:rsidRDefault="00E77581">
                  <w:pPr>
                    <w:pStyle w:val="ListParagraph"/>
                    <w:numPr>
                      <w:ilvl w:val="0"/>
                      <w:numId w:val="2"/>
                    </w:numPr>
                    <w:spacing w:after="0" w:line="240" w:lineRule="auto"/>
                    <w:rPr>
                      <w:rFonts w:ascii="Arial" w:hAnsi="Arial" w:cs="Arial"/>
                    </w:rPr>
                  </w:pPr>
                  <w:r>
                    <w:rPr>
                      <w:rFonts w:ascii="Arial" w:hAnsi="Arial" w:cs="Arial"/>
                    </w:rPr>
                    <w:t>Academic Interaction</w:t>
                  </w:r>
                </w:p>
                <w:p w14:paraId="789E8E04" w14:textId="77777777" w:rsidR="00ED1298" w:rsidRDefault="00E77581">
                  <w:pPr>
                    <w:pStyle w:val="ListParagraph"/>
                    <w:numPr>
                      <w:ilvl w:val="0"/>
                      <w:numId w:val="2"/>
                    </w:numPr>
                    <w:spacing w:after="0" w:line="240" w:lineRule="auto"/>
                    <w:rPr>
                      <w:rFonts w:ascii="Arial" w:hAnsi="Arial" w:cs="Arial"/>
                    </w:rPr>
                  </w:pPr>
                  <w:r>
                    <w:rPr>
                      <w:rFonts w:ascii="Arial" w:hAnsi="Arial" w:cs="Arial"/>
                    </w:rPr>
                    <w:t>Home Environment</w:t>
                  </w:r>
                </w:p>
              </w:txbxContent>
            </v:textbox>
          </v:rect>
        </w:pict>
      </w:r>
      <w:r>
        <w:rPr>
          <w:rFonts w:ascii="Arial" w:hAnsi="Arial" w:cs="Arial"/>
        </w:rPr>
        <w:pict w14:anchorId="632D555F">
          <v:rect id="Rectangle 14" o:spid="_x0000_s1029" style="position:absolute;left:0;text-align:left;margin-left:276.05pt;margin-top:6.9pt;width:168pt;height:88.45pt;z-index:251663360;mso-position-horizontal-relative:margin;mso-width-relative:page;mso-height-relative:page;v-text-anchor:middle" o:gfxdata="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jHpO0NcAAAAKAQAA&#10;DwAAAAAAAAABACAAAAAiAAAAZHJzL2Rvd25yZXYueG1sUEsBAhQAFAAAAAgAh07iQGECbeGMAgAA&#10;PwUAAA4AAAAAAAAAAQAgAAAAJgEAAGRycy9lMm9Eb2MueG1sUEsFBgAAAAAGAAYAWQEAACQGAAAA&#10;AA==&#10;" strokeweight="1pt">
            <v:textbox>
              <w:txbxContent>
                <w:p w14:paraId="26CD0C7A" w14:textId="77777777" w:rsidR="00ED1298" w:rsidRDefault="00ED1298">
                  <w:pPr>
                    <w:jc w:val="both"/>
                    <w:rPr>
                      <w:rFonts w:ascii="Arial" w:hAnsi="Arial" w:cs="Arial"/>
                      <w:b/>
                      <w:bCs/>
                      <w:sz w:val="24"/>
                      <w:szCs w:val="24"/>
                    </w:rPr>
                  </w:pPr>
                </w:p>
                <w:p w14:paraId="2364607D" w14:textId="77777777" w:rsidR="00ED1298" w:rsidRDefault="00E77581">
                  <w:pPr>
                    <w:jc w:val="both"/>
                    <w:rPr>
                      <w:rFonts w:ascii="Arial" w:hAnsi="Arial" w:cs="Arial"/>
                    </w:rPr>
                  </w:pPr>
                  <w:r>
                    <w:rPr>
                      <w:rFonts w:ascii="Arial" w:hAnsi="Arial" w:cs="Arial"/>
                    </w:rPr>
                    <w:t>Student Engagement in Science</w:t>
                  </w:r>
                </w:p>
                <w:p w14:paraId="5CD66FC7" w14:textId="77777777" w:rsidR="00ED1298" w:rsidRDefault="00E77581">
                  <w:pPr>
                    <w:pStyle w:val="ListParagraph"/>
                    <w:numPr>
                      <w:ilvl w:val="0"/>
                      <w:numId w:val="3"/>
                    </w:numPr>
                    <w:spacing w:after="0" w:line="276" w:lineRule="auto"/>
                    <w:rPr>
                      <w:rFonts w:ascii="Arial" w:hAnsi="Arial" w:cs="Arial"/>
                    </w:rPr>
                  </w:pPr>
                  <w:r>
                    <w:rPr>
                      <w:rFonts w:ascii="Arial" w:hAnsi="Arial" w:cs="Arial"/>
                    </w:rPr>
                    <w:t>Cognitive</w:t>
                  </w:r>
                </w:p>
                <w:p w14:paraId="298B135D" w14:textId="77777777" w:rsidR="00ED1298" w:rsidRDefault="00E77581">
                  <w:pPr>
                    <w:pStyle w:val="ListParagraph"/>
                    <w:numPr>
                      <w:ilvl w:val="0"/>
                      <w:numId w:val="3"/>
                    </w:numPr>
                    <w:spacing w:after="0" w:line="276" w:lineRule="auto"/>
                    <w:rPr>
                      <w:rFonts w:ascii="Arial" w:hAnsi="Arial" w:cs="Arial"/>
                    </w:rPr>
                  </w:pPr>
                  <w:r>
                    <w:rPr>
                      <w:rFonts w:ascii="Arial" w:hAnsi="Arial" w:cs="Arial"/>
                    </w:rPr>
                    <w:t>Affective</w:t>
                  </w:r>
                </w:p>
                <w:p w14:paraId="5772AA1B" w14:textId="77777777" w:rsidR="00ED1298" w:rsidRDefault="00E77581">
                  <w:pPr>
                    <w:pStyle w:val="ListParagraph"/>
                    <w:numPr>
                      <w:ilvl w:val="0"/>
                      <w:numId w:val="3"/>
                    </w:numPr>
                    <w:spacing w:after="0" w:line="276" w:lineRule="auto"/>
                    <w:rPr>
                      <w:rFonts w:ascii="Arial" w:hAnsi="Arial" w:cs="Arial"/>
                    </w:rPr>
                  </w:pPr>
                  <w:r>
                    <w:rPr>
                      <w:rFonts w:ascii="Arial" w:hAnsi="Arial" w:cs="Arial"/>
                    </w:rPr>
                    <w:t>Behavioral</w:t>
                  </w:r>
                </w:p>
                <w:p w14:paraId="64F4A70C" w14:textId="77777777" w:rsidR="00ED1298" w:rsidRDefault="00E77581">
                  <w:pPr>
                    <w:pStyle w:val="ListParagraph"/>
                    <w:numPr>
                      <w:ilvl w:val="0"/>
                      <w:numId w:val="3"/>
                    </w:numPr>
                    <w:spacing w:after="0" w:line="276" w:lineRule="auto"/>
                    <w:rPr>
                      <w:rFonts w:ascii="Arial" w:hAnsi="Arial" w:cs="Arial"/>
                    </w:rPr>
                  </w:pPr>
                  <w:r>
                    <w:rPr>
                      <w:rFonts w:ascii="Arial" w:hAnsi="Arial" w:cs="Arial"/>
                    </w:rPr>
                    <w:t>Agency</w:t>
                  </w:r>
                </w:p>
                <w:p w14:paraId="18B95E04" w14:textId="77777777" w:rsidR="00ED1298" w:rsidRDefault="00ED1298">
                  <w:pPr>
                    <w:rPr>
                      <w:rFonts w:ascii="Arial" w:hAnsi="Arial" w:cs="Arial"/>
                    </w:rPr>
                  </w:pPr>
                </w:p>
              </w:txbxContent>
            </v:textbox>
            <w10:wrap anchorx="margin"/>
          </v:rect>
        </w:pict>
      </w:r>
    </w:p>
    <w:p w14:paraId="56CE67D1" w14:textId="77777777" w:rsidR="00ED1298" w:rsidRDefault="00E77581">
      <w:pPr>
        <w:jc w:val="both"/>
        <w:rPr>
          <w:rFonts w:ascii="Arial" w:hAnsi="Arial" w:cs="Arial"/>
          <w:color w:val="000000" w:themeColor="text1"/>
        </w:rPr>
      </w:pPr>
      <w:r>
        <w:rPr>
          <w:rFonts w:ascii="Arial" w:hAnsi="Arial" w:cs="Arial"/>
        </w:rPr>
        <w:pict w14:anchorId="5D310E6D">
          <v:rect id="Rectangle 12" o:spid="_x0000_s1034" style="position:absolute;left:0;text-align:left;margin-left:176.5pt;margin-top:5.5pt;width:95.5pt;height:29.5pt;z-index:251668480;mso-position-horizontal-relative:margin;mso-width-relative:page;mso-height-relative:page;v-text-anchor:middle" o:gfxdata="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Himqd2QAAAAoBAAAP&#10;AAAAAAAAAAEAIAAAACIAAABkcnMvZG93bnJldi54bWxQSwECFAAUAAAACACHTuJA4dCMRVACAACi&#10;BAAADgAAAAAAAAABACAAAAAoAQAAZHJzL2Uyb0RvYy54bWxQSwUGAAAAAAYABgBZAQAA6gUAAAAA&#10;" filled="f" stroked="f" strokeweight="2pt">
            <v:textbox>
              <w:txbxContent>
                <w:p w14:paraId="4D5DB038" w14:textId="77777777" w:rsidR="00ED1298" w:rsidRDefault="00E77581">
                  <w:pPr>
                    <w:jc w:val="center"/>
                    <w:rPr>
                      <w:rFonts w:ascii="Arial" w:hAnsi="Arial" w:cs="Arial"/>
                    </w:rPr>
                  </w:pPr>
                  <w:r>
                    <w:rPr>
                      <w:rFonts w:ascii="Arial" w:hAnsi="Arial" w:cs="Arial"/>
                    </w:rPr>
                    <w:t>PATH C</w:t>
                  </w:r>
                </w:p>
              </w:txbxContent>
            </v:textbox>
            <w10:wrap anchorx="margin"/>
          </v:rect>
        </w:pict>
      </w:r>
    </w:p>
    <w:p w14:paraId="4771B2F0" w14:textId="77777777" w:rsidR="00ED1298" w:rsidRDefault="00ED1298">
      <w:pPr>
        <w:jc w:val="both"/>
        <w:rPr>
          <w:rFonts w:ascii="Arial" w:hAnsi="Arial" w:cs="Arial"/>
          <w:color w:val="000000" w:themeColor="text1"/>
        </w:rPr>
      </w:pPr>
    </w:p>
    <w:p w14:paraId="6FEA7E3F" w14:textId="77777777" w:rsidR="00ED1298" w:rsidRDefault="00ED1298">
      <w:pPr>
        <w:jc w:val="both"/>
        <w:rPr>
          <w:rFonts w:ascii="Arial" w:hAnsi="Arial" w:cs="Arial"/>
          <w:color w:val="000000" w:themeColor="text1"/>
        </w:rPr>
      </w:pPr>
    </w:p>
    <w:p w14:paraId="11FA27A8" w14:textId="77777777" w:rsidR="00ED1298" w:rsidRDefault="00E77581">
      <w:pPr>
        <w:jc w:val="center"/>
        <w:rPr>
          <w:rFonts w:ascii="Arial" w:hAnsi="Arial" w:cs="Arial"/>
          <w:color w:val="000000" w:themeColor="text1"/>
        </w:rPr>
      </w:pPr>
      <w:r>
        <w:rPr>
          <w:rFonts w:ascii="Arial" w:hAnsi="Arial" w:cs="Arial"/>
        </w:rPr>
        <w:lastRenderedPageBreak/>
        <w:pict w14:anchorId="3E036189">
          <v:shape id="Straight Arrow Connector 11" o:spid="_x0000_s1030" type="#_x0000_t32" style="position:absolute;left:0;text-align:left;margin-left:171.05pt;margin-top:3.9pt;width:104.85pt;height:.6pt;flip:y;z-index:251665408;mso-width-relative:page;mso-height-relative:page" strokeweight="1pt">
            <v:stroke endarrow="block"/>
          </v:shape>
        </w:pict>
      </w:r>
    </w:p>
    <w:p w14:paraId="44D019BE" w14:textId="77777777" w:rsidR="00ED1298" w:rsidRDefault="00ED1298">
      <w:pPr>
        <w:jc w:val="center"/>
        <w:rPr>
          <w:rFonts w:ascii="Arial" w:hAnsi="Arial" w:cs="Arial"/>
          <w:color w:val="000000" w:themeColor="text1"/>
        </w:rPr>
      </w:pPr>
    </w:p>
    <w:p w14:paraId="7E787353" w14:textId="77777777" w:rsidR="00ED1298" w:rsidRDefault="00ED1298">
      <w:pPr>
        <w:jc w:val="center"/>
        <w:rPr>
          <w:rFonts w:ascii="Arial" w:hAnsi="Arial" w:cs="Arial"/>
          <w:color w:val="000000" w:themeColor="text1"/>
        </w:rPr>
      </w:pPr>
    </w:p>
    <w:p w14:paraId="6DED272B" w14:textId="77777777" w:rsidR="00ED1298" w:rsidRDefault="00ED1298">
      <w:pPr>
        <w:jc w:val="center"/>
        <w:rPr>
          <w:rFonts w:ascii="Arial" w:hAnsi="Arial" w:cs="Arial"/>
          <w:color w:val="000000" w:themeColor="text1"/>
        </w:rPr>
      </w:pPr>
    </w:p>
    <w:p w14:paraId="3E048BBD" w14:textId="77777777" w:rsidR="00ED1298" w:rsidRDefault="00ED1298">
      <w:pPr>
        <w:jc w:val="both"/>
        <w:rPr>
          <w:rFonts w:ascii="Arial" w:hAnsi="Arial" w:cs="Arial"/>
          <w:color w:val="000000" w:themeColor="text1"/>
        </w:rPr>
      </w:pPr>
    </w:p>
    <w:p w14:paraId="4F71B9E3" w14:textId="77777777" w:rsidR="00ED1298" w:rsidRDefault="00E77581">
      <w:pPr>
        <w:jc w:val="both"/>
        <w:rPr>
          <w:rFonts w:ascii="Arial" w:hAnsi="Arial" w:cs="Arial"/>
          <w:color w:val="000000" w:themeColor="text1"/>
        </w:rPr>
      </w:pPr>
      <w:r>
        <w:rPr>
          <w:rFonts w:ascii="Arial" w:hAnsi="Arial" w:cs="Arial"/>
        </w:rPr>
        <w:pict w14:anchorId="22C19ADD">
          <v:shape id="Straight Arrow Connector 8" o:spid="_x0000_s1035" type="#_x0000_t32" style="position:absolute;left:0;text-align:left;margin-left:310.6pt;margin-top:-8.15pt;width:49.45pt;height:79.8pt;flip:y;z-index:251669504;mso-width-relative:page;mso-height-relative:page" strokeweight="1pt">
            <v:stroke endarrow="block"/>
          </v:shape>
        </w:pict>
      </w:r>
    </w:p>
    <w:p w14:paraId="58F50657" w14:textId="77777777" w:rsidR="00ED1298" w:rsidRDefault="00E77581">
      <w:pPr>
        <w:jc w:val="both"/>
        <w:rPr>
          <w:rFonts w:ascii="Arial" w:hAnsi="Arial" w:cs="Arial"/>
          <w:color w:val="000000" w:themeColor="text1"/>
        </w:rPr>
      </w:pPr>
      <w:r>
        <w:rPr>
          <w:rFonts w:ascii="Arial" w:hAnsi="Arial" w:cs="Arial"/>
        </w:rPr>
        <w:pict w14:anchorId="785EDECF">
          <v:shape id="Straight Arrow Connector 9" o:spid="_x0000_s1032" type="#_x0000_t32" style="position:absolute;left:0;text-align:left;margin-left:85.3pt;margin-top:-20.25pt;width:61.95pt;height:80.4pt;z-index:251670528;mso-width-relative:page;mso-height-relative:page" strokeweight="1pt">
            <v:stroke endarrow="block"/>
          </v:shape>
        </w:pict>
      </w:r>
    </w:p>
    <w:p w14:paraId="4B011F61" w14:textId="77777777" w:rsidR="00ED1298" w:rsidRDefault="00E77581">
      <w:pPr>
        <w:jc w:val="both"/>
        <w:rPr>
          <w:rFonts w:ascii="Arial" w:hAnsi="Arial" w:cs="Arial"/>
          <w:color w:val="000000" w:themeColor="text1"/>
        </w:rPr>
      </w:pPr>
      <w:r>
        <w:rPr>
          <w:rFonts w:ascii="Arial" w:hAnsi="Arial" w:cs="Arial"/>
        </w:rPr>
        <w:pict w14:anchorId="6A9692D3">
          <v:rect id="Rectangle 6" o:spid="_x0000_s1038" style="position:absolute;left:0;text-align:left;margin-left:147.25pt;margin-top:5.45pt;width:163.35pt;height:86.4pt;z-index:251664384;mso-position-horizontal-relative:margin;mso-width-relative:page;mso-height-relative:page;v-text-anchor:middle" o:gfxdata="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TxrBbWAAAACQEAAA8A&#10;AAAAAAAAAQAgAAAAIgAAAGRycy9kb3ducmV2LnhtbFBLAQIUABQAAAAIAIdO4kAymPU0iwIAAD4F&#10;AAAOAAAAAAAAAAEAIAAAACUBAABkcnMvZTJvRG9jLnhtbFBLBQYAAAAABgAGAFkBAAAiBgAAAAA=&#10;" strokeweight="1pt">
            <v:textbox>
              <w:txbxContent>
                <w:p w14:paraId="549AFA6F" w14:textId="77777777" w:rsidR="00ED1298" w:rsidRDefault="00ED1298">
                  <w:pPr>
                    <w:pStyle w:val="NoSpacing"/>
                    <w:jc w:val="center"/>
                    <w:rPr>
                      <w:rFonts w:ascii="Arial" w:eastAsiaTheme="minorHAnsi" w:hAnsi="Arial" w:cs="Arial"/>
                      <w:b/>
                      <w:bCs/>
                      <w:sz w:val="24"/>
                      <w:szCs w:val="24"/>
                      <w:lang w:val="en-PH"/>
                    </w:rPr>
                  </w:pPr>
                </w:p>
                <w:p w14:paraId="58864638" w14:textId="77777777" w:rsidR="00ED1298" w:rsidRDefault="00E77581">
                  <w:pPr>
                    <w:pStyle w:val="NoSpacing"/>
                    <w:spacing w:after="240"/>
                    <w:jc w:val="center"/>
                    <w:rPr>
                      <w:rFonts w:ascii="Arial" w:eastAsiaTheme="minorHAnsi" w:hAnsi="Arial" w:cs="Arial"/>
                      <w:b/>
                      <w:bCs/>
                      <w:sz w:val="20"/>
                      <w:szCs w:val="20"/>
                      <w:lang w:val="en-PH"/>
                    </w:rPr>
                  </w:pPr>
                  <w:r>
                    <w:rPr>
                      <w:rFonts w:ascii="Arial" w:eastAsiaTheme="minorHAnsi" w:hAnsi="Arial" w:cs="Arial"/>
                      <w:b/>
                      <w:bCs/>
                      <w:sz w:val="20"/>
                      <w:szCs w:val="20"/>
                      <w:lang w:val="en-PH"/>
                    </w:rPr>
                    <w:t>Environmental Literacy</w:t>
                  </w:r>
                </w:p>
                <w:p w14:paraId="3240C0A4" w14:textId="77777777" w:rsidR="00ED1298" w:rsidRDefault="00E77581">
                  <w:pPr>
                    <w:pStyle w:val="NoSpacing"/>
                    <w:numPr>
                      <w:ilvl w:val="0"/>
                      <w:numId w:val="4"/>
                    </w:numPr>
                    <w:rPr>
                      <w:rFonts w:ascii="Arial" w:eastAsiaTheme="minorHAnsi" w:hAnsi="Arial" w:cs="Arial"/>
                      <w:sz w:val="20"/>
                      <w:szCs w:val="20"/>
                      <w:lang w:val="en-PH"/>
                    </w:rPr>
                  </w:pPr>
                  <w:r>
                    <w:rPr>
                      <w:rFonts w:ascii="Arial" w:eastAsiaTheme="minorHAnsi" w:hAnsi="Arial" w:cs="Arial"/>
                      <w:sz w:val="20"/>
                      <w:szCs w:val="20"/>
                      <w:lang w:val="en-PH"/>
                    </w:rPr>
                    <w:t>Attitudes</w:t>
                  </w:r>
                </w:p>
                <w:p w14:paraId="792B1570" w14:textId="77777777" w:rsidR="00ED1298" w:rsidRDefault="00E77581">
                  <w:pPr>
                    <w:pStyle w:val="NoSpacing"/>
                    <w:numPr>
                      <w:ilvl w:val="0"/>
                      <w:numId w:val="4"/>
                    </w:numPr>
                    <w:rPr>
                      <w:rFonts w:ascii="Arial" w:eastAsiaTheme="minorHAnsi" w:hAnsi="Arial" w:cs="Arial"/>
                      <w:sz w:val="20"/>
                      <w:szCs w:val="20"/>
                      <w:lang w:val="en-PH"/>
                    </w:rPr>
                  </w:pPr>
                  <w:r>
                    <w:rPr>
                      <w:rFonts w:ascii="Arial" w:eastAsiaTheme="minorHAnsi" w:hAnsi="Arial" w:cs="Arial"/>
                      <w:sz w:val="20"/>
                      <w:szCs w:val="20"/>
                      <w:lang w:val="en-PH"/>
                    </w:rPr>
                    <w:t>Knowledge</w:t>
                  </w:r>
                </w:p>
                <w:p w14:paraId="04E25CEE" w14:textId="77777777" w:rsidR="00ED1298" w:rsidRDefault="00E77581">
                  <w:pPr>
                    <w:pStyle w:val="NoSpacing"/>
                    <w:numPr>
                      <w:ilvl w:val="0"/>
                      <w:numId w:val="4"/>
                    </w:numPr>
                    <w:rPr>
                      <w:rFonts w:ascii="Arial" w:eastAsiaTheme="minorHAnsi" w:hAnsi="Arial" w:cs="Arial"/>
                      <w:sz w:val="20"/>
                      <w:szCs w:val="20"/>
                      <w:lang w:val="en-PH"/>
                    </w:rPr>
                  </w:pPr>
                  <w:r>
                    <w:rPr>
                      <w:rFonts w:ascii="Arial" w:eastAsiaTheme="minorHAnsi" w:hAnsi="Arial" w:cs="Arial"/>
                      <w:sz w:val="20"/>
                      <w:szCs w:val="20"/>
                      <w:lang w:val="en-PH"/>
                    </w:rPr>
                    <w:t>Behavior</w:t>
                  </w:r>
                </w:p>
                <w:p w14:paraId="7B13D805" w14:textId="77777777" w:rsidR="00ED1298" w:rsidRDefault="00ED1298">
                  <w:pPr>
                    <w:pStyle w:val="NoSpacing"/>
                    <w:rPr>
                      <w:rFonts w:ascii="Arial" w:hAnsi="Arial" w:cs="Arial"/>
                      <w:sz w:val="20"/>
                      <w:szCs w:val="20"/>
                    </w:rPr>
                  </w:pPr>
                </w:p>
              </w:txbxContent>
            </v:textbox>
            <w10:wrap anchorx="margin"/>
          </v:rect>
        </w:pict>
      </w:r>
    </w:p>
    <w:p w14:paraId="051DBC09" w14:textId="77777777" w:rsidR="00ED1298" w:rsidRDefault="00E77581">
      <w:pPr>
        <w:jc w:val="both"/>
        <w:rPr>
          <w:rFonts w:ascii="Arial" w:hAnsi="Arial" w:cs="Arial"/>
          <w:color w:val="000000" w:themeColor="text1"/>
        </w:rPr>
      </w:pPr>
      <w:r>
        <w:rPr>
          <w:rFonts w:ascii="Arial" w:hAnsi="Arial" w:cs="Arial"/>
        </w:rPr>
        <w:pict w14:anchorId="2D8B8A96">
          <v:rect id="Rectangle 7" o:spid="_x0000_s1037" style="position:absolute;left:0;text-align:left;margin-left:324.4pt;margin-top:10.6pt;width:95.5pt;height:29.5pt;z-index:251667456;mso-width-relative:page;mso-height-relative:page;v-text-anchor:middle" o:gfxdata="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F&#10;5j4v1gAAAAkBAAAPAAAAAAAAAAEAIAAAACIAAABkcnMvZG93bnJldi54bWxQSwECFAAUAAAACACH&#10;TuJAJWE5SF8CAADLBAAADgAAAAAAAAABACAAAAAlAQAAZHJzL2Uyb0RvYy54bWxQSwUGAAAAAAYA&#10;BgBZAQAA9gUAAAAA&#10;" filled="f" strokecolor="white" strokeweight="2pt">
            <v:stroke joinstyle="round"/>
            <v:textbox>
              <w:txbxContent>
                <w:p w14:paraId="6A3A0DE7" w14:textId="77777777" w:rsidR="00ED1298" w:rsidRDefault="00E77581">
                  <w:pPr>
                    <w:jc w:val="center"/>
                    <w:rPr>
                      <w:rFonts w:ascii="Arial" w:hAnsi="Arial" w:cs="Arial"/>
                    </w:rPr>
                  </w:pPr>
                  <w:r>
                    <w:rPr>
                      <w:rFonts w:ascii="Arial" w:hAnsi="Arial" w:cs="Arial"/>
                    </w:rPr>
                    <w:t>PATH B</w:t>
                  </w:r>
                </w:p>
              </w:txbxContent>
            </v:textbox>
          </v:rect>
        </w:pict>
      </w:r>
      <w:r>
        <w:rPr>
          <w:rFonts w:ascii="Arial" w:hAnsi="Arial" w:cs="Arial"/>
        </w:rPr>
        <w:pict w14:anchorId="5D505F7A">
          <v:rect id="Rectangle 10" o:spid="_x0000_s1031" style="position:absolute;left:0;text-align:left;margin-left:24.25pt;margin-top:9pt;width:95.5pt;height:29.5pt;z-index:251666432;mso-width-relative:page;mso-height-relative:page;v-text-anchor:middle" o:gfxdata="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WXJzvV&#10;AAAACQEAAA8AAAAAAAAAAQAgAAAAIgAAAGRycy9kb3ducmV2LnhtbFBLAQIUABQAAAAIAIdO4kAO&#10;s1j/XAIAAMsEAAAOAAAAAAAAAAEAIAAAACQBAABkcnMvZTJvRG9jLnhtbFBLBQYAAAAABgAGAFkB&#10;AADyBQAAAAA=&#10;" filled="f" strokecolor="white" strokeweight="2pt">
            <v:stroke joinstyle="round"/>
            <v:textbox>
              <w:txbxContent>
                <w:p w14:paraId="0266B8CB" w14:textId="77777777" w:rsidR="00ED1298" w:rsidRDefault="00E77581">
                  <w:pPr>
                    <w:jc w:val="center"/>
                    <w:rPr>
                      <w:rFonts w:ascii="Arial" w:hAnsi="Arial" w:cs="Arial"/>
                    </w:rPr>
                  </w:pPr>
                  <w:r>
                    <w:rPr>
                      <w:rFonts w:ascii="Arial" w:hAnsi="Arial" w:cs="Arial"/>
                    </w:rPr>
                    <w:t>PATH A</w:t>
                  </w:r>
                </w:p>
              </w:txbxContent>
            </v:textbox>
          </v:rect>
        </w:pict>
      </w:r>
    </w:p>
    <w:p w14:paraId="60C3590B" w14:textId="77777777" w:rsidR="00ED1298" w:rsidRDefault="00ED1298">
      <w:pPr>
        <w:jc w:val="both"/>
        <w:rPr>
          <w:rFonts w:ascii="Arial" w:hAnsi="Arial" w:cs="Arial"/>
          <w:color w:val="000000" w:themeColor="text1"/>
        </w:rPr>
      </w:pPr>
    </w:p>
    <w:p w14:paraId="413BE88B" w14:textId="77777777" w:rsidR="00ED1298" w:rsidRDefault="00ED1298">
      <w:pPr>
        <w:jc w:val="both"/>
        <w:rPr>
          <w:rFonts w:ascii="Arial" w:hAnsi="Arial" w:cs="Arial"/>
          <w:color w:val="000000" w:themeColor="text1"/>
        </w:rPr>
      </w:pPr>
    </w:p>
    <w:p w14:paraId="3254E567" w14:textId="77777777" w:rsidR="00ED1298" w:rsidRDefault="00ED1298">
      <w:pPr>
        <w:jc w:val="both"/>
        <w:rPr>
          <w:rFonts w:ascii="Arial" w:hAnsi="Arial" w:cs="Arial"/>
          <w:color w:val="000000" w:themeColor="text1"/>
        </w:rPr>
      </w:pPr>
    </w:p>
    <w:p w14:paraId="7DF17023" w14:textId="77777777" w:rsidR="00ED1298" w:rsidRDefault="00ED1298">
      <w:pPr>
        <w:jc w:val="both"/>
        <w:rPr>
          <w:rFonts w:ascii="Arial" w:hAnsi="Arial" w:cs="Arial"/>
          <w:color w:val="000000" w:themeColor="text1"/>
        </w:rPr>
      </w:pPr>
    </w:p>
    <w:p w14:paraId="3267F91C" w14:textId="77777777" w:rsidR="00ED1298" w:rsidRDefault="00ED1298">
      <w:pPr>
        <w:jc w:val="both"/>
        <w:rPr>
          <w:rFonts w:ascii="Arial" w:hAnsi="Arial" w:cs="Arial"/>
          <w:color w:val="000000" w:themeColor="text1"/>
        </w:rPr>
      </w:pPr>
    </w:p>
    <w:p w14:paraId="59CC6D87" w14:textId="77777777" w:rsidR="00ED1298" w:rsidRDefault="00E77581">
      <w:pPr>
        <w:jc w:val="both"/>
        <w:rPr>
          <w:rFonts w:ascii="Arial" w:hAnsi="Arial" w:cs="Arial"/>
          <w:color w:val="000000" w:themeColor="text1"/>
        </w:rPr>
      </w:pPr>
      <w:r>
        <w:rPr>
          <w:rFonts w:ascii="Arial" w:hAnsi="Arial" w:cs="Arial"/>
        </w:rPr>
        <w:pict w14:anchorId="6F6BB3FE">
          <v:rect id="Rectangle 5" o:spid="_x0000_s1036" style="position:absolute;left:0;text-align:left;margin-left:164.7pt;margin-top:9.55pt;width:133.45pt;height:29.5pt;z-index:251671552;mso-width-relative:page;mso-height-relative:page;v-text-anchor:middle" o:gfxdata="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Wwy6bYAAAACQEAAA8A&#10;AAAAAAAAAQAgAAAAIgAAAGRycy9kb3ducmV2LnhtbFBLAQIUABQAAAAIAIdO4kCEuhzUUAIAAKEE&#10;AAAOAAAAAAAAAAEAIAAAACcBAABkcnMvZTJvRG9jLnhtbFBLBQYAAAAABgAGAFkBAADpBQAAAAA=&#10;" filled="f" stroked="f" strokeweight="2pt">
            <v:textbox>
              <w:txbxContent>
                <w:p w14:paraId="5F038C76" w14:textId="77777777" w:rsidR="00ED1298" w:rsidRDefault="00E77581">
                  <w:pPr>
                    <w:jc w:val="center"/>
                    <w:rPr>
                      <w:rFonts w:ascii="Arial" w:hAnsi="Arial" w:cs="Arial"/>
                    </w:rPr>
                  </w:pPr>
                  <w:r>
                    <w:rPr>
                      <w:rFonts w:ascii="Arial" w:hAnsi="Arial" w:cs="Arial"/>
                    </w:rPr>
                    <w:t>Mediating Variable</w:t>
                  </w:r>
                </w:p>
              </w:txbxContent>
            </v:textbox>
          </v:rect>
        </w:pict>
      </w:r>
    </w:p>
    <w:p w14:paraId="1292C364" w14:textId="77777777" w:rsidR="00ED1298" w:rsidRDefault="00ED1298">
      <w:pPr>
        <w:jc w:val="both"/>
        <w:rPr>
          <w:rFonts w:ascii="Arial" w:hAnsi="Arial" w:cs="Arial"/>
          <w:color w:val="000000" w:themeColor="text1"/>
        </w:rPr>
      </w:pPr>
    </w:p>
    <w:p w14:paraId="235E83A9" w14:textId="77777777" w:rsidR="00ED1298" w:rsidRDefault="00ED1298">
      <w:pPr>
        <w:pStyle w:val="NormalWeb"/>
        <w:spacing w:beforeAutospacing="0" w:afterAutospacing="0"/>
        <w:jc w:val="both"/>
        <w:rPr>
          <w:rFonts w:ascii="Arial" w:hAnsi="Arial" w:cs="Arial"/>
          <w:i/>
          <w:color w:val="000000" w:themeColor="text1"/>
          <w:sz w:val="20"/>
          <w:szCs w:val="20"/>
        </w:rPr>
      </w:pPr>
    </w:p>
    <w:p w14:paraId="7BEDA3F0" w14:textId="77777777" w:rsidR="00ED1298" w:rsidRDefault="00E77581">
      <w:pPr>
        <w:pStyle w:val="NormalWeb"/>
        <w:spacing w:beforeAutospacing="0" w:afterAutospacing="0"/>
        <w:jc w:val="center"/>
        <w:rPr>
          <w:rFonts w:ascii="Arial" w:hAnsi="Arial" w:cs="Arial"/>
          <w:i/>
          <w:color w:val="000000" w:themeColor="text1"/>
          <w:sz w:val="20"/>
          <w:szCs w:val="20"/>
        </w:rPr>
      </w:pPr>
      <w:r>
        <w:rPr>
          <w:rFonts w:ascii="Arial" w:hAnsi="Arial" w:cs="Arial"/>
          <w:i/>
          <w:color w:val="000000" w:themeColor="text1"/>
          <w:sz w:val="20"/>
          <w:szCs w:val="20"/>
        </w:rPr>
        <w:t>Figure 1. Conceptual Framework Showing the Relationship of the Variables</w:t>
      </w:r>
    </w:p>
    <w:p w14:paraId="66B71B35" w14:textId="796FB969" w:rsidR="00ED1298" w:rsidRDefault="00E77581">
      <w:pPr>
        <w:pStyle w:val="AbstHead"/>
        <w:spacing w:after="0"/>
        <w:jc w:val="both"/>
        <w:rPr>
          <w:rFonts w:ascii="Arial" w:hAnsi="Arial" w:cs="Arial"/>
        </w:rPr>
      </w:pPr>
      <w:r>
        <w:rPr>
          <w:rFonts w:ascii="Arial" w:hAnsi="Arial" w:cs="Arial"/>
        </w:rPr>
        <w:t xml:space="preserve">2. material and methods </w:t>
      </w:r>
    </w:p>
    <w:p w14:paraId="199BA52F" w14:textId="77777777" w:rsidR="00ED1298" w:rsidRDefault="00ED1298">
      <w:pPr>
        <w:pStyle w:val="Body"/>
        <w:spacing w:after="0"/>
        <w:rPr>
          <w:rFonts w:ascii="Arial" w:hAnsi="Arial" w:cs="Arial"/>
        </w:rPr>
      </w:pPr>
    </w:p>
    <w:p w14:paraId="031CC941" w14:textId="77777777" w:rsidR="00ED1298" w:rsidRDefault="00E77581">
      <w:pPr>
        <w:jc w:val="both"/>
        <w:rPr>
          <w:rFonts w:ascii="Arial" w:hAnsi="Arial" w:cs="Arial"/>
          <w:b/>
        </w:rPr>
      </w:pPr>
      <w:r>
        <w:rPr>
          <w:rFonts w:ascii="Arial" w:hAnsi="Arial" w:cs="Arial"/>
          <w:b/>
        </w:rPr>
        <w:t>Research Respondents</w:t>
      </w:r>
    </w:p>
    <w:p w14:paraId="0261798A" w14:textId="77777777" w:rsidR="00ED1298" w:rsidRDefault="00ED1298">
      <w:pPr>
        <w:jc w:val="both"/>
        <w:rPr>
          <w:rFonts w:ascii="Arial" w:hAnsi="Arial" w:cs="Arial"/>
        </w:rPr>
      </w:pPr>
    </w:p>
    <w:p w14:paraId="70805C14" w14:textId="77777777" w:rsidR="00ED1298" w:rsidRDefault="00E77581">
      <w:pPr>
        <w:jc w:val="both"/>
        <w:rPr>
          <w:rFonts w:ascii="Arial" w:hAnsi="Arial" w:cs="Arial"/>
        </w:rPr>
      </w:pPr>
      <w:r>
        <w:rPr>
          <w:rFonts w:ascii="Arial" w:hAnsi="Arial" w:cs="Arial"/>
        </w:rPr>
        <w:t xml:space="preserve">The respondents of the study were junior high school students </w:t>
      </w:r>
      <w:r>
        <w:rPr>
          <w:rFonts w:ascii="Arial" w:hAnsi="Arial" w:cs="Arial"/>
        </w:rPr>
        <w:t xml:space="preserve">enrolled during the school year 2022-2023 in a secondary school in </w:t>
      </w:r>
      <w:proofErr w:type="spellStart"/>
      <w:r>
        <w:rPr>
          <w:rFonts w:ascii="Arial" w:hAnsi="Arial" w:cs="Arial"/>
        </w:rPr>
        <w:t>Baganga</w:t>
      </w:r>
      <w:proofErr w:type="spellEnd"/>
      <w:r>
        <w:rPr>
          <w:rFonts w:ascii="Arial" w:hAnsi="Arial" w:cs="Arial"/>
        </w:rPr>
        <w:t xml:space="preserve">, Davao Oriental. A total of 286 students were calculated as a sample from the entire population of 998 using </w:t>
      </w:r>
      <w:proofErr w:type="spellStart"/>
      <w:r>
        <w:rPr>
          <w:rFonts w:ascii="Arial" w:hAnsi="Arial" w:cs="Arial"/>
        </w:rPr>
        <w:t>Slovin's</w:t>
      </w:r>
      <w:proofErr w:type="spellEnd"/>
      <w:r>
        <w:rPr>
          <w:rFonts w:ascii="Arial" w:hAnsi="Arial" w:cs="Arial"/>
        </w:rPr>
        <w:t xml:space="preserve"> formula with a 5% margin of error. The 286 students were chosen</w:t>
      </w:r>
      <w:r>
        <w:rPr>
          <w:rFonts w:ascii="Arial" w:hAnsi="Arial" w:cs="Arial"/>
        </w:rPr>
        <w:t xml:space="preserve"> using stratified random sampling. In this study, the strata were the different grade levels and sections of junior high school students. If a respondent was unavailable during the study, the researcher replaced the respondent by performing simple random s</w:t>
      </w:r>
      <w:r>
        <w:rPr>
          <w:rFonts w:ascii="Arial" w:hAnsi="Arial" w:cs="Arial"/>
        </w:rPr>
        <w:t>ampling from the same stratum. Moreover, the researcher considered the inclusion and exclusion criteria in the selection of the respondents for the study. The respondents were officially enrolled in the locale of the study for the school year 2022-2023, se</w:t>
      </w:r>
      <w:r>
        <w:rPr>
          <w:rFonts w:ascii="Arial" w:hAnsi="Arial" w:cs="Arial"/>
        </w:rPr>
        <w:t>lected during random sampling, voluntarily agreed to participate by completing and signing the assent form, and their parents voluntarily allowed them to participate by completing and signing the Informed Consent Form (ICF).</w:t>
      </w:r>
    </w:p>
    <w:p w14:paraId="07595DE8" w14:textId="77777777" w:rsidR="00ED1298" w:rsidRDefault="00ED1298">
      <w:pPr>
        <w:jc w:val="both"/>
        <w:rPr>
          <w:rFonts w:ascii="Arial" w:hAnsi="Arial" w:cs="Arial"/>
        </w:rPr>
      </w:pPr>
    </w:p>
    <w:p w14:paraId="0A7435D2" w14:textId="77777777" w:rsidR="00ED1298" w:rsidRDefault="00E77581">
      <w:pPr>
        <w:jc w:val="both"/>
        <w:rPr>
          <w:rFonts w:ascii="Arial" w:hAnsi="Arial" w:cs="Arial"/>
        </w:rPr>
      </w:pPr>
      <w:r>
        <w:rPr>
          <w:rFonts w:ascii="Arial" w:hAnsi="Arial" w:cs="Arial"/>
        </w:rPr>
        <w:t>The researcher secured the Inf</w:t>
      </w:r>
      <w:r>
        <w:rPr>
          <w:rFonts w:ascii="Arial" w:hAnsi="Arial" w:cs="Arial"/>
        </w:rPr>
        <w:t>ormed Consent Form (ICF) from the respondents' parents or guardians and the Assent Form from the respondents who were aged below 18. The researcher explained the study through the ICF in clear, non-technical language, providing information about its purpos</w:t>
      </w:r>
      <w:r>
        <w:rPr>
          <w:rFonts w:ascii="Arial" w:hAnsi="Arial" w:cs="Arial"/>
        </w:rPr>
        <w:t>e, duration, and any risks or potential benefits. This information was tailored to the individual's level of understanding and presented in a comprehensible manner. The respondents were given the opportunity to ask questions and clarify any concerns they m</w:t>
      </w:r>
      <w:r>
        <w:rPr>
          <w:rFonts w:ascii="Arial" w:hAnsi="Arial" w:cs="Arial"/>
        </w:rPr>
        <w:t>ight have had. This step was important to ensure that the respondents fully understood the implications of their participation and could make an informed decision about whether to consent or not.  Additionally, the respondents were given five (5) days to c</w:t>
      </w:r>
      <w:r>
        <w:rPr>
          <w:rFonts w:ascii="Arial" w:hAnsi="Arial" w:cs="Arial"/>
        </w:rPr>
        <w:t>onsider their decision and were not pressured or coerced into participating. This step ensured that the respondents’ decision was truly voluntary and not influenced by external factors. Furthermore, the respondents were given the opportunity to withdraw th</w:t>
      </w:r>
      <w:r>
        <w:rPr>
          <w:rFonts w:ascii="Arial" w:hAnsi="Arial" w:cs="Arial"/>
        </w:rPr>
        <w:t>eir consent at any time, even after they had initially agreed to participate. This step was important to ensure that the respondents' autonomy was respected throughout the entire process.</w:t>
      </w:r>
    </w:p>
    <w:p w14:paraId="27417708" w14:textId="77777777" w:rsidR="00ED1298" w:rsidRDefault="00ED1298">
      <w:pPr>
        <w:jc w:val="both"/>
        <w:rPr>
          <w:rFonts w:ascii="Arial" w:hAnsi="Arial" w:cs="Arial"/>
        </w:rPr>
      </w:pPr>
    </w:p>
    <w:p w14:paraId="15803B29" w14:textId="77777777" w:rsidR="00ED1298" w:rsidRDefault="00E77581">
      <w:pPr>
        <w:jc w:val="both"/>
        <w:rPr>
          <w:rFonts w:ascii="Arial" w:hAnsi="Arial" w:cs="Arial"/>
        </w:rPr>
      </w:pPr>
      <w:r>
        <w:rPr>
          <w:rFonts w:ascii="Arial" w:hAnsi="Arial" w:cs="Arial"/>
        </w:rPr>
        <w:t>Lastly, the respondents were informed about any potential changes t</w:t>
      </w:r>
      <w:r>
        <w:rPr>
          <w:rFonts w:ascii="Arial" w:hAnsi="Arial" w:cs="Arial"/>
        </w:rPr>
        <w:t xml:space="preserve">o the activity that might occur over time and were given the opportunity to provide ongoing consent or withdraw their consent if they chose to do so. It should be noted that since some of the respondents were </w:t>
      </w:r>
      <w:r>
        <w:rPr>
          <w:rFonts w:ascii="Arial" w:hAnsi="Arial" w:cs="Arial"/>
        </w:rPr>
        <w:lastRenderedPageBreak/>
        <w:t xml:space="preserve">minors, the researcher asked for the completed </w:t>
      </w:r>
      <w:r>
        <w:rPr>
          <w:rFonts w:ascii="Arial" w:hAnsi="Arial" w:cs="Arial"/>
        </w:rPr>
        <w:t xml:space="preserve">ICF from the parents or guardians of the respondents, and the Assent Form was secured from the respondents.  </w:t>
      </w:r>
    </w:p>
    <w:p w14:paraId="736A51C8" w14:textId="77777777" w:rsidR="00ED1298" w:rsidRDefault="00ED1298">
      <w:pPr>
        <w:jc w:val="both"/>
        <w:rPr>
          <w:rFonts w:ascii="Arial" w:hAnsi="Arial" w:cs="Arial"/>
          <w:b/>
          <w:bCs/>
        </w:rPr>
      </w:pPr>
    </w:p>
    <w:p w14:paraId="50D06735" w14:textId="77777777" w:rsidR="00ED1298" w:rsidRDefault="00E77581">
      <w:pPr>
        <w:jc w:val="both"/>
        <w:rPr>
          <w:rFonts w:ascii="Arial" w:hAnsi="Arial" w:cs="Arial"/>
        </w:rPr>
      </w:pPr>
      <w:r>
        <w:rPr>
          <w:rFonts w:ascii="Arial" w:hAnsi="Arial" w:cs="Arial"/>
          <w:b/>
          <w:bCs/>
        </w:rPr>
        <w:t>Research Instruments</w:t>
      </w:r>
    </w:p>
    <w:p w14:paraId="66143857" w14:textId="77777777" w:rsidR="00ED1298" w:rsidRDefault="00ED1298">
      <w:pPr>
        <w:pStyle w:val="NormalWeb"/>
        <w:spacing w:beforeAutospacing="0" w:afterAutospacing="0"/>
        <w:jc w:val="both"/>
        <w:rPr>
          <w:rFonts w:ascii="Arial" w:hAnsi="Arial" w:cs="Arial"/>
          <w:sz w:val="20"/>
          <w:szCs w:val="20"/>
        </w:rPr>
      </w:pPr>
    </w:p>
    <w:p w14:paraId="30C24483" w14:textId="77777777" w:rsidR="00ED1298" w:rsidRDefault="00E77581">
      <w:pPr>
        <w:pStyle w:val="NormalWeb"/>
        <w:spacing w:beforeAutospacing="0" w:afterAutospacing="0"/>
        <w:jc w:val="both"/>
        <w:rPr>
          <w:rFonts w:ascii="Arial" w:eastAsia="Times New Roman" w:hAnsi="Arial" w:cs="Arial"/>
          <w:sz w:val="20"/>
          <w:szCs w:val="20"/>
        </w:rPr>
      </w:pPr>
      <w:r>
        <w:rPr>
          <w:rFonts w:ascii="Arial" w:hAnsi="Arial" w:cs="Arial"/>
          <w:sz w:val="20"/>
          <w:szCs w:val="20"/>
        </w:rPr>
        <w:t xml:space="preserve">This study used adapted and researcher-made survey questionnaires. </w:t>
      </w:r>
      <w:r>
        <w:rPr>
          <w:rStyle w:val="Strong"/>
          <w:rFonts w:ascii="Arial" w:hAnsi="Arial" w:cs="Arial"/>
          <w:b w:val="0"/>
          <w:bCs w:val="0"/>
          <w:sz w:val="20"/>
          <w:szCs w:val="20"/>
        </w:rPr>
        <w:t>For the environmental literacy,</w:t>
      </w:r>
      <w:r>
        <w:rPr>
          <w:rFonts w:ascii="Arial" w:hAnsi="Arial" w:cs="Arial"/>
          <w:sz w:val="20"/>
          <w:szCs w:val="20"/>
        </w:rPr>
        <w:t xml:space="preserve"> a 63-item researcher-mad</w:t>
      </w:r>
      <w:r>
        <w:rPr>
          <w:rFonts w:ascii="Arial" w:hAnsi="Arial" w:cs="Arial"/>
          <w:sz w:val="20"/>
          <w:szCs w:val="20"/>
        </w:rPr>
        <w:t xml:space="preserve">e questionnaire, based on </w:t>
      </w:r>
      <w:proofErr w:type="spellStart"/>
      <w:r>
        <w:rPr>
          <w:rFonts w:ascii="Arial" w:hAnsi="Arial" w:cs="Arial"/>
          <w:color w:val="0070C0"/>
          <w:sz w:val="20"/>
          <w:szCs w:val="20"/>
        </w:rPr>
        <w:t>Gheith</w:t>
      </w:r>
      <w:proofErr w:type="spellEnd"/>
      <w:r>
        <w:rPr>
          <w:rFonts w:ascii="Arial" w:hAnsi="Arial" w:cs="Arial"/>
          <w:color w:val="0070C0"/>
          <w:sz w:val="20"/>
          <w:szCs w:val="20"/>
        </w:rPr>
        <w:t xml:space="preserve"> (2019) [13]</w:t>
      </w:r>
      <w:r>
        <w:rPr>
          <w:rFonts w:ascii="Arial" w:hAnsi="Arial" w:cs="Arial"/>
          <w:sz w:val="20"/>
          <w:szCs w:val="20"/>
        </w:rPr>
        <w:t>, assessed Attitudes, General Environmental Knowledge, Knowledge of Global Environmental Issues, and Behavior. Responses were categorized using a five-point scale ranging from Very High (4.20-5.00) to Very Low (1</w:t>
      </w:r>
      <w:r>
        <w:rPr>
          <w:rFonts w:ascii="Arial" w:hAnsi="Arial" w:cs="Arial"/>
          <w:sz w:val="20"/>
          <w:szCs w:val="20"/>
        </w:rPr>
        <w:t>.00-1.79). For s</w:t>
      </w:r>
      <w:r>
        <w:rPr>
          <w:rStyle w:val="Strong"/>
          <w:rFonts w:ascii="Arial" w:hAnsi="Arial" w:cs="Arial"/>
          <w:b w:val="0"/>
          <w:bCs w:val="0"/>
          <w:sz w:val="20"/>
          <w:szCs w:val="20"/>
        </w:rPr>
        <w:t>tudent engagement,</w:t>
      </w:r>
      <w:r>
        <w:rPr>
          <w:rFonts w:ascii="Arial" w:hAnsi="Arial" w:cs="Arial"/>
          <w:sz w:val="20"/>
          <w:szCs w:val="20"/>
        </w:rPr>
        <w:t xml:space="preserve"> a 20-item adapted questionnaire from </w:t>
      </w:r>
      <w:proofErr w:type="spellStart"/>
      <w:r>
        <w:rPr>
          <w:rFonts w:ascii="Arial" w:hAnsi="Arial" w:cs="Arial"/>
          <w:color w:val="0070C0"/>
          <w:sz w:val="20"/>
          <w:szCs w:val="20"/>
        </w:rPr>
        <w:t>Veiga</w:t>
      </w:r>
      <w:proofErr w:type="spellEnd"/>
      <w:r>
        <w:rPr>
          <w:rFonts w:ascii="Arial" w:hAnsi="Arial" w:cs="Arial"/>
          <w:color w:val="0070C0"/>
          <w:sz w:val="20"/>
          <w:szCs w:val="20"/>
        </w:rPr>
        <w:t xml:space="preserve"> (2016) [14]</w:t>
      </w:r>
      <w:r>
        <w:rPr>
          <w:rFonts w:ascii="Arial" w:hAnsi="Arial" w:cs="Arial"/>
          <w:sz w:val="20"/>
          <w:szCs w:val="20"/>
        </w:rPr>
        <w:t xml:space="preserve"> measured Cognitive, Affective, Behavioral, and Agency engagement. A five-point scale (Very High: 4.20-5.00 to Very Low: 1.00-1.79) was used for evaluation. For f</w:t>
      </w:r>
      <w:r>
        <w:rPr>
          <w:rStyle w:val="Strong"/>
          <w:rFonts w:ascii="Arial" w:hAnsi="Arial" w:cs="Arial"/>
          <w:b w:val="0"/>
          <w:bCs w:val="0"/>
          <w:sz w:val="20"/>
          <w:szCs w:val="20"/>
        </w:rPr>
        <w:t>actor</w:t>
      </w:r>
      <w:r>
        <w:rPr>
          <w:rStyle w:val="Strong"/>
          <w:rFonts w:ascii="Arial" w:hAnsi="Arial" w:cs="Arial"/>
          <w:b w:val="0"/>
          <w:bCs w:val="0"/>
          <w:sz w:val="20"/>
          <w:szCs w:val="20"/>
        </w:rPr>
        <w:t>s of academic performance,</w:t>
      </w:r>
      <w:r>
        <w:rPr>
          <w:rFonts w:ascii="Arial" w:hAnsi="Arial" w:cs="Arial"/>
          <w:sz w:val="20"/>
          <w:szCs w:val="20"/>
        </w:rPr>
        <w:t xml:space="preserve"> a 23-item adapted questionnaire from </w:t>
      </w:r>
      <w:proofErr w:type="spellStart"/>
      <w:r>
        <w:rPr>
          <w:rFonts w:ascii="Arial" w:hAnsi="Arial" w:cs="Arial"/>
          <w:color w:val="0070C0"/>
          <w:sz w:val="20"/>
          <w:szCs w:val="20"/>
        </w:rPr>
        <w:t>Shahzadi</w:t>
      </w:r>
      <w:proofErr w:type="spellEnd"/>
      <w:r>
        <w:rPr>
          <w:rFonts w:ascii="Arial" w:hAnsi="Arial" w:cs="Arial"/>
          <w:color w:val="0070C0"/>
          <w:sz w:val="20"/>
          <w:szCs w:val="20"/>
        </w:rPr>
        <w:t xml:space="preserve"> and Ahmad (2011) [15]</w:t>
      </w:r>
      <w:r>
        <w:rPr>
          <w:rFonts w:ascii="Arial" w:hAnsi="Arial" w:cs="Arial"/>
          <w:sz w:val="20"/>
          <w:szCs w:val="20"/>
        </w:rPr>
        <w:t xml:space="preserve"> explored Study Habits, Learning Skills, Hardworking, Academic Interactions, and Home Environment. A five-point scale (Very High: 4.20-5.00 to Very Low: 1.00-1.79</w:t>
      </w:r>
      <w:r>
        <w:rPr>
          <w:rFonts w:ascii="Arial" w:hAnsi="Arial" w:cs="Arial"/>
          <w:sz w:val="20"/>
          <w:szCs w:val="20"/>
        </w:rPr>
        <w:t>) assessed the impact of these factors. The adapted questionnaires were reviewed by the research advisor and expert validators. A pilot test with 30 students (5 per grade level) was conducted to establish validity and reliability using Cronbach's Alpha. Re</w:t>
      </w:r>
      <w:r>
        <w:rPr>
          <w:rFonts w:ascii="Arial" w:hAnsi="Arial" w:cs="Arial"/>
          <w:sz w:val="20"/>
          <w:szCs w:val="20"/>
        </w:rPr>
        <w:t>visions were made based on feedback and pilot test results before final data collection.</w:t>
      </w:r>
    </w:p>
    <w:p w14:paraId="27CB2670" w14:textId="77777777" w:rsidR="00ED1298" w:rsidRDefault="00ED1298">
      <w:pPr>
        <w:jc w:val="both"/>
        <w:rPr>
          <w:rFonts w:ascii="Arial" w:hAnsi="Arial" w:cs="Arial"/>
          <w:b/>
          <w:bCs/>
        </w:rPr>
      </w:pPr>
    </w:p>
    <w:p w14:paraId="378E7027" w14:textId="77777777" w:rsidR="00ED1298" w:rsidRDefault="00E77581">
      <w:pPr>
        <w:jc w:val="both"/>
        <w:rPr>
          <w:rFonts w:ascii="Arial" w:hAnsi="Arial" w:cs="Arial"/>
          <w:b/>
          <w:bCs/>
        </w:rPr>
      </w:pPr>
      <w:r>
        <w:rPr>
          <w:rFonts w:ascii="Arial" w:hAnsi="Arial" w:cs="Arial"/>
          <w:b/>
          <w:bCs/>
        </w:rPr>
        <w:t>Design and Procedures</w:t>
      </w:r>
    </w:p>
    <w:p w14:paraId="6E715D5C" w14:textId="77777777" w:rsidR="00ED1298" w:rsidRDefault="00ED1298">
      <w:pPr>
        <w:jc w:val="both"/>
        <w:rPr>
          <w:rFonts w:ascii="Arial" w:hAnsi="Arial" w:cs="Arial"/>
          <w:b/>
          <w:bCs/>
        </w:rPr>
      </w:pPr>
    </w:p>
    <w:p w14:paraId="0E17806C" w14:textId="77777777" w:rsidR="00ED1298" w:rsidRDefault="00E77581">
      <w:pPr>
        <w:pStyle w:val="Body"/>
        <w:spacing w:after="0"/>
        <w:rPr>
          <w:rFonts w:ascii="Arial" w:eastAsia="SimSun" w:hAnsi="Arial" w:cs="Arial"/>
        </w:rPr>
      </w:pPr>
      <w:r>
        <w:rPr>
          <w:rFonts w:ascii="Arial" w:eastAsia="SimSun" w:hAnsi="Arial" w:cs="Arial"/>
        </w:rPr>
        <w:t>This quantitative, non-experimental, correlational study investigated the relationship between academic performance and science engagement, med</w:t>
      </w:r>
      <w:r>
        <w:rPr>
          <w:rFonts w:ascii="Arial" w:eastAsia="SimSun" w:hAnsi="Arial" w:cs="Arial"/>
        </w:rPr>
        <w:t xml:space="preserve">iated by student environmental literacy. </w:t>
      </w:r>
      <w:r>
        <w:rPr>
          <w:rFonts w:ascii="Arial" w:eastAsia="SimSun" w:hAnsi="Arial" w:cs="Arial"/>
          <w:color w:val="0070C0"/>
        </w:rPr>
        <w:t>Creswell and Hirose (2019) [16]</w:t>
      </w:r>
      <w:r>
        <w:rPr>
          <w:rFonts w:ascii="Arial" w:eastAsia="SimSun" w:hAnsi="Arial" w:cs="Arial"/>
        </w:rPr>
        <w:t xml:space="preserve"> definition of quantitative research guided the study's focus on numerical data and statistical analysis to identify relationships between variables. The correlational design </w:t>
      </w:r>
      <w:r>
        <w:rPr>
          <w:rFonts w:ascii="Arial" w:eastAsia="SimSun" w:hAnsi="Arial" w:cs="Arial"/>
          <w:color w:val="0070C0"/>
        </w:rPr>
        <w:t>(Field, 2</w:t>
      </w:r>
      <w:r>
        <w:rPr>
          <w:rFonts w:ascii="Arial" w:eastAsia="SimSun" w:hAnsi="Arial" w:cs="Arial"/>
          <w:color w:val="0070C0"/>
        </w:rPr>
        <w:t>013) [17]</w:t>
      </w:r>
      <w:r>
        <w:rPr>
          <w:rFonts w:ascii="Arial" w:eastAsia="SimSun" w:hAnsi="Arial" w:cs="Arial"/>
        </w:rPr>
        <w:t xml:space="preserve"> was chosen to examine the strength and direction of associations without implying causation. Mediation analysis </w:t>
      </w:r>
      <w:r>
        <w:rPr>
          <w:rFonts w:ascii="Arial" w:eastAsia="SimSun" w:hAnsi="Arial" w:cs="Arial"/>
          <w:color w:val="0070C0"/>
        </w:rPr>
        <w:t>Hayes, 2018) [18]</w:t>
      </w:r>
      <w:r>
        <w:rPr>
          <w:rFonts w:ascii="Arial" w:eastAsia="SimSun" w:hAnsi="Arial" w:cs="Arial"/>
        </w:rPr>
        <w:t xml:space="preserve"> was employed to explore the indirect effect of academic performance on science engagement through environmental lite</w:t>
      </w:r>
      <w:r>
        <w:rPr>
          <w:rFonts w:ascii="Arial" w:eastAsia="SimSun" w:hAnsi="Arial" w:cs="Arial"/>
        </w:rPr>
        <w:t>racy.</w:t>
      </w:r>
    </w:p>
    <w:p w14:paraId="36A65539" w14:textId="77777777" w:rsidR="00ED1298" w:rsidRDefault="00ED1298">
      <w:pPr>
        <w:pStyle w:val="NormalWeb"/>
        <w:spacing w:beforeAutospacing="0" w:afterAutospacing="0"/>
        <w:jc w:val="both"/>
        <w:rPr>
          <w:rFonts w:ascii="Arial" w:hAnsi="Arial" w:cs="Arial"/>
          <w:sz w:val="20"/>
          <w:szCs w:val="20"/>
        </w:rPr>
      </w:pPr>
    </w:p>
    <w:p w14:paraId="26204912" w14:textId="77777777" w:rsidR="00ED1298" w:rsidRDefault="00E77581">
      <w:pPr>
        <w:pStyle w:val="NormalWeb"/>
        <w:spacing w:beforeAutospacing="0" w:afterAutospacing="0"/>
        <w:jc w:val="both"/>
        <w:rPr>
          <w:rFonts w:ascii="Arial" w:hAnsi="Arial" w:cs="Arial"/>
          <w:sz w:val="20"/>
          <w:szCs w:val="20"/>
        </w:rPr>
      </w:pPr>
      <w:r>
        <w:rPr>
          <w:rFonts w:ascii="Arial" w:hAnsi="Arial" w:cs="Arial"/>
          <w:sz w:val="20"/>
          <w:szCs w:val="20"/>
        </w:rPr>
        <w:t xml:space="preserve">Ethical approvals were secured from the University of Mindanao – Ethics and Research Committee (UMERC) and relevant educational authorities, including the </w:t>
      </w:r>
      <w:proofErr w:type="gramStart"/>
      <w:r>
        <w:rPr>
          <w:rFonts w:ascii="Arial" w:hAnsi="Arial" w:cs="Arial"/>
          <w:sz w:val="20"/>
          <w:szCs w:val="20"/>
        </w:rPr>
        <w:t>Public School</w:t>
      </w:r>
      <w:proofErr w:type="gramEnd"/>
      <w:r>
        <w:rPr>
          <w:rFonts w:ascii="Arial" w:hAnsi="Arial" w:cs="Arial"/>
          <w:sz w:val="20"/>
          <w:szCs w:val="20"/>
        </w:rPr>
        <w:t xml:space="preserve"> Division Superintendent, District Supervisor, and school principal. Stratified r</w:t>
      </w:r>
      <w:r>
        <w:rPr>
          <w:rFonts w:ascii="Arial" w:hAnsi="Arial" w:cs="Arial"/>
          <w:sz w:val="20"/>
          <w:szCs w:val="20"/>
        </w:rPr>
        <w:t>andom sampling was used to select participants from grade levels and sections. Informed consent and assent were obtained after explaining the study's purpose, risks, and benefits in accessible language. Questionnaires were administered in classrooms, adher</w:t>
      </w:r>
      <w:r>
        <w:rPr>
          <w:rFonts w:ascii="Arial" w:hAnsi="Arial" w:cs="Arial"/>
          <w:sz w:val="20"/>
          <w:szCs w:val="20"/>
        </w:rPr>
        <w:t>ing to a 30-minute time limit and explained in both English and the local dialect. Mean, Pearson's r, and mediation analysis using the Sobel Z test were employed for data analysis.</w:t>
      </w:r>
    </w:p>
    <w:p w14:paraId="3F9FF774" w14:textId="77777777" w:rsidR="00ED1298" w:rsidRDefault="00ED1298">
      <w:pPr>
        <w:pStyle w:val="NormalWeb"/>
        <w:spacing w:beforeAutospacing="0" w:afterAutospacing="0"/>
        <w:jc w:val="both"/>
        <w:rPr>
          <w:rFonts w:ascii="Arial" w:hAnsi="Arial" w:cs="Arial"/>
          <w:sz w:val="20"/>
          <w:szCs w:val="20"/>
        </w:rPr>
      </w:pPr>
    </w:p>
    <w:p w14:paraId="76E4F4A7" w14:textId="77777777" w:rsidR="00ED1298" w:rsidRDefault="00E77581">
      <w:pPr>
        <w:pStyle w:val="NormalWeb"/>
        <w:spacing w:beforeAutospacing="0" w:afterAutospacing="0"/>
        <w:jc w:val="both"/>
        <w:rPr>
          <w:rFonts w:ascii="Arial" w:hAnsi="Arial" w:cs="Arial"/>
          <w:sz w:val="20"/>
          <w:szCs w:val="20"/>
        </w:rPr>
      </w:pPr>
      <w:r>
        <w:rPr>
          <w:rFonts w:ascii="Arial" w:hAnsi="Arial" w:cs="Arial"/>
          <w:sz w:val="20"/>
          <w:szCs w:val="20"/>
        </w:rPr>
        <w:t>Rigorous ethical considerations were observed throughout the study. UMERC review ensured ethical compliance. Participant voluntariness was emphasized, and confidentiality/anonymity were protected through secure data storage, password protection, and eventu</w:t>
      </w:r>
      <w:r>
        <w:rPr>
          <w:rFonts w:ascii="Arial" w:hAnsi="Arial" w:cs="Arial"/>
          <w:sz w:val="20"/>
          <w:szCs w:val="20"/>
        </w:rPr>
        <w:t>al data deletion. COVID-19 protocols were strictly followed during data collection, including mask provision, sanitization, and physical distancing. Grammarly/Turnitin were used to prevent plagiarism, and APA 7th edition citation format was followed. The r</w:t>
      </w:r>
      <w:r>
        <w:rPr>
          <w:rFonts w:ascii="Arial" w:hAnsi="Arial" w:cs="Arial"/>
          <w:sz w:val="20"/>
          <w:szCs w:val="20"/>
        </w:rPr>
        <w:t>esearcher's potential conflict of interest as a local teacher was acknowledged and addressed by ensuring objectivity and expert validation. School permissions were obtained, and authorship guidelines</w:t>
      </w:r>
      <w:r>
        <w:rPr>
          <w:rFonts w:ascii="Arial" w:hAnsi="Arial" w:cs="Arial"/>
          <w:color w:val="0070C0"/>
          <w:sz w:val="20"/>
          <w:szCs w:val="20"/>
        </w:rPr>
        <w:t xml:space="preserve"> (Wager &amp; Kleinert, 2011) [19]</w:t>
      </w:r>
      <w:r>
        <w:rPr>
          <w:rFonts w:ascii="Arial" w:hAnsi="Arial" w:cs="Arial"/>
          <w:sz w:val="20"/>
          <w:szCs w:val="20"/>
        </w:rPr>
        <w:t xml:space="preserve"> were adhered to, emphasizi</w:t>
      </w:r>
      <w:r>
        <w:rPr>
          <w:rFonts w:ascii="Arial" w:hAnsi="Arial" w:cs="Arial"/>
          <w:sz w:val="20"/>
          <w:szCs w:val="20"/>
        </w:rPr>
        <w:t>ng originality, ethical conduct, and accurate data presentation. The study aimed to benefit students and teachers by providing insights into learning enhancement. No significant physical, social, economic, psychological, or emotional risks were anticipated</w:t>
      </w:r>
      <w:r>
        <w:rPr>
          <w:rFonts w:ascii="Arial" w:hAnsi="Arial" w:cs="Arial"/>
          <w:sz w:val="20"/>
          <w:szCs w:val="20"/>
        </w:rPr>
        <w:t>.</w:t>
      </w:r>
    </w:p>
    <w:p w14:paraId="488AB0DD" w14:textId="77777777" w:rsidR="00ED1298" w:rsidRDefault="00ED1298">
      <w:pPr>
        <w:pStyle w:val="Body"/>
        <w:spacing w:after="0"/>
        <w:rPr>
          <w:rFonts w:ascii="SimSun" w:eastAsia="SimSun" w:hAnsi="SimSun" w:cs="SimSun"/>
          <w:sz w:val="24"/>
          <w:szCs w:val="24"/>
        </w:rPr>
      </w:pPr>
    </w:p>
    <w:p w14:paraId="0BAFF46A" w14:textId="77777777" w:rsidR="00ED1298" w:rsidRDefault="00E77581">
      <w:pPr>
        <w:pStyle w:val="Head1"/>
        <w:spacing w:after="0"/>
        <w:jc w:val="both"/>
        <w:rPr>
          <w:rFonts w:ascii="Arial" w:hAnsi="Arial" w:cs="Arial"/>
        </w:rPr>
      </w:pPr>
      <w:r>
        <w:rPr>
          <w:rFonts w:ascii="Arial" w:hAnsi="Arial" w:cs="Arial"/>
        </w:rPr>
        <w:lastRenderedPageBreak/>
        <w:t>3. results and discussion</w:t>
      </w:r>
    </w:p>
    <w:p w14:paraId="78405016" w14:textId="77777777" w:rsidR="00ED1298" w:rsidRDefault="00ED1298">
      <w:pPr>
        <w:pStyle w:val="Body"/>
        <w:spacing w:after="0"/>
        <w:rPr>
          <w:rFonts w:ascii="Arial" w:hAnsi="Arial" w:cs="Arial"/>
        </w:rPr>
      </w:pPr>
    </w:p>
    <w:p w14:paraId="564D4411" w14:textId="77777777" w:rsidR="00ED1298" w:rsidRDefault="00E77581">
      <w:pPr>
        <w:jc w:val="both"/>
        <w:rPr>
          <w:rFonts w:ascii="Arial" w:hAnsi="Arial" w:cs="Arial"/>
        </w:rPr>
      </w:pPr>
      <w:r>
        <w:rPr>
          <w:rFonts w:ascii="Arial" w:hAnsi="Arial" w:cs="Arial"/>
          <w:b/>
          <w:bCs/>
        </w:rPr>
        <w:t>Level of</w:t>
      </w:r>
      <w:r>
        <w:rPr>
          <w:rFonts w:ascii="Arial" w:hAnsi="Arial" w:cs="Arial"/>
        </w:rPr>
        <w:t xml:space="preserve"> </w:t>
      </w:r>
      <w:r>
        <w:rPr>
          <w:rFonts w:ascii="Arial" w:hAnsi="Arial" w:cs="Arial"/>
          <w:b/>
          <w:bCs/>
        </w:rPr>
        <w:t>Factors of Academic Performance</w:t>
      </w:r>
    </w:p>
    <w:p w14:paraId="6D39258D" w14:textId="77777777" w:rsidR="00ED1298" w:rsidRDefault="00ED1298">
      <w:pPr>
        <w:jc w:val="both"/>
        <w:rPr>
          <w:rFonts w:ascii="Arial" w:hAnsi="Arial" w:cs="Arial"/>
        </w:rPr>
      </w:pPr>
    </w:p>
    <w:p w14:paraId="44628935" w14:textId="77777777" w:rsidR="00ED1298" w:rsidRDefault="00E77581">
      <w:pPr>
        <w:jc w:val="both"/>
        <w:rPr>
          <w:rFonts w:ascii="Arial" w:hAnsi="Arial" w:cs="Arial"/>
        </w:rPr>
      </w:pPr>
      <w:r>
        <w:rPr>
          <w:rFonts w:ascii="Arial" w:hAnsi="Arial" w:cs="Arial"/>
        </w:rPr>
        <w:t xml:space="preserve">Academic performance is shaped by a combination of individual traits, environmental contexts, and institutional factors. The results in Table 1 revealed that the level of </w:t>
      </w:r>
      <w:r>
        <w:rPr>
          <w:rFonts w:ascii="Arial" w:hAnsi="Arial" w:cs="Arial"/>
          <w:i/>
          <w:iCs/>
        </w:rPr>
        <w:t xml:space="preserve">factors of </w:t>
      </w:r>
      <w:r>
        <w:rPr>
          <w:rFonts w:ascii="Arial" w:hAnsi="Arial" w:cs="Arial"/>
          <w:i/>
          <w:iCs/>
        </w:rPr>
        <w:t>academic performance</w:t>
      </w:r>
      <w:r>
        <w:rPr>
          <w:rFonts w:ascii="Arial" w:hAnsi="Arial" w:cs="Arial"/>
        </w:rPr>
        <w:t xml:space="preserve"> of students in learning science is interpreted as high, with an overall mean rating and standard deviation (SD) of 4.00 and 0.543, respectively. </w:t>
      </w:r>
    </w:p>
    <w:p w14:paraId="1336A12E" w14:textId="77777777" w:rsidR="00ED1298" w:rsidRDefault="00ED1298">
      <w:pPr>
        <w:jc w:val="both"/>
        <w:rPr>
          <w:rFonts w:ascii="Arial" w:hAnsi="Arial" w:cs="Arial"/>
          <w:b/>
          <w:bCs/>
        </w:rPr>
      </w:pPr>
    </w:p>
    <w:p w14:paraId="31D21CE8" w14:textId="77777777" w:rsidR="00ED1298" w:rsidRDefault="00E77581">
      <w:pPr>
        <w:jc w:val="both"/>
        <w:rPr>
          <w:rFonts w:ascii="Arial" w:hAnsi="Arial" w:cs="Arial"/>
        </w:rPr>
      </w:pPr>
      <w:r>
        <w:rPr>
          <w:rFonts w:ascii="Arial" w:hAnsi="Arial" w:cs="Arial"/>
        </w:rPr>
        <w:t>Table 1. Level of Factors of Academic Performance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748"/>
        <w:gridCol w:w="1667"/>
        <w:gridCol w:w="2458"/>
      </w:tblGrid>
      <w:tr w:rsidR="00ED1298" w14:paraId="7C2DBDF4" w14:textId="77777777">
        <w:trPr>
          <w:trHeight w:val="360"/>
        </w:trPr>
        <w:tc>
          <w:tcPr>
            <w:tcW w:w="2605" w:type="dxa"/>
            <w:tcBorders>
              <w:top w:val="single" w:sz="12" w:space="0" w:color="auto"/>
              <w:bottom w:val="single" w:sz="4" w:space="0" w:color="auto"/>
            </w:tcBorders>
            <w:vAlign w:val="center"/>
          </w:tcPr>
          <w:p w14:paraId="64ABB6C9"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Indicators</w:t>
            </w:r>
          </w:p>
        </w:tc>
        <w:tc>
          <w:tcPr>
            <w:tcW w:w="1800" w:type="dxa"/>
            <w:tcBorders>
              <w:top w:val="single" w:sz="12" w:space="0" w:color="auto"/>
              <w:bottom w:val="single" w:sz="4" w:space="0" w:color="auto"/>
            </w:tcBorders>
            <w:vAlign w:val="center"/>
          </w:tcPr>
          <w:p w14:paraId="2A903A4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x̄</w:t>
            </w:r>
          </w:p>
        </w:tc>
        <w:tc>
          <w:tcPr>
            <w:tcW w:w="1710" w:type="dxa"/>
            <w:tcBorders>
              <w:top w:val="single" w:sz="12" w:space="0" w:color="auto"/>
              <w:bottom w:val="single" w:sz="4" w:space="0" w:color="auto"/>
            </w:tcBorders>
            <w:vAlign w:val="center"/>
          </w:tcPr>
          <w:p w14:paraId="7A196A6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SD</w:t>
            </w:r>
          </w:p>
        </w:tc>
        <w:tc>
          <w:tcPr>
            <w:tcW w:w="2515" w:type="dxa"/>
            <w:tcBorders>
              <w:top w:val="single" w:sz="12" w:space="0" w:color="auto"/>
              <w:bottom w:val="single" w:sz="4" w:space="0" w:color="auto"/>
            </w:tcBorders>
            <w:vAlign w:val="center"/>
          </w:tcPr>
          <w:p w14:paraId="3C1491E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Descriptive Level</w:t>
            </w:r>
          </w:p>
        </w:tc>
      </w:tr>
      <w:tr w:rsidR="00ED1298" w14:paraId="7AEAF9AB" w14:textId="77777777">
        <w:trPr>
          <w:trHeight w:val="360"/>
        </w:trPr>
        <w:tc>
          <w:tcPr>
            <w:tcW w:w="2605" w:type="dxa"/>
            <w:tcBorders>
              <w:top w:val="single" w:sz="4" w:space="0" w:color="auto"/>
            </w:tcBorders>
            <w:shd w:val="clear" w:color="auto" w:fill="auto"/>
            <w:vAlign w:val="center"/>
          </w:tcPr>
          <w:p w14:paraId="01DD2996" w14:textId="77777777" w:rsidR="00ED1298" w:rsidRDefault="00E77581">
            <w:pPr>
              <w:rPr>
                <w:rFonts w:ascii="Arial" w:eastAsia="Calibri" w:hAnsi="Arial" w:cs="Arial"/>
                <w:bCs/>
                <w:sz w:val="20"/>
                <w:szCs w:val="20"/>
              </w:rPr>
            </w:pPr>
            <w:r>
              <w:rPr>
                <w:rFonts w:ascii="Arial" w:hAnsi="Arial" w:cs="Arial"/>
                <w:sz w:val="20"/>
                <w:szCs w:val="20"/>
              </w:rPr>
              <w:t>Study Habit</w:t>
            </w:r>
          </w:p>
        </w:tc>
        <w:tc>
          <w:tcPr>
            <w:tcW w:w="1800" w:type="dxa"/>
            <w:tcBorders>
              <w:top w:val="single" w:sz="4" w:space="0" w:color="auto"/>
            </w:tcBorders>
            <w:vAlign w:val="center"/>
          </w:tcPr>
          <w:p w14:paraId="1C91215B" w14:textId="77777777" w:rsidR="00ED1298" w:rsidRDefault="00E77581">
            <w:pPr>
              <w:jc w:val="center"/>
              <w:rPr>
                <w:rFonts w:ascii="Arial" w:eastAsia="Calibri" w:hAnsi="Arial" w:cs="Arial"/>
                <w:bCs/>
                <w:sz w:val="20"/>
                <w:szCs w:val="20"/>
              </w:rPr>
            </w:pPr>
            <w:r>
              <w:rPr>
                <w:rFonts w:ascii="Arial" w:hAnsi="Arial" w:cs="Arial"/>
                <w:sz w:val="20"/>
                <w:szCs w:val="20"/>
                <w:lang w:eastAsia="en-PH"/>
              </w:rPr>
              <w:t>4.00</w:t>
            </w:r>
          </w:p>
        </w:tc>
        <w:tc>
          <w:tcPr>
            <w:tcW w:w="1710" w:type="dxa"/>
            <w:tcBorders>
              <w:top w:val="single" w:sz="4" w:space="0" w:color="auto"/>
            </w:tcBorders>
            <w:vAlign w:val="center"/>
          </w:tcPr>
          <w:p w14:paraId="06B96CF1" w14:textId="77777777" w:rsidR="00ED1298" w:rsidRDefault="00E77581">
            <w:pPr>
              <w:jc w:val="center"/>
              <w:rPr>
                <w:rFonts w:ascii="Arial" w:eastAsia="Calibri" w:hAnsi="Arial" w:cs="Arial"/>
                <w:bCs/>
                <w:sz w:val="20"/>
                <w:szCs w:val="20"/>
              </w:rPr>
            </w:pPr>
            <w:r>
              <w:rPr>
                <w:rFonts w:ascii="Arial" w:hAnsi="Arial" w:cs="Arial"/>
                <w:sz w:val="20"/>
                <w:szCs w:val="20"/>
                <w:lang w:eastAsia="en-PH"/>
              </w:rPr>
              <w:t>0.601</w:t>
            </w:r>
          </w:p>
        </w:tc>
        <w:tc>
          <w:tcPr>
            <w:tcW w:w="2515" w:type="dxa"/>
            <w:tcBorders>
              <w:top w:val="single" w:sz="4" w:space="0" w:color="auto"/>
            </w:tcBorders>
            <w:vAlign w:val="center"/>
          </w:tcPr>
          <w:p w14:paraId="12950B9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53AE1B24" w14:textId="77777777">
        <w:trPr>
          <w:trHeight w:val="360"/>
        </w:trPr>
        <w:tc>
          <w:tcPr>
            <w:tcW w:w="2605" w:type="dxa"/>
            <w:shd w:val="clear" w:color="auto" w:fill="auto"/>
            <w:vAlign w:val="center"/>
          </w:tcPr>
          <w:p w14:paraId="23791673" w14:textId="77777777" w:rsidR="00ED1298" w:rsidRDefault="00E77581">
            <w:pPr>
              <w:rPr>
                <w:rFonts w:ascii="Arial" w:eastAsia="Calibri" w:hAnsi="Arial" w:cs="Arial"/>
                <w:bCs/>
                <w:sz w:val="20"/>
                <w:szCs w:val="20"/>
              </w:rPr>
            </w:pPr>
            <w:r>
              <w:rPr>
                <w:rFonts w:ascii="Arial" w:hAnsi="Arial" w:cs="Arial"/>
                <w:sz w:val="20"/>
                <w:szCs w:val="20"/>
              </w:rPr>
              <w:t>Learning Skills</w:t>
            </w:r>
          </w:p>
        </w:tc>
        <w:tc>
          <w:tcPr>
            <w:tcW w:w="1800" w:type="dxa"/>
            <w:vAlign w:val="center"/>
          </w:tcPr>
          <w:p w14:paraId="775F0108" w14:textId="77777777" w:rsidR="00ED1298" w:rsidRDefault="00E77581">
            <w:pPr>
              <w:jc w:val="center"/>
              <w:rPr>
                <w:rFonts w:ascii="Arial" w:eastAsia="Calibri" w:hAnsi="Arial" w:cs="Arial"/>
                <w:bCs/>
                <w:sz w:val="20"/>
                <w:szCs w:val="20"/>
              </w:rPr>
            </w:pPr>
            <w:r>
              <w:rPr>
                <w:rFonts w:ascii="Arial" w:hAnsi="Arial" w:cs="Arial"/>
                <w:sz w:val="20"/>
                <w:szCs w:val="20"/>
                <w:lang w:eastAsia="en-PH"/>
              </w:rPr>
              <w:t>3.99</w:t>
            </w:r>
          </w:p>
        </w:tc>
        <w:tc>
          <w:tcPr>
            <w:tcW w:w="1710" w:type="dxa"/>
            <w:vAlign w:val="center"/>
          </w:tcPr>
          <w:p w14:paraId="12B78625" w14:textId="77777777" w:rsidR="00ED1298" w:rsidRDefault="00E77581">
            <w:pPr>
              <w:jc w:val="center"/>
              <w:rPr>
                <w:rFonts w:ascii="Arial" w:eastAsia="Calibri" w:hAnsi="Arial" w:cs="Arial"/>
                <w:bCs/>
                <w:sz w:val="20"/>
                <w:szCs w:val="20"/>
              </w:rPr>
            </w:pPr>
            <w:r>
              <w:rPr>
                <w:rFonts w:ascii="Arial" w:hAnsi="Arial" w:cs="Arial"/>
                <w:sz w:val="20"/>
                <w:szCs w:val="20"/>
                <w:lang w:eastAsia="en-PH"/>
              </w:rPr>
              <w:t>0.641</w:t>
            </w:r>
          </w:p>
        </w:tc>
        <w:tc>
          <w:tcPr>
            <w:tcW w:w="2515" w:type="dxa"/>
            <w:vAlign w:val="center"/>
          </w:tcPr>
          <w:p w14:paraId="25A2053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097C4D64" w14:textId="77777777">
        <w:trPr>
          <w:trHeight w:val="360"/>
        </w:trPr>
        <w:tc>
          <w:tcPr>
            <w:tcW w:w="2605" w:type="dxa"/>
            <w:shd w:val="clear" w:color="auto" w:fill="auto"/>
            <w:vAlign w:val="center"/>
          </w:tcPr>
          <w:p w14:paraId="595414F6" w14:textId="77777777" w:rsidR="00ED1298" w:rsidRDefault="00E77581">
            <w:pPr>
              <w:rPr>
                <w:rFonts w:ascii="Arial" w:eastAsia="Calibri" w:hAnsi="Arial" w:cs="Arial"/>
                <w:sz w:val="20"/>
                <w:szCs w:val="20"/>
              </w:rPr>
            </w:pPr>
            <w:r>
              <w:rPr>
                <w:rFonts w:ascii="Arial" w:hAnsi="Arial" w:cs="Arial"/>
                <w:sz w:val="20"/>
                <w:szCs w:val="20"/>
              </w:rPr>
              <w:t>Hardworking</w:t>
            </w:r>
          </w:p>
        </w:tc>
        <w:tc>
          <w:tcPr>
            <w:tcW w:w="1800" w:type="dxa"/>
            <w:vAlign w:val="center"/>
          </w:tcPr>
          <w:p w14:paraId="09B4F5E4" w14:textId="77777777" w:rsidR="00ED1298" w:rsidRDefault="00E77581">
            <w:pPr>
              <w:jc w:val="center"/>
              <w:rPr>
                <w:rFonts w:ascii="Arial" w:eastAsia="Calibri" w:hAnsi="Arial" w:cs="Arial"/>
                <w:sz w:val="20"/>
                <w:szCs w:val="20"/>
              </w:rPr>
            </w:pPr>
            <w:r>
              <w:rPr>
                <w:rFonts w:ascii="Arial" w:hAnsi="Arial" w:cs="Arial"/>
                <w:sz w:val="20"/>
                <w:szCs w:val="20"/>
                <w:lang w:eastAsia="en-PH"/>
              </w:rPr>
              <w:t>3.95</w:t>
            </w:r>
          </w:p>
        </w:tc>
        <w:tc>
          <w:tcPr>
            <w:tcW w:w="1710" w:type="dxa"/>
            <w:vAlign w:val="center"/>
          </w:tcPr>
          <w:p w14:paraId="7E49DB1B" w14:textId="77777777" w:rsidR="00ED1298" w:rsidRDefault="00E77581">
            <w:pPr>
              <w:jc w:val="center"/>
              <w:rPr>
                <w:rFonts w:ascii="Arial" w:eastAsia="Calibri" w:hAnsi="Arial" w:cs="Arial"/>
                <w:sz w:val="20"/>
                <w:szCs w:val="20"/>
              </w:rPr>
            </w:pPr>
            <w:r>
              <w:rPr>
                <w:rFonts w:ascii="Arial" w:hAnsi="Arial" w:cs="Arial"/>
                <w:sz w:val="20"/>
                <w:szCs w:val="20"/>
                <w:lang w:eastAsia="en-PH"/>
              </w:rPr>
              <w:t>0.681</w:t>
            </w:r>
          </w:p>
        </w:tc>
        <w:tc>
          <w:tcPr>
            <w:tcW w:w="2515" w:type="dxa"/>
            <w:vAlign w:val="center"/>
          </w:tcPr>
          <w:p w14:paraId="72678C3F" w14:textId="77777777" w:rsidR="00ED1298" w:rsidRDefault="00E77581">
            <w:pPr>
              <w:jc w:val="center"/>
              <w:rPr>
                <w:rFonts w:ascii="Arial" w:eastAsia="Calibri" w:hAnsi="Arial" w:cs="Arial"/>
                <w:sz w:val="20"/>
                <w:szCs w:val="20"/>
              </w:rPr>
            </w:pPr>
            <w:r>
              <w:rPr>
                <w:rFonts w:ascii="Arial" w:eastAsia="Calibri" w:hAnsi="Arial" w:cs="Arial"/>
                <w:sz w:val="20"/>
                <w:szCs w:val="20"/>
              </w:rPr>
              <w:t>High</w:t>
            </w:r>
          </w:p>
        </w:tc>
      </w:tr>
      <w:tr w:rsidR="00ED1298" w14:paraId="549FE681" w14:textId="77777777">
        <w:trPr>
          <w:trHeight w:val="360"/>
        </w:trPr>
        <w:tc>
          <w:tcPr>
            <w:tcW w:w="2605" w:type="dxa"/>
            <w:shd w:val="clear" w:color="auto" w:fill="auto"/>
            <w:vAlign w:val="center"/>
          </w:tcPr>
          <w:p w14:paraId="00B1BC97" w14:textId="77777777" w:rsidR="00ED1298" w:rsidRDefault="00E77581">
            <w:pPr>
              <w:rPr>
                <w:rFonts w:ascii="Arial" w:eastAsia="Calibri" w:hAnsi="Arial" w:cs="Arial"/>
                <w:sz w:val="20"/>
                <w:szCs w:val="20"/>
              </w:rPr>
            </w:pPr>
            <w:r>
              <w:rPr>
                <w:rFonts w:ascii="Arial" w:hAnsi="Arial" w:cs="Arial"/>
                <w:sz w:val="20"/>
                <w:szCs w:val="20"/>
              </w:rPr>
              <w:t>Academic Interaction</w:t>
            </w:r>
          </w:p>
        </w:tc>
        <w:tc>
          <w:tcPr>
            <w:tcW w:w="1800" w:type="dxa"/>
            <w:vAlign w:val="center"/>
          </w:tcPr>
          <w:p w14:paraId="3D9C965E" w14:textId="77777777" w:rsidR="00ED1298" w:rsidRDefault="00E77581">
            <w:pPr>
              <w:jc w:val="center"/>
              <w:rPr>
                <w:rFonts w:ascii="Arial" w:eastAsia="Calibri" w:hAnsi="Arial" w:cs="Arial"/>
                <w:sz w:val="20"/>
                <w:szCs w:val="20"/>
              </w:rPr>
            </w:pPr>
            <w:r>
              <w:rPr>
                <w:rFonts w:ascii="Arial" w:hAnsi="Arial" w:cs="Arial"/>
                <w:sz w:val="20"/>
                <w:szCs w:val="20"/>
                <w:lang w:eastAsia="en-PH"/>
              </w:rPr>
              <w:t>3.79</w:t>
            </w:r>
          </w:p>
        </w:tc>
        <w:tc>
          <w:tcPr>
            <w:tcW w:w="1710" w:type="dxa"/>
            <w:vAlign w:val="center"/>
          </w:tcPr>
          <w:p w14:paraId="3B415FC1" w14:textId="77777777" w:rsidR="00ED1298" w:rsidRDefault="00E77581">
            <w:pPr>
              <w:jc w:val="center"/>
              <w:rPr>
                <w:rFonts w:ascii="Arial" w:eastAsia="Calibri" w:hAnsi="Arial" w:cs="Arial"/>
                <w:sz w:val="20"/>
                <w:szCs w:val="20"/>
              </w:rPr>
            </w:pPr>
            <w:r>
              <w:rPr>
                <w:rFonts w:ascii="Arial" w:hAnsi="Arial" w:cs="Arial"/>
                <w:sz w:val="20"/>
                <w:szCs w:val="20"/>
                <w:lang w:eastAsia="en-PH"/>
              </w:rPr>
              <w:t>0.732</w:t>
            </w:r>
          </w:p>
        </w:tc>
        <w:tc>
          <w:tcPr>
            <w:tcW w:w="2515" w:type="dxa"/>
            <w:vAlign w:val="center"/>
          </w:tcPr>
          <w:p w14:paraId="5603389E" w14:textId="77777777" w:rsidR="00ED1298" w:rsidRDefault="00E77581">
            <w:pPr>
              <w:jc w:val="center"/>
              <w:rPr>
                <w:rFonts w:ascii="Arial" w:eastAsia="Calibri" w:hAnsi="Arial" w:cs="Arial"/>
                <w:sz w:val="20"/>
                <w:szCs w:val="20"/>
              </w:rPr>
            </w:pPr>
            <w:r>
              <w:rPr>
                <w:rFonts w:ascii="Arial" w:eastAsia="Calibri" w:hAnsi="Arial" w:cs="Arial"/>
                <w:sz w:val="20"/>
                <w:szCs w:val="20"/>
              </w:rPr>
              <w:t>High</w:t>
            </w:r>
          </w:p>
        </w:tc>
      </w:tr>
      <w:tr w:rsidR="00ED1298" w14:paraId="4483C667" w14:textId="77777777">
        <w:trPr>
          <w:trHeight w:val="360"/>
        </w:trPr>
        <w:tc>
          <w:tcPr>
            <w:tcW w:w="2605" w:type="dxa"/>
            <w:shd w:val="clear" w:color="auto" w:fill="auto"/>
            <w:vAlign w:val="center"/>
          </w:tcPr>
          <w:p w14:paraId="155ACC4A" w14:textId="77777777" w:rsidR="00ED1298" w:rsidRDefault="00E77581">
            <w:pPr>
              <w:rPr>
                <w:rFonts w:ascii="Arial" w:eastAsia="Calibri" w:hAnsi="Arial" w:cs="Arial"/>
                <w:sz w:val="20"/>
                <w:szCs w:val="20"/>
              </w:rPr>
            </w:pPr>
            <w:r>
              <w:rPr>
                <w:rFonts w:ascii="Arial" w:hAnsi="Arial" w:cs="Arial"/>
                <w:sz w:val="20"/>
                <w:szCs w:val="20"/>
              </w:rPr>
              <w:t>Home Environment</w:t>
            </w:r>
          </w:p>
        </w:tc>
        <w:tc>
          <w:tcPr>
            <w:tcW w:w="1800" w:type="dxa"/>
            <w:vAlign w:val="center"/>
          </w:tcPr>
          <w:p w14:paraId="575BFC29" w14:textId="77777777" w:rsidR="00ED1298" w:rsidRDefault="00E77581">
            <w:pPr>
              <w:jc w:val="center"/>
              <w:rPr>
                <w:rFonts w:ascii="Arial" w:eastAsia="Calibri" w:hAnsi="Arial" w:cs="Arial"/>
                <w:sz w:val="20"/>
                <w:szCs w:val="20"/>
              </w:rPr>
            </w:pPr>
            <w:r>
              <w:rPr>
                <w:rFonts w:ascii="Arial" w:hAnsi="Arial" w:cs="Arial"/>
                <w:sz w:val="20"/>
                <w:szCs w:val="20"/>
                <w:lang w:eastAsia="en-PH"/>
              </w:rPr>
              <w:t>4.29</w:t>
            </w:r>
          </w:p>
        </w:tc>
        <w:tc>
          <w:tcPr>
            <w:tcW w:w="1710" w:type="dxa"/>
            <w:vAlign w:val="center"/>
          </w:tcPr>
          <w:p w14:paraId="7EE5A375" w14:textId="77777777" w:rsidR="00ED1298" w:rsidRDefault="00E77581">
            <w:pPr>
              <w:jc w:val="center"/>
              <w:rPr>
                <w:rFonts w:ascii="Arial" w:eastAsia="Calibri" w:hAnsi="Arial" w:cs="Arial"/>
                <w:sz w:val="20"/>
                <w:szCs w:val="20"/>
              </w:rPr>
            </w:pPr>
            <w:r>
              <w:rPr>
                <w:rFonts w:ascii="Arial" w:hAnsi="Arial" w:cs="Arial"/>
                <w:sz w:val="20"/>
                <w:szCs w:val="20"/>
                <w:lang w:eastAsia="en-PH"/>
              </w:rPr>
              <w:t>0.775</w:t>
            </w:r>
          </w:p>
        </w:tc>
        <w:tc>
          <w:tcPr>
            <w:tcW w:w="2515" w:type="dxa"/>
            <w:vAlign w:val="center"/>
          </w:tcPr>
          <w:p w14:paraId="4ABCB54A" w14:textId="77777777" w:rsidR="00ED1298" w:rsidRDefault="00E77581">
            <w:pPr>
              <w:jc w:val="center"/>
              <w:rPr>
                <w:rFonts w:ascii="Arial" w:eastAsia="Calibri" w:hAnsi="Arial" w:cs="Arial"/>
                <w:sz w:val="20"/>
                <w:szCs w:val="20"/>
              </w:rPr>
            </w:pPr>
            <w:r>
              <w:rPr>
                <w:rFonts w:ascii="Arial" w:eastAsia="Calibri" w:hAnsi="Arial" w:cs="Arial"/>
                <w:sz w:val="20"/>
                <w:szCs w:val="20"/>
              </w:rPr>
              <w:t>Very High</w:t>
            </w:r>
          </w:p>
        </w:tc>
      </w:tr>
      <w:tr w:rsidR="00ED1298" w14:paraId="54C97B73" w14:textId="77777777">
        <w:trPr>
          <w:trHeight w:val="360"/>
        </w:trPr>
        <w:tc>
          <w:tcPr>
            <w:tcW w:w="2605" w:type="dxa"/>
            <w:tcBorders>
              <w:bottom w:val="single" w:sz="12" w:space="0" w:color="auto"/>
            </w:tcBorders>
            <w:shd w:val="clear" w:color="auto" w:fill="auto"/>
            <w:vAlign w:val="center"/>
          </w:tcPr>
          <w:p w14:paraId="0E5F3430" w14:textId="77777777" w:rsidR="00ED1298" w:rsidRDefault="00E77581">
            <w:pPr>
              <w:jc w:val="center"/>
              <w:rPr>
                <w:rFonts w:ascii="Arial" w:hAnsi="Arial" w:cs="Arial"/>
                <w:sz w:val="20"/>
                <w:szCs w:val="20"/>
              </w:rPr>
            </w:pPr>
            <w:r>
              <w:rPr>
                <w:rFonts w:ascii="Arial" w:hAnsi="Arial" w:cs="Arial"/>
                <w:sz w:val="20"/>
                <w:szCs w:val="20"/>
              </w:rPr>
              <w:t>Overall</w:t>
            </w:r>
          </w:p>
        </w:tc>
        <w:tc>
          <w:tcPr>
            <w:tcW w:w="1800" w:type="dxa"/>
            <w:tcBorders>
              <w:bottom w:val="single" w:sz="12" w:space="0" w:color="auto"/>
            </w:tcBorders>
            <w:vAlign w:val="center"/>
          </w:tcPr>
          <w:p w14:paraId="7561D5F3" w14:textId="77777777" w:rsidR="00ED1298" w:rsidRDefault="00E77581">
            <w:pPr>
              <w:jc w:val="center"/>
              <w:rPr>
                <w:rFonts w:ascii="Arial" w:hAnsi="Arial" w:cs="Arial"/>
                <w:sz w:val="20"/>
                <w:szCs w:val="20"/>
                <w:lang w:eastAsia="en-PH"/>
              </w:rPr>
            </w:pPr>
            <w:r>
              <w:rPr>
                <w:rFonts w:ascii="Arial" w:hAnsi="Arial" w:cs="Arial"/>
                <w:sz w:val="20"/>
                <w:szCs w:val="20"/>
                <w:lang w:eastAsia="en-PH"/>
              </w:rPr>
              <w:t>4.00</w:t>
            </w:r>
          </w:p>
        </w:tc>
        <w:tc>
          <w:tcPr>
            <w:tcW w:w="1710" w:type="dxa"/>
            <w:tcBorders>
              <w:bottom w:val="single" w:sz="12" w:space="0" w:color="auto"/>
            </w:tcBorders>
            <w:vAlign w:val="center"/>
          </w:tcPr>
          <w:p w14:paraId="4559B42D" w14:textId="77777777" w:rsidR="00ED1298" w:rsidRDefault="00E77581">
            <w:pPr>
              <w:jc w:val="center"/>
              <w:rPr>
                <w:rFonts w:ascii="Arial" w:hAnsi="Arial" w:cs="Arial"/>
                <w:sz w:val="20"/>
                <w:szCs w:val="20"/>
                <w:lang w:eastAsia="en-PH"/>
              </w:rPr>
            </w:pPr>
            <w:r>
              <w:rPr>
                <w:rFonts w:ascii="Arial" w:hAnsi="Arial" w:cs="Arial"/>
                <w:sz w:val="20"/>
                <w:szCs w:val="20"/>
                <w:lang w:eastAsia="en-PH"/>
              </w:rPr>
              <w:t>0.543</w:t>
            </w:r>
          </w:p>
        </w:tc>
        <w:tc>
          <w:tcPr>
            <w:tcW w:w="2515" w:type="dxa"/>
            <w:tcBorders>
              <w:bottom w:val="single" w:sz="12" w:space="0" w:color="auto"/>
            </w:tcBorders>
            <w:vAlign w:val="center"/>
          </w:tcPr>
          <w:p w14:paraId="1D620794" w14:textId="77777777" w:rsidR="00ED1298" w:rsidRDefault="00E77581">
            <w:pPr>
              <w:jc w:val="center"/>
              <w:rPr>
                <w:rFonts w:ascii="Arial" w:eastAsia="Calibri" w:hAnsi="Arial" w:cs="Arial"/>
                <w:sz w:val="20"/>
                <w:szCs w:val="20"/>
              </w:rPr>
            </w:pPr>
            <w:r>
              <w:rPr>
                <w:rFonts w:ascii="Arial" w:eastAsia="Calibri" w:hAnsi="Arial" w:cs="Arial"/>
                <w:sz w:val="20"/>
                <w:szCs w:val="20"/>
              </w:rPr>
              <w:t>High</w:t>
            </w:r>
          </w:p>
        </w:tc>
      </w:tr>
    </w:tbl>
    <w:p w14:paraId="5091DDF1" w14:textId="77777777" w:rsidR="00ED1298" w:rsidRDefault="00ED1298">
      <w:pPr>
        <w:ind w:firstLine="720"/>
        <w:jc w:val="both"/>
        <w:rPr>
          <w:rFonts w:ascii="Arial" w:hAnsi="Arial" w:cs="Arial"/>
        </w:rPr>
      </w:pPr>
    </w:p>
    <w:p w14:paraId="06FC475D" w14:textId="77777777" w:rsidR="00ED1298" w:rsidRDefault="00E77581">
      <w:pPr>
        <w:jc w:val="both"/>
        <w:rPr>
          <w:rFonts w:ascii="Arial" w:hAnsi="Arial" w:cs="Arial"/>
        </w:rPr>
      </w:pPr>
      <w:r>
        <w:rPr>
          <w:rFonts w:ascii="Arial" w:hAnsi="Arial" w:cs="Arial"/>
        </w:rPr>
        <w:t xml:space="preserve">This means that the indicators related to the factors of academic performance are frequently demonstrated. It can also be observed from the table that the indicator of </w:t>
      </w:r>
      <w:r>
        <w:rPr>
          <w:rFonts w:ascii="Arial" w:hAnsi="Arial" w:cs="Arial"/>
          <w:i/>
          <w:iCs/>
        </w:rPr>
        <w:t>home environment</w:t>
      </w:r>
      <w:r>
        <w:rPr>
          <w:rFonts w:ascii="Arial" w:hAnsi="Arial" w:cs="Arial"/>
        </w:rPr>
        <w:t xml:space="preserve"> obtained the highest mean score of 4.29, descriptively defined as Very </w:t>
      </w:r>
      <w:r>
        <w:rPr>
          <w:rFonts w:ascii="Arial" w:hAnsi="Arial" w:cs="Arial"/>
        </w:rPr>
        <w:t xml:space="preserve">High. Subsequently, the indicators </w:t>
      </w:r>
      <w:r>
        <w:rPr>
          <w:rFonts w:ascii="Arial" w:hAnsi="Arial" w:cs="Arial"/>
          <w:i/>
          <w:iCs/>
        </w:rPr>
        <w:t>study habits</w:t>
      </w:r>
      <w:r>
        <w:rPr>
          <w:rFonts w:ascii="Arial" w:hAnsi="Arial" w:cs="Arial"/>
        </w:rPr>
        <w:t xml:space="preserve"> follow with a mean score of 4.00; </w:t>
      </w:r>
      <w:r>
        <w:rPr>
          <w:rFonts w:ascii="Arial" w:hAnsi="Arial" w:cs="Arial"/>
          <w:i/>
          <w:iCs/>
        </w:rPr>
        <w:t xml:space="preserve">learning skills </w:t>
      </w:r>
      <w:r>
        <w:rPr>
          <w:rFonts w:ascii="Arial" w:hAnsi="Arial" w:cs="Arial"/>
        </w:rPr>
        <w:t xml:space="preserve">with a mean score of 3.99; </w:t>
      </w:r>
      <w:r>
        <w:rPr>
          <w:rFonts w:ascii="Arial" w:hAnsi="Arial" w:cs="Arial"/>
          <w:i/>
          <w:iCs/>
        </w:rPr>
        <w:t>hardworking</w:t>
      </w:r>
      <w:r>
        <w:rPr>
          <w:rFonts w:ascii="Arial" w:hAnsi="Arial" w:cs="Arial"/>
        </w:rPr>
        <w:t xml:space="preserve"> with a mean score of 3.95; and lastly, </w:t>
      </w:r>
      <w:r>
        <w:rPr>
          <w:rFonts w:ascii="Arial" w:hAnsi="Arial" w:cs="Arial"/>
          <w:i/>
          <w:iCs/>
        </w:rPr>
        <w:t xml:space="preserve">academic interaction </w:t>
      </w:r>
      <w:r>
        <w:rPr>
          <w:rFonts w:ascii="Arial" w:hAnsi="Arial" w:cs="Arial"/>
        </w:rPr>
        <w:t>with a mean score of 3.79 which are all descriptively refer</w:t>
      </w:r>
      <w:r>
        <w:rPr>
          <w:rFonts w:ascii="Arial" w:hAnsi="Arial" w:cs="Arial"/>
        </w:rPr>
        <w:t xml:space="preserve"> to as High. The very high rating of </w:t>
      </w:r>
      <w:r>
        <w:rPr>
          <w:rFonts w:ascii="Arial" w:hAnsi="Arial" w:cs="Arial"/>
          <w:i/>
          <w:iCs/>
        </w:rPr>
        <w:t>home environment</w:t>
      </w:r>
      <w:r>
        <w:rPr>
          <w:rFonts w:ascii="Arial" w:hAnsi="Arial" w:cs="Arial"/>
        </w:rPr>
        <w:t xml:space="preserve"> is suggestive to its highly significant impact on students' academic performance. This claim is supported by various authors</w:t>
      </w:r>
      <w:r>
        <w:rPr>
          <w:rFonts w:ascii="Arial" w:hAnsi="Arial" w:cs="Arial"/>
          <w:color w:val="00B0F0"/>
        </w:rPr>
        <w:t xml:space="preserve"> (Fuentes &amp; Victoria, 2024) [20]</w:t>
      </w:r>
      <w:r>
        <w:rPr>
          <w:rFonts w:ascii="Arial" w:hAnsi="Arial" w:cs="Arial"/>
        </w:rPr>
        <w:t xml:space="preserve"> who highlighted that a supportive home enviro</w:t>
      </w:r>
      <w:r>
        <w:rPr>
          <w:rFonts w:ascii="Arial" w:hAnsi="Arial" w:cs="Arial"/>
        </w:rPr>
        <w:t>nment characterized by parental involvement, socioeconomic status, and access to resources increases interest and gives the necessary support for grasping difficult scientific concepts. Parents significantly increase their children's academic performance i</w:t>
      </w:r>
      <w:r>
        <w:rPr>
          <w:rFonts w:ascii="Arial" w:hAnsi="Arial" w:cs="Arial"/>
        </w:rPr>
        <w:t>n science by creating and maintaining a positive home environment in which love, hard work, and excellence are encouraged to bring out the best in their children's academic performance.</w:t>
      </w:r>
    </w:p>
    <w:p w14:paraId="174A61FA" w14:textId="77777777" w:rsidR="00ED1298" w:rsidRDefault="00ED1298">
      <w:pPr>
        <w:jc w:val="both"/>
        <w:rPr>
          <w:rFonts w:ascii="Arial" w:hAnsi="Arial" w:cs="Arial"/>
        </w:rPr>
      </w:pPr>
    </w:p>
    <w:p w14:paraId="1B9D6739" w14:textId="77777777" w:rsidR="00ED1298" w:rsidRDefault="00E77581">
      <w:pPr>
        <w:jc w:val="both"/>
        <w:rPr>
          <w:rFonts w:ascii="Arial" w:hAnsi="Arial" w:cs="Arial"/>
          <w:color w:val="0070C0"/>
        </w:rPr>
      </w:pPr>
      <w:r>
        <w:rPr>
          <w:rFonts w:ascii="Arial" w:hAnsi="Arial" w:cs="Arial"/>
        </w:rPr>
        <w:t xml:space="preserve">The high level of </w:t>
      </w:r>
      <w:r>
        <w:rPr>
          <w:rFonts w:ascii="Arial" w:hAnsi="Arial" w:cs="Arial"/>
          <w:i/>
          <w:iCs/>
        </w:rPr>
        <w:t>study habits</w:t>
      </w:r>
      <w:r>
        <w:rPr>
          <w:rFonts w:ascii="Arial" w:hAnsi="Arial" w:cs="Arial"/>
        </w:rPr>
        <w:t xml:space="preserve"> highlighted the importance of effective study habits, particularly time management and a conducive learning environment, in achieving academic success. This assertion aligned with several studies </w:t>
      </w:r>
      <w:r>
        <w:rPr>
          <w:rFonts w:ascii="Arial" w:hAnsi="Arial" w:cs="Arial"/>
          <w:color w:val="0070C0"/>
        </w:rPr>
        <w:t xml:space="preserve">(Nair &amp; </w:t>
      </w:r>
      <w:proofErr w:type="spellStart"/>
      <w:r>
        <w:rPr>
          <w:rFonts w:ascii="Arial" w:hAnsi="Arial" w:cs="Arial"/>
          <w:color w:val="0070C0"/>
        </w:rPr>
        <w:t>Kulkarhi</w:t>
      </w:r>
      <w:proofErr w:type="spellEnd"/>
      <w:r>
        <w:rPr>
          <w:rFonts w:ascii="Arial" w:hAnsi="Arial" w:cs="Arial"/>
          <w:color w:val="0070C0"/>
        </w:rPr>
        <w:t xml:space="preserve">, 2020; Bin Abdulrahman et al.,2021; </w:t>
      </w:r>
      <w:proofErr w:type="spellStart"/>
      <w:r>
        <w:rPr>
          <w:rFonts w:ascii="Arial" w:hAnsi="Arial" w:cs="Arial"/>
          <w:color w:val="0070C0"/>
        </w:rPr>
        <w:t>Camang</w:t>
      </w:r>
      <w:r>
        <w:rPr>
          <w:rFonts w:ascii="Arial" w:hAnsi="Arial" w:cs="Arial"/>
          <w:color w:val="0070C0"/>
        </w:rPr>
        <w:t>yan</w:t>
      </w:r>
      <w:proofErr w:type="spellEnd"/>
      <w:r>
        <w:rPr>
          <w:rFonts w:ascii="Arial" w:hAnsi="Arial" w:cs="Arial"/>
          <w:color w:val="0070C0"/>
        </w:rPr>
        <w:t>, 2023; Mulaudzi, 2023) [21-24]</w:t>
      </w:r>
      <w:r>
        <w:rPr>
          <w:rFonts w:ascii="Arial" w:hAnsi="Arial" w:cs="Arial"/>
        </w:rPr>
        <w:t xml:space="preserve"> suggesting that strong study habits played a positive and crucial role in improving academic performance in science. Time management enabled students to prioritize tasks, follow structured routines, and avoid cramming, le</w:t>
      </w:r>
      <w:r>
        <w:rPr>
          <w:rFonts w:ascii="Arial" w:hAnsi="Arial" w:cs="Arial"/>
        </w:rPr>
        <w:t>ading to better comprehension and retention. A positive learning environment fostered motivation and focus, while distractions, such as noisy surroundings and unmanageable use of social media, can significantly hinder performance, with students losing focu</w:t>
      </w:r>
      <w:r>
        <w:rPr>
          <w:rFonts w:ascii="Arial" w:hAnsi="Arial" w:cs="Arial"/>
        </w:rPr>
        <w:t xml:space="preserve">s of their study time </w:t>
      </w:r>
      <w:r>
        <w:rPr>
          <w:rFonts w:ascii="Arial" w:hAnsi="Arial" w:cs="Arial"/>
          <w:color w:val="0070C0"/>
        </w:rPr>
        <w:t xml:space="preserve">(Hendrix, 2024; </w:t>
      </w:r>
      <w:proofErr w:type="spellStart"/>
      <w:r>
        <w:rPr>
          <w:rFonts w:ascii="Arial" w:hAnsi="Arial" w:cs="Arial"/>
          <w:color w:val="0070C0"/>
        </w:rPr>
        <w:t>Walck</w:t>
      </w:r>
      <w:proofErr w:type="spellEnd"/>
      <w:r>
        <w:rPr>
          <w:rFonts w:ascii="Arial" w:hAnsi="Arial" w:cs="Arial"/>
          <w:color w:val="0070C0"/>
        </w:rPr>
        <w:t xml:space="preserve">-Shannon et al., 2021; </w:t>
      </w:r>
      <w:r>
        <w:rPr>
          <w:rFonts w:ascii="Arial" w:hAnsi="Arial" w:cs="Arial"/>
          <w:bCs/>
          <w:color w:val="0070C0"/>
        </w:rPr>
        <w:t>Al-</w:t>
      </w:r>
      <w:proofErr w:type="spellStart"/>
      <w:r>
        <w:rPr>
          <w:rFonts w:ascii="Arial" w:hAnsi="Arial" w:cs="Arial"/>
          <w:bCs/>
          <w:color w:val="0070C0"/>
        </w:rPr>
        <w:t>Adwan</w:t>
      </w:r>
      <w:proofErr w:type="spellEnd"/>
      <w:r>
        <w:rPr>
          <w:rFonts w:ascii="Arial" w:hAnsi="Arial" w:cs="Arial"/>
          <w:bCs/>
          <w:color w:val="0070C0"/>
        </w:rPr>
        <w:t xml:space="preserve"> et al.,2020</w:t>
      </w:r>
      <w:r>
        <w:rPr>
          <w:rFonts w:ascii="Arial" w:hAnsi="Arial" w:cs="Arial"/>
          <w:color w:val="0070C0"/>
        </w:rPr>
        <w:t xml:space="preserve">) [25-27]. </w:t>
      </w:r>
    </w:p>
    <w:p w14:paraId="008DC06A" w14:textId="77777777" w:rsidR="00ED1298" w:rsidRDefault="00ED1298">
      <w:pPr>
        <w:jc w:val="both"/>
        <w:rPr>
          <w:rFonts w:ascii="Arial" w:hAnsi="Arial" w:cs="Arial"/>
        </w:rPr>
      </w:pPr>
    </w:p>
    <w:p w14:paraId="591B59A7" w14:textId="77777777" w:rsidR="00ED1298" w:rsidRDefault="00E77581">
      <w:pPr>
        <w:jc w:val="both"/>
        <w:rPr>
          <w:rFonts w:ascii="Arial" w:hAnsi="Arial" w:cs="Arial"/>
        </w:rPr>
      </w:pPr>
      <w:r>
        <w:rPr>
          <w:rFonts w:ascii="Arial" w:hAnsi="Arial" w:cs="Arial"/>
        </w:rPr>
        <w:t xml:space="preserve">Furthermore, the high descriptive level for </w:t>
      </w:r>
      <w:r>
        <w:rPr>
          <w:rFonts w:ascii="Arial" w:hAnsi="Arial" w:cs="Arial"/>
          <w:i/>
          <w:iCs/>
        </w:rPr>
        <w:t>learning skills</w:t>
      </w:r>
      <w:r>
        <w:rPr>
          <w:rFonts w:ascii="Arial" w:hAnsi="Arial" w:cs="Arial"/>
        </w:rPr>
        <w:t xml:space="preserve"> indicated the significant impact that these skills have on students' academic performance in scie</w:t>
      </w:r>
      <w:r>
        <w:rPr>
          <w:rFonts w:ascii="Arial" w:hAnsi="Arial" w:cs="Arial"/>
        </w:rPr>
        <w:t xml:space="preserve">nce. This observation was supported with prior study suggesting learning skills as a strong predictor of academic performance </w:t>
      </w:r>
      <w:r>
        <w:rPr>
          <w:rFonts w:ascii="Arial" w:hAnsi="Arial" w:cs="Arial"/>
          <w:color w:val="0070C0"/>
        </w:rPr>
        <w:t>(</w:t>
      </w:r>
      <w:proofErr w:type="spellStart"/>
      <w:r>
        <w:rPr>
          <w:rFonts w:ascii="Arial" w:hAnsi="Arial" w:cs="Arial"/>
          <w:color w:val="0070C0"/>
        </w:rPr>
        <w:t>Almoslamani</w:t>
      </w:r>
      <w:proofErr w:type="spellEnd"/>
      <w:r>
        <w:rPr>
          <w:rFonts w:ascii="Arial" w:hAnsi="Arial" w:cs="Arial"/>
          <w:color w:val="0070C0"/>
        </w:rPr>
        <w:t>, 2022) [28]</w:t>
      </w:r>
      <w:r>
        <w:rPr>
          <w:rFonts w:ascii="Arial" w:hAnsi="Arial" w:cs="Arial"/>
        </w:rPr>
        <w:t xml:space="preserve">. Learning skills such as active listening, effective </w:t>
      </w:r>
      <w:r>
        <w:rPr>
          <w:rFonts w:ascii="Arial" w:hAnsi="Arial" w:cs="Arial"/>
        </w:rPr>
        <w:lastRenderedPageBreak/>
        <w:t>notetaking, organizational abilities, metacognition,</w:t>
      </w:r>
      <w:r>
        <w:rPr>
          <w:rFonts w:ascii="Arial" w:hAnsi="Arial" w:cs="Arial"/>
        </w:rPr>
        <w:t xml:space="preserve"> and critical thinking were more likely to grasp complex scientific concepts and excel in exams and practical assignments, which is supported by studies of various authors </w:t>
      </w:r>
      <w:r>
        <w:rPr>
          <w:rFonts w:ascii="Arial" w:hAnsi="Arial" w:cs="Arial"/>
          <w:color w:val="0070C0"/>
        </w:rPr>
        <w:t>(Tus et al., 2020; Al-</w:t>
      </w:r>
      <w:proofErr w:type="spellStart"/>
      <w:r>
        <w:rPr>
          <w:rFonts w:ascii="Arial" w:hAnsi="Arial" w:cs="Arial"/>
          <w:color w:val="0070C0"/>
        </w:rPr>
        <w:t>Ghazo</w:t>
      </w:r>
      <w:proofErr w:type="spellEnd"/>
      <w:r>
        <w:rPr>
          <w:rFonts w:ascii="Arial" w:hAnsi="Arial" w:cs="Arial"/>
          <w:color w:val="0070C0"/>
        </w:rPr>
        <w:t xml:space="preserve">, 2023; Brown-Schmid et al., 2023; </w:t>
      </w:r>
      <w:proofErr w:type="spellStart"/>
      <w:r>
        <w:rPr>
          <w:rFonts w:ascii="Arial" w:hAnsi="Arial" w:cs="Arial"/>
          <w:color w:val="0070C0"/>
        </w:rPr>
        <w:t>Salame</w:t>
      </w:r>
      <w:proofErr w:type="spellEnd"/>
      <w:r>
        <w:rPr>
          <w:rFonts w:ascii="Arial" w:hAnsi="Arial" w:cs="Arial"/>
          <w:color w:val="0070C0"/>
        </w:rPr>
        <w:t xml:space="preserve"> et al., 2024; R</w:t>
      </w:r>
      <w:r>
        <w:rPr>
          <w:rFonts w:ascii="Arial" w:hAnsi="Arial" w:cs="Arial"/>
          <w:color w:val="0070C0"/>
        </w:rPr>
        <w:t>eyes, 2024) [29-33]</w:t>
      </w:r>
      <w:r>
        <w:rPr>
          <w:rFonts w:ascii="Arial" w:hAnsi="Arial" w:cs="Arial"/>
        </w:rPr>
        <w:t xml:space="preserve"> who found that these skills increase student’s listening comprehension, memory retention, and further boost their academic performance in science.</w:t>
      </w:r>
    </w:p>
    <w:p w14:paraId="094B4FE3" w14:textId="77777777" w:rsidR="00ED1298" w:rsidRDefault="00ED1298">
      <w:pPr>
        <w:jc w:val="both"/>
        <w:rPr>
          <w:rFonts w:ascii="Arial" w:hAnsi="Arial" w:cs="Arial"/>
        </w:rPr>
      </w:pPr>
      <w:bookmarkStart w:id="2" w:name="_Hlk169465273"/>
    </w:p>
    <w:p w14:paraId="29446BD7" w14:textId="77777777" w:rsidR="00ED1298" w:rsidRDefault="00E77581">
      <w:pPr>
        <w:jc w:val="both"/>
        <w:rPr>
          <w:rFonts w:ascii="Arial" w:hAnsi="Arial" w:cs="Arial"/>
          <w:bCs/>
          <w:color w:val="000000" w:themeColor="text1"/>
        </w:rPr>
      </w:pPr>
      <w:r>
        <w:rPr>
          <w:rFonts w:ascii="Arial" w:hAnsi="Arial" w:cs="Arial"/>
        </w:rPr>
        <w:t xml:space="preserve">In addition, the high level of the indicator </w:t>
      </w:r>
      <w:r>
        <w:rPr>
          <w:rFonts w:ascii="Arial" w:hAnsi="Arial" w:cs="Arial"/>
          <w:i/>
          <w:iCs/>
        </w:rPr>
        <w:t>hardworking</w:t>
      </w:r>
      <w:r>
        <w:rPr>
          <w:rFonts w:ascii="Arial" w:hAnsi="Arial" w:cs="Arial"/>
        </w:rPr>
        <w:t xml:space="preserve"> implied the high extent to whic</w:t>
      </w:r>
      <w:r>
        <w:rPr>
          <w:rFonts w:ascii="Arial" w:hAnsi="Arial" w:cs="Arial"/>
        </w:rPr>
        <w:t xml:space="preserve">h hard work is one of the keys to academic performance and success. This supported the idea of the authors, </w:t>
      </w:r>
      <w:r>
        <w:rPr>
          <w:rFonts w:ascii="Arial" w:hAnsi="Arial" w:cs="Arial"/>
          <w:color w:val="0070C0"/>
        </w:rPr>
        <w:t xml:space="preserve">Huang &amp; Lee (2020), </w:t>
      </w:r>
      <w:proofErr w:type="spellStart"/>
      <w:r>
        <w:rPr>
          <w:rFonts w:ascii="Arial" w:hAnsi="Arial" w:cs="Arial"/>
          <w:color w:val="0070C0"/>
        </w:rPr>
        <w:t>Sulaiman</w:t>
      </w:r>
      <w:proofErr w:type="spellEnd"/>
      <w:r>
        <w:rPr>
          <w:rFonts w:ascii="Arial" w:hAnsi="Arial" w:cs="Arial"/>
          <w:color w:val="0070C0"/>
        </w:rPr>
        <w:t xml:space="preserve"> et al., (2023), and Trinh (2023) [34-36]</w:t>
      </w:r>
      <w:r>
        <w:rPr>
          <w:rFonts w:ascii="Arial" w:hAnsi="Arial" w:cs="Arial"/>
        </w:rPr>
        <w:t>, who found that students identified as “hard workers” had significantly higher</w:t>
      </w:r>
      <w:r>
        <w:rPr>
          <w:rFonts w:ascii="Arial" w:hAnsi="Arial" w:cs="Arial"/>
        </w:rPr>
        <w:t xml:space="preserve"> GPAs and proven to promote greater persistence and resilience, which are essential for navigating academic challenges and recovering from setbacks. Further, the high score in </w:t>
      </w:r>
      <w:r>
        <w:rPr>
          <w:rFonts w:ascii="Arial" w:hAnsi="Arial" w:cs="Arial"/>
          <w:i/>
          <w:iCs/>
        </w:rPr>
        <w:t>academic interaction</w:t>
      </w:r>
      <w:r>
        <w:rPr>
          <w:rFonts w:ascii="Arial" w:hAnsi="Arial" w:cs="Arial"/>
        </w:rPr>
        <w:t xml:space="preserve"> aligned with the findings of </w:t>
      </w:r>
      <w:r>
        <w:rPr>
          <w:rFonts w:ascii="Arial" w:hAnsi="Arial" w:cs="Arial"/>
          <w:color w:val="0070C0"/>
        </w:rPr>
        <w:t>Li (2023) [37],</w:t>
      </w:r>
      <w:r>
        <w:rPr>
          <w:rFonts w:ascii="Arial" w:hAnsi="Arial" w:cs="Arial"/>
        </w:rPr>
        <w:t xml:space="preserve"> who emphasized</w:t>
      </w:r>
      <w:r>
        <w:rPr>
          <w:rFonts w:ascii="Arial" w:hAnsi="Arial" w:cs="Arial"/>
        </w:rPr>
        <w:t xml:space="preserve"> the importance of </w:t>
      </w:r>
      <w:r>
        <w:rPr>
          <w:rFonts w:ascii="Arial" w:hAnsi="Arial" w:cs="Arial"/>
          <w:bCs/>
          <w:color w:val="000000" w:themeColor="text1"/>
        </w:rPr>
        <w:t>teacher-student relationship and peer relationship in enhancing student’s academic performance. Students reported that they feel more motivated, engaged, and connected to the learning process when they have positive relationships with th</w:t>
      </w:r>
      <w:r>
        <w:rPr>
          <w:rFonts w:ascii="Arial" w:hAnsi="Arial" w:cs="Arial"/>
          <w:bCs/>
          <w:color w:val="000000" w:themeColor="text1"/>
        </w:rPr>
        <w:t xml:space="preserve">eir teachers and peers, which constructively influences attitudes toward academic pursuits and overall performance. </w:t>
      </w:r>
      <w:r>
        <w:rPr>
          <w:rFonts w:ascii="Arial" w:hAnsi="Arial" w:cs="Arial"/>
        </w:rPr>
        <w:t>Positive academic interactions promoted the development of communication, collaboration, and critical thinking skills, necessary for academi</w:t>
      </w:r>
      <w:r>
        <w:rPr>
          <w:rFonts w:ascii="Arial" w:hAnsi="Arial" w:cs="Arial"/>
        </w:rPr>
        <w:t>c performance and future professional success.</w:t>
      </w:r>
    </w:p>
    <w:p w14:paraId="40E9EFAC" w14:textId="77777777" w:rsidR="00ED1298" w:rsidRDefault="00ED1298">
      <w:pPr>
        <w:jc w:val="both"/>
        <w:rPr>
          <w:rFonts w:ascii="Arial" w:hAnsi="Arial" w:cs="Arial"/>
          <w:b/>
          <w:bCs/>
        </w:rPr>
      </w:pPr>
    </w:p>
    <w:p w14:paraId="699C67C8" w14:textId="77777777" w:rsidR="00ED1298" w:rsidRDefault="00E77581">
      <w:pPr>
        <w:jc w:val="both"/>
        <w:rPr>
          <w:rFonts w:ascii="Arial" w:hAnsi="Arial" w:cs="Arial"/>
          <w:b/>
          <w:bCs/>
        </w:rPr>
      </w:pPr>
      <w:r>
        <w:rPr>
          <w:rFonts w:ascii="Arial" w:hAnsi="Arial" w:cs="Arial"/>
          <w:b/>
          <w:bCs/>
        </w:rPr>
        <w:t>Level of Student Engagement</w:t>
      </w:r>
    </w:p>
    <w:p w14:paraId="30465CBE" w14:textId="77777777" w:rsidR="00ED1298" w:rsidRDefault="00ED1298">
      <w:pPr>
        <w:jc w:val="both"/>
        <w:rPr>
          <w:rFonts w:ascii="Arial" w:hAnsi="Arial" w:cs="Arial"/>
        </w:rPr>
      </w:pPr>
    </w:p>
    <w:p w14:paraId="1660ACE2" w14:textId="77777777" w:rsidR="00ED1298" w:rsidRDefault="00E77581">
      <w:pPr>
        <w:jc w:val="both"/>
        <w:rPr>
          <w:rFonts w:ascii="Arial" w:hAnsi="Arial" w:cs="Arial"/>
        </w:rPr>
      </w:pPr>
      <w:r>
        <w:rPr>
          <w:rFonts w:ascii="Arial" w:hAnsi="Arial" w:cs="Arial"/>
        </w:rPr>
        <w:t xml:space="preserve">Student engagement is routinely conceptualized as the extent of a student’s active and productive involvement in a learning activity. </w:t>
      </w:r>
      <w:bookmarkStart w:id="3" w:name="_Hlk170369834"/>
      <w:r>
        <w:rPr>
          <w:rFonts w:ascii="Arial" w:hAnsi="Arial" w:cs="Arial"/>
        </w:rPr>
        <w:t>Presented in table 2 are the level of student</w:t>
      </w:r>
      <w:r>
        <w:rPr>
          <w:rFonts w:ascii="Arial" w:hAnsi="Arial" w:cs="Arial"/>
        </w:rPr>
        <w:t xml:space="preserve"> engagement in terms of cognitive, affective, behavioral, and agency among students in learning science.</w:t>
      </w:r>
      <w:bookmarkEnd w:id="3"/>
      <w:r>
        <w:rPr>
          <w:rFonts w:ascii="Arial" w:hAnsi="Arial" w:cs="Arial"/>
        </w:rPr>
        <w:t xml:space="preserve"> The results of the analysis indicated that the level of </w:t>
      </w:r>
      <w:r>
        <w:rPr>
          <w:rFonts w:ascii="Arial" w:hAnsi="Arial" w:cs="Arial"/>
          <w:i/>
          <w:iCs/>
        </w:rPr>
        <w:t>student engagement</w:t>
      </w:r>
      <w:r>
        <w:rPr>
          <w:rFonts w:ascii="Arial" w:hAnsi="Arial" w:cs="Arial"/>
        </w:rPr>
        <w:t xml:space="preserve"> in science were interpreted as High, with an overall mean score of 3.42 and </w:t>
      </w:r>
      <w:r>
        <w:rPr>
          <w:rFonts w:ascii="Arial" w:hAnsi="Arial" w:cs="Arial"/>
        </w:rPr>
        <w:t>SD of 0.673. This means that the indicators related to the student engagement were frequently established.</w:t>
      </w:r>
    </w:p>
    <w:bookmarkEnd w:id="2"/>
    <w:p w14:paraId="15D51500" w14:textId="77777777" w:rsidR="00ED1298" w:rsidRDefault="00ED1298">
      <w:pPr>
        <w:jc w:val="both"/>
        <w:rPr>
          <w:rFonts w:ascii="Arial" w:hAnsi="Arial" w:cs="Arial"/>
          <w:b/>
          <w:bCs/>
        </w:rPr>
      </w:pPr>
    </w:p>
    <w:p w14:paraId="2A934BA3" w14:textId="77777777" w:rsidR="00ED1298" w:rsidRDefault="00E77581">
      <w:pPr>
        <w:jc w:val="both"/>
        <w:rPr>
          <w:rFonts w:ascii="Arial" w:hAnsi="Arial" w:cs="Arial"/>
        </w:rPr>
      </w:pPr>
      <w:r>
        <w:rPr>
          <w:rFonts w:ascii="Arial" w:hAnsi="Arial" w:cs="Arial"/>
        </w:rPr>
        <w:t>Table 2. Level of Student Engagement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1750"/>
        <w:gridCol w:w="1669"/>
        <w:gridCol w:w="2460"/>
      </w:tblGrid>
      <w:tr w:rsidR="00ED1298" w14:paraId="6DDA54E1" w14:textId="77777777">
        <w:trPr>
          <w:trHeight w:val="360"/>
        </w:trPr>
        <w:tc>
          <w:tcPr>
            <w:tcW w:w="2605" w:type="dxa"/>
            <w:tcBorders>
              <w:top w:val="single" w:sz="12" w:space="0" w:color="auto"/>
              <w:bottom w:val="single" w:sz="4" w:space="0" w:color="auto"/>
            </w:tcBorders>
            <w:vAlign w:val="center"/>
          </w:tcPr>
          <w:p w14:paraId="6FC96D4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Indicators</w:t>
            </w:r>
          </w:p>
        </w:tc>
        <w:tc>
          <w:tcPr>
            <w:tcW w:w="1800" w:type="dxa"/>
            <w:tcBorders>
              <w:top w:val="single" w:sz="12" w:space="0" w:color="auto"/>
              <w:bottom w:val="single" w:sz="4" w:space="0" w:color="auto"/>
            </w:tcBorders>
            <w:vAlign w:val="center"/>
          </w:tcPr>
          <w:p w14:paraId="1D71239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x̄</w:t>
            </w:r>
          </w:p>
        </w:tc>
        <w:tc>
          <w:tcPr>
            <w:tcW w:w="1710" w:type="dxa"/>
            <w:tcBorders>
              <w:top w:val="single" w:sz="12" w:space="0" w:color="auto"/>
              <w:bottom w:val="single" w:sz="4" w:space="0" w:color="auto"/>
            </w:tcBorders>
            <w:vAlign w:val="center"/>
          </w:tcPr>
          <w:p w14:paraId="186E3A2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SD</w:t>
            </w:r>
          </w:p>
        </w:tc>
        <w:tc>
          <w:tcPr>
            <w:tcW w:w="2515" w:type="dxa"/>
            <w:tcBorders>
              <w:top w:val="single" w:sz="12" w:space="0" w:color="auto"/>
              <w:bottom w:val="single" w:sz="4" w:space="0" w:color="auto"/>
            </w:tcBorders>
            <w:vAlign w:val="center"/>
          </w:tcPr>
          <w:p w14:paraId="57B8F6A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Descriptive Level</w:t>
            </w:r>
          </w:p>
        </w:tc>
      </w:tr>
      <w:tr w:rsidR="00ED1298" w14:paraId="325BCEF7" w14:textId="77777777">
        <w:trPr>
          <w:trHeight w:val="360"/>
        </w:trPr>
        <w:tc>
          <w:tcPr>
            <w:tcW w:w="2605" w:type="dxa"/>
            <w:tcBorders>
              <w:top w:val="single" w:sz="4" w:space="0" w:color="auto"/>
            </w:tcBorders>
            <w:shd w:val="clear" w:color="auto" w:fill="auto"/>
            <w:vAlign w:val="center"/>
          </w:tcPr>
          <w:p w14:paraId="6BF72622" w14:textId="77777777" w:rsidR="00ED1298" w:rsidRDefault="00E77581">
            <w:pPr>
              <w:rPr>
                <w:rFonts w:ascii="Arial" w:eastAsia="Calibri" w:hAnsi="Arial" w:cs="Arial"/>
                <w:bCs/>
                <w:sz w:val="20"/>
                <w:szCs w:val="20"/>
              </w:rPr>
            </w:pPr>
            <w:r>
              <w:rPr>
                <w:rFonts w:ascii="Arial" w:hAnsi="Arial" w:cs="Arial"/>
                <w:bCs/>
                <w:sz w:val="20"/>
                <w:szCs w:val="20"/>
              </w:rPr>
              <w:t>Cognitive</w:t>
            </w:r>
          </w:p>
        </w:tc>
        <w:tc>
          <w:tcPr>
            <w:tcW w:w="1800" w:type="dxa"/>
            <w:tcBorders>
              <w:top w:val="single" w:sz="4" w:space="0" w:color="auto"/>
            </w:tcBorders>
            <w:vAlign w:val="center"/>
          </w:tcPr>
          <w:p w14:paraId="037EE3DC"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4.00</w:t>
            </w:r>
          </w:p>
        </w:tc>
        <w:tc>
          <w:tcPr>
            <w:tcW w:w="1710" w:type="dxa"/>
            <w:tcBorders>
              <w:top w:val="single" w:sz="4" w:space="0" w:color="auto"/>
            </w:tcBorders>
            <w:vAlign w:val="center"/>
          </w:tcPr>
          <w:p w14:paraId="35F82BFD"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0.637</w:t>
            </w:r>
          </w:p>
        </w:tc>
        <w:tc>
          <w:tcPr>
            <w:tcW w:w="2515" w:type="dxa"/>
            <w:tcBorders>
              <w:top w:val="single" w:sz="4" w:space="0" w:color="auto"/>
            </w:tcBorders>
            <w:vAlign w:val="center"/>
          </w:tcPr>
          <w:p w14:paraId="0CBC642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6ABEEFEE" w14:textId="77777777">
        <w:trPr>
          <w:trHeight w:val="360"/>
        </w:trPr>
        <w:tc>
          <w:tcPr>
            <w:tcW w:w="2605" w:type="dxa"/>
            <w:shd w:val="clear" w:color="auto" w:fill="auto"/>
            <w:vAlign w:val="center"/>
          </w:tcPr>
          <w:p w14:paraId="071FB18D" w14:textId="77777777" w:rsidR="00ED1298" w:rsidRDefault="00E77581">
            <w:pPr>
              <w:rPr>
                <w:rFonts w:ascii="Arial" w:eastAsia="Calibri" w:hAnsi="Arial" w:cs="Arial"/>
                <w:bCs/>
                <w:sz w:val="20"/>
                <w:szCs w:val="20"/>
              </w:rPr>
            </w:pPr>
            <w:r>
              <w:rPr>
                <w:rFonts w:ascii="Arial" w:hAnsi="Arial" w:cs="Arial"/>
                <w:bCs/>
                <w:sz w:val="20"/>
                <w:szCs w:val="20"/>
              </w:rPr>
              <w:t xml:space="preserve">Affective </w:t>
            </w:r>
          </w:p>
        </w:tc>
        <w:tc>
          <w:tcPr>
            <w:tcW w:w="1800" w:type="dxa"/>
            <w:vAlign w:val="center"/>
          </w:tcPr>
          <w:p w14:paraId="65EB1D33"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3.87</w:t>
            </w:r>
          </w:p>
        </w:tc>
        <w:tc>
          <w:tcPr>
            <w:tcW w:w="1710" w:type="dxa"/>
            <w:vAlign w:val="center"/>
          </w:tcPr>
          <w:p w14:paraId="07CC2976"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0.719</w:t>
            </w:r>
          </w:p>
        </w:tc>
        <w:tc>
          <w:tcPr>
            <w:tcW w:w="2515" w:type="dxa"/>
            <w:vAlign w:val="center"/>
          </w:tcPr>
          <w:p w14:paraId="3E5F57FA"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19CF2222" w14:textId="77777777">
        <w:trPr>
          <w:trHeight w:val="360"/>
        </w:trPr>
        <w:tc>
          <w:tcPr>
            <w:tcW w:w="2605" w:type="dxa"/>
            <w:shd w:val="clear" w:color="auto" w:fill="auto"/>
            <w:vAlign w:val="center"/>
          </w:tcPr>
          <w:p w14:paraId="3A075CB2" w14:textId="77777777" w:rsidR="00ED1298" w:rsidRDefault="00E77581">
            <w:pPr>
              <w:rPr>
                <w:rFonts w:ascii="Arial" w:eastAsia="Calibri" w:hAnsi="Arial" w:cs="Arial"/>
                <w:bCs/>
                <w:sz w:val="20"/>
                <w:szCs w:val="20"/>
              </w:rPr>
            </w:pPr>
            <w:r>
              <w:rPr>
                <w:rFonts w:ascii="Arial" w:hAnsi="Arial" w:cs="Arial"/>
                <w:bCs/>
                <w:sz w:val="20"/>
                <w:szCs w:val="20"/>
              </w:rPr>
              <w:t>Behavioral</w:t>
            </w:r>
          </w:p>
        </w:tc>
        <w:tc>
          <w:tcPr>
            <w:tcW w:w="1800" w:type="dxa"/>
            <w:vAlign w:val="center"/>
          </w:tcPr>
          <w:p w14:paraId="477BED55"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2.46</w:t>
            </w:r>
          </w:p>
        </w:tc>
        <w:tc>
          <w:tcPr>
            <w:tcW w:w="1710" w:type="dxa"/>
            <w:vAlign w:val="center"/>
          </w:tcPr>
          <w:p w14:paraId="784CB975"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1.238</w:t>
            </w:r>
          </w:p>
        </w:tc>
        <w:tc>
          <w:tcPr>
            <w:tcW w:w="2515" w:type="dxa"/>
            <w:vAlign w:val="center"/>
          </w:tcPr>
          <w:p w14:paraId="3273A6B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 xml:space="preserve">Low </w:t>
            </w:r>
          </w:p>
        </w:tc>
      </w:tr>
      <w:tr w:rsidR="00ED1298" w14:paraId="546A2F94" w14:textId="77777777">
        <w:trPr>
          <w:trHeight w:val="360"/>
        </w:trPr>
        <w:tc>
          <w:tcPr>
            <w:tcW w:w="2605" w:type="dxa"/>
            <w:shd w:val="clear" w:color="auto" w:fill="auto"/>
            <w:vAlign w:val="center"/>
          </w:tcPr>
          <w:p w14:paraId="3A5D248E" w14:textId="77777777" w:rsidR="00ED1298" w:rsidRDefault="00E77581">
            <w:pPr>
              <w:rPr>
                <w:rFonts w:ascii="Arial" w:eastAsia="Calibri" w:hAnsi="Arial" w:cs="Arial"/>
                <w:bCs/>
                <w:sz w:val="20"/>
                <w:szCs w:val="20"/>
              </w:rPr>
            </w:pPr>
            <w:r>
              <w:rPr>
                <w:rFonts w:ascii="Arial" w:hAnsi="Arial" w:cs="Arial"/>
                <w:bCs/>
                <w:sz w:val="20"/>
                <w:szCs w:val="20"/>
              </w:rPr>
              <w:t xml:space="preserve">Agency </w:t>
            </w:r>
          </w:p>
        </w:tc>
        <w:tc>
          <w:tcPr>
            <w:tcW w:w="1800" w:type="dxa"/>
            <w:vAlign w:val="center"/>
          </w:tcPr>
          <w:p w14:paraId="225029E3"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3.36</w:t>
            </w:r>
          </w:p>
        </w:tc>
        <w:tc>
          <w:tcPr>
            <w:tcW w:w="1710" w:type="dxa"/>
            <w:vAlign w:val="center"/>
          </w:tcPr>
          <w:p w14:paraId="7863BC2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0.776</w:t>
            </w:r>
          </w:p>
        </w:tc>
        <w:tc>
          <w:tcPr>
            <w:tcW w:w="2515" w:type="dxa"/>
            <w:vAlign w:val="center"/>
          </w:tcPr>
          <w:p w14:paraId="2537454C"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Moderate</w:t>
            </w:r>
          </w:p>
        </w:tc>
      </w:tr>
      <w:tr w:rsidR="00ED1298" w14:paraId="15F95C05" w14:textId="77777777">
        <w:trPr>
          <w:trHeight w:val="360"/>
        </w:trPr>
        <w:tc>
          <w:tcPr>
            <w:tcW w:w="2605" w:type="dxa"/>
            <w:tcBorders>
              <w:bottom w:val="single" w:sz="12" w:space="0" w:color="auto"/>
            </w:tcBorders>
            <w:shd w:val="clear" w:color="auto" w:fill="auto"/>
            <w:vAlign w:val="center"/>
          </w:tcPr>
          <w:p w14:paraId="08B018BC" w14:textId="77777777" w:rsidR="00ED1298" w:rsidRDefault="00E77581">
            <w:pPr>
              <w:jc w:val="center"/>
              <w:rPr>
                <w:rFonts w:ascii="Arial" w:eastAsia="Calibri" w:hAnsi="Arial" w:cs="Arial"/>
                <w:bCs/>
                <w:sz w:val="20"/>
                <w:szCs w:val="20"/>
              </w:rPr>
            </w:pPr>
            <w:r>
              <w:rPr>
                <w:rFonts w:ascii="Arial" w:hAnsi="Arial" w:cs="Arial"/>
                <w:bCs/>
                <w:sz w:val="20"/>
                <w:szCs w:val="20"/>
              </w:rPr>
              <w:t>Overall</w:t>
            </w:r>
          </w:p>
        </w:tc>
        <w:tc>
          <w:tcPr>
            <w:tcW w:w="1800" w:type="dxa"/>
            <w:tcBorders>
              <w:bottom w:val="single" w:sz="12" w:space="0" w:color="auto"/>
            </w:tcBorders>
            <w:vAlign w:val="center"/>
          </w:tcPr>
          <w:p w14:paraId="66B1A13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3.42</w:t>
            </w:r>
          </w:p>
        </w:tc>
        <w:tc>
          <w:tcPr>
            <w:tcW w:w="1710" w:type="dxa"/>
            <w:tcBorders>
              <w:bottom w:val="single" w:sz="12" w:space="0" w:color="auto"/>
            </w:tcBorders>
            <w:vAlign w:val="center"/>
          </w:tcPr>
          <w:p w14:paraId="4782884E"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0.673</w:t>
            </w:r>
          </w:p>
        </w:tc>
        <w:tc>
          <w:tcPr>
            <w:tcW w:w="2515" w:type="dxa"/>
            <w:tcBorders>
              <w:bottom w:val="single" w:sz="12" w:space="0" w:color="auto"/>
            </w:tcBorders>
            <w:vAlign w:val="center"/>
          </w:tcPr>
          <w:p w14:paraId="75B4038E"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bl>
    <w:p w14:paraId="1A4BE1FE" w14:textId="77777777" w:rsidR="00ED1298" w:rsidRDefault="00ED1298">
      <w:pPr>
        <w:jc w:val="both"/>
        <w:rPr>
          <w:rFonts w:ascii="Arial" w:hAnsi="Arial" w:cs="Arial"/>
        </w:rPr>
      </w:pPr>
    </w:p>
    <w:p w14:paraId="6C298D43" w14:textId="77777777" w:rsidR="00ED1298" w:rsidRDefault="00E77581">
      <w:pPr>
        <w:jc w:val="both"/>
        <w:rPr>
          <w:rFonts w:ascii="Arial" w:hAnsi="Arial" w:cs="Arial"/>
        </w:rPr>
      </w:pPr>
      <w:r>
        <w:rPr>
          <w:rFonts w:ascii="Arial" w:hAnsi="Arial" w:cs="Arial"/>
        </w:rPr>
        <w:t xml:space="preserve">The table also revealed that the highest mean score obtained was the </w:t>
      </w:r>
      <w:r>
        <w:rPr>
          <w:rFonts w:ascii="Arial" w:hAnsi="Arial" w:cs="Arial"/>
          <w:i/>
          <w:iCs/>
        </w:rPr>
        <w:t xml:space="preserve">cognitive </w:t>
      </w:r>
      <w:r>
        <w:rPr>
          <w:rFonts w:ascii="Arial" w:hAnsi="Arial" w:cs="Arial"/>
        </w:rPr>
        <w:t xml:space="preserve">with a mean score of 4.00, followed by </w:t>
      </w:r>
      <w:r>
        <w:rPr>
          <w:rFonts w:ascii="Arial" w:hAnsi="Arial" w:cs="Arial"/>
          <w:i/>
          <w:iCs/>
        </w:rPr>
        <w:t>affective</w:t>
      </w:r>
      <w:r>
        <w:rPr>
          <w:rFonts w:ascii="Arial" w:hAnsi="Arial" w:cs="Arial"/>
        </w:rPr>
        <w:t xml:space="preserve"> with a mean score of 3.87 which were all descriptively defined as High level. The indicator </w:t>
      </w:r>
      <w:r>
        <w:rPr>
          <w:rFonts w:ascii="Arial" w:hAnsi="Arial" w:cs="Arial"/>
          <w:i/>
          <w:iCs/>
        </w:rPr>
        <w:t xml:space="preserve">agency </w:t>
      </w:r>
      <w:r>
        <w:rPr>
          <w:rFonts w:ascii="Arial" w:hAnsi="Arial" w:cs="Arial"/>
        </w:rPr>
        <w:t xml:space="preserve">was rated as Moderate obtaining a mean score of 3.36. Lastly, the indicator </w:t>
      </w:r>
      <w:r>
        <w:rPr>
          <w:rFonts w:ascii="Arial" w:hAnsi="Arial" w:cs="Arial"/>
          <w:i/>
          <w:iCs/>
        </w:rPr>
        <w:t>behavioral</w:t>
      </w:r>
      <w:r>
        <w:rPr>
          <w:rFonts w:ascii="Arial" w:hAnsi="Arial" w:cs="Arial"/>
        </w:rPr>
        <w:t xml:space="preserve"> descriptively rated as Low with a mean score of 2.46. </w:t>
      </w:r>
    </w:p>
    <w:p w14:paraId="111D21D4" w14:textId="77777777" w:rsidR="00ED1298" w:rsidRDefault="00ED1298">
      <w:pPr>
        <w:jc w:val="both"/>
        <w:rPr>
          <w:rFonts w:ascii="Arial" w:hAnsi="Arial" w:cs="Arial"/>
        </w:rPr>
      </w:pPr>
    </w:p>
    <w:p w14:paraId="25A77771" w14:textId="77777777" w:rsidR="00ED1298" w:rsidRDefault="00E77581">
      <w:pPr>
        <w:jc w:val="both"/>
        <w:rPr>
          <w:rFonts w:ascii="Arial" w:hAnsi="Arial" w:cs="Arial"/>
          <w:color w:val="0070C0"/>
        </w:rPr>
      </w:pPr>
      <w:r>
        <w:rPr>
          <w:rFonts w:ascii="Arial" w:hAnsi="Arial" w:cs="Arial"/>
        </w:rPr>
        <w:t xml:space="preserve">The analysis results established that the indicator </w:t>
      </w:r>
      <w:r>
        <w:rPr>
          <w:rFonts w:ascii="Arial" w:hAnsi="Arial" w:cs="Arial"/>
          <w:i/>
          <w:iCs/>
        </w:rPr>
        <w:t>cognitive</w:t>
      </w:r>
      <w:r>
        <w:rPr>
          <w:rFonts w:ascii="Arial" w:hAnsi="Arial" w:cs="Arial"/>
        </w:rPr>
        <w:t xml:space="preserve"> obtained the highest mean value indicating that students are deeply involved in the mental processes related to scientific concepts, theories, and practices. This claim supported with </w:t>
      </w:r>
      <w:r>
        <w:rPr>
          <w:rFonts w:ascii="Arial" w:hAnsi="Arial" w:cs="Arial"/>
          <w:color w:val="0070C0"/>
        </w:rPr>
        <w:t xml:space="preserve">Wilson et </w:t>
      </w:r>
      <w:r>
        <w:rPr>
          <w:rFonts w:ascii="Arial" w:hAnsi="Arial" w:cs="Arial"/>
          <w:color w:val="0070C0"/>
        </w:rPr>
        <w:t>al. (2021) [38]</w:t>
      </w:r>
      <w:r>
        <w:rPr>
          <w:rFonts w:ascii="Arial" w:hAnsi="Arial" w:cs="Arial"/>
        </w:rPr>
        <w:t xml:space="preserve"> study, which underscores the significance of cognitive engagement in enhancing scientific literacy and critical thinking. The research suggested that fostering cognitive engagement begins </w:t>
      </w:r>
      <w:r>
        <w:rPr>
          <w:rFonts w:ascii="Arial" w:hAnsi="Arial" w:cs="Arial"/>
        </w:rPr>
        <w:lastRenderedPageBreak/>
        <w:t>with a transition to student-centered learning, wher</w:t>
      </w:r>
      <w:r>
        <w:rPr>
          <w:rFonts w:ascii="Arial" w:hAnsi="Arial" w:cs="Arial"/>
        </w:rPr>
        <w:t>e educators focus on incorporating students' interests and goals into the educational process. Teachers were encouraged to actively enhance cognitive engagement by tailoring instructional strategies to prioritize and address these aspects effectively. In a</w:t>
      </w:r>
      <w:r>
        <w:rPr>
          <w:rFonts w:ascii="Arial" w:hAnsi="Arial" w:cs="Arial"/>
        </w:rPr>
        <w:t xml:space="preserve">ddition, the indicator </w:t>
      </w:r>
      <w:r>
        <w:rPr>
          <w:rFonts w:ascii="Arial" w:hAnsi="Arial" w:cs="Arial"/>
          <w:i/>
          <w:iCs/>
        </w:rPr>
        <w:t>affective</w:t>
      </w:r>
      <w:r>
        <w:rPr>
          <w:rFonts w:ascii="Arial" w:hAnsi="Arial" w:cs="Arial"/>
        </w:rPr>
        <w:t xml:space="preserve"> is also rated high. This result revealed that students show strong emotional and motivational involvement in science. High affective engagement denoted that students have a significant interest and enjoyment in science, whi</w:t>
      </w:r>
      <w:r>
        <w:rPr>
          <w:rFonts w:ascii="Arial" w:hAnsi="Arial" w:cs="Arial"/>
        </w:rPr>
        <w:t xml:space="preserve">ch correlates with their motivation to learn and persist in science-related activities, which is consistent with the studies of </w:t>
      </w:r>
      <w:r>
        <w:rPr>
          <w:rFonts w:ascii="Arial" w:hAnsi="Arial" w:cs="Arial"/>
          <w:color w:val="0070C0"/>
        </w:rPr>
        <w:t xml:space="preserve">Mai et al. (2023), </w:t>
      </w:r>
      <w:proofErr w:type="spellStart"/>
      <w:r>
        <w:rPr>
          <w:rFonts w:ascii="Arial" w:hAnsi="Arial" w:cs="Arial"/>
          <w:color w:val="0070C0"/>
        </w:rPr>
        <w:t>Membiela</w:t>
      </w:r>
      <w:proofErr w:type="spellEnd"/>
      <w:r>
        <w:rPr>
          <w:rFonts w:ascii="Arial" w:hAnsi="Arial" w:cs="Arial"/>
          <w:color w:val="0070C0"/>
        </w:rPr>
        <w:t xml:space="preserve"> et al. (2023), Wood (2019), and Lee et al. (2019) [39-42].</w:t>
      </w:r>
    </w:p>
    <w:p w14:paraId="249DF116" w14:textId="77777777" w:rsidR="00ED1298" w:rsidRDefault="00ED1298">
      <w:pPr>
        <w:jc w:val="both"/>
        <w:rPr>
          <w:rFonts w:ascii="Arial" w:hAnsi="Arial" w:cs="Arial"/>
        </w:rPr>
      </w:pPr>
    </w:p>
    <w:p w14:paraId="5A3693F6" w14:textId="77777777" w:rsidR="00ED1298" w:rsidRDefault="00E77581">
      <w:pPr>
        <w:jc w:val="both"/>
        <w:rPr>
          <w:rFonts w:ascii="Arial" w:hAnsi="Arial" w:cs="Arial"/>
        </w:rPr>
      </w:pPr>
      <w:r>
        <w:rPr>
          <w:rFonts w:ascii="Arial" w:hAnsi="Arial" w:cs="Arial"/>
        </w:rPr>
        <w:t xml:space="preserve">Moreover, the indicator of </w:t>
      </w:r>
      <w:r>
        <w:rPr>
          <w:rFonts w:ascii="Arial" w:hAnsi="Arial" w:cs="Arial"/>
          <w:i/>
          <w:iCs/>
        </w:rPr>
        <w:t>agency</w:t>
      </w:r>
      <w:r>
        <w:rPr>
          <w:rFonts w:ascii="Arial" w:hAnsi="Arial" w:cs="Arial"/>
        </w:rPr>
        <w:t xml:space="preserve"> obtain</w:t>
      </w:r>
      <w:r>
        <w:rPr>
          <w:rFonts w:ascii="Arial" w:hAnsi="Arial" w:cs="Arial"/>
        </w:rPr>
        <w:t xml:space="preserve">ed a moderate rating, reflecting an average level of student ownership and active participation in their learning processes in science. Research by </w:t>
      </w:r>
      <w:proofErr w:type="spellStart"/>
      <w:r>
        <w:rPr>
          <w:rFonts w:ascii="Arial" w:hAnsi="Arial" w:cs="Arial"/>
          <w:color w:val="0070C0"/>
        </w:rPr>
        <w:t>Eshach</w:t>
      </w:r>
      <w:proofErr w:type="spellEnd"/>
      <w:r>
        <w:rPr>
          <w:rFonts w:ascii="Arial" w:hAnsi="Arial" w:cs="Arial"/>
          <w:color w:val="0070C0"/>
        </w:rPr>
        <w:t xml:space="preserve"> &amp; Fried (2019) [43]</w:t>
      </w:r>
      <w:r>
        <w:rPr>
          <w:rFonts w:ascii="Arial" w:hAnsi="Arial" w:cs="Arial"/>
        </w:rPr>
        <w:t xml:space="preserve"> suggested that promoting student agency leads to greater involvement in scientifi</w:t>
      </w:r>
      <w:r>
        <w:rPr>
          <w:rFonts w:ascii="Arial" w:hAnsi="Arial" w:cs="Arial"/>
        </w:rPr>
        <w:t>c practices and persistence in science-related fields. Increasing the consistency and quality of teacher-student interactions, providing more opportunities for student-led activities, and promoting a growth mindset can enhance agency and subsequently impro</w:t>
      </w:r>
      <w:r>
        <w:rPr>
          <w:rFonts w:ascii="Arial" w:hAnsi="Arial" w:cs="Arial"/>
        </w:rPr>
        <w:t xml:space="preserve">ve student engagement and achievement in science. This claim is supported by </w:t>
      </w:r>
      <w:r>
        <w:rPr>
          <w:rFonts w:ascii="Arial" w:hAnsi="Arial" w:cs="Arial"/>
          <w:color w:val="0070C0"/>
        </w:rPr>
        <w:t>Mojica et al. (</w:t>
      </w:r>
      <w:proofErr w:type="gramStart"/>
      <w:r>
        <w:rPr>
          <w:rFonts w:ascii="Arial" w:hAnsi="Arial" w:cs="Arial"/>
          <w:color w:val="0070C0"/>
        </w:rPr>
        <w:t>2020)[</w:t>
      </w:r>
      <w:proofErr w:type="gramEnd"/>
      <w:r>
        <w:rPr>
          <w:rFonts w:ascii="Arial" w:hAnsi="Arial" w:cs="Arial"/>
          <w:color w:val="0070C0"/>
        </w:rPr>
        <w:t>44],</w:t>
      </w:r>
      <w:r>
        <w:rPr>
          <w:rFonts w:ascii="Arial" w:hAnsi="Arial" w:cs="Arial"/>
        </w:rPr>
        <w:t xml:space="preserve"> which highlights that teacher-student interactions were crucial in promoting agency in science. </w:t>
      </w:r>
    </w:p>
    <w:p w14:paraId="7AD71C54" w14:textId="77777777" w:rsidR="00ED1298" w:rsidRDefault="00ED1298">
      <w:pPr>
        <w:jc w:val="both"/>
        <w:rPr>
          <w:rFonts w:ascii="Arial" w:hAnsi="Arial" w:cs="Arial"/>
        </w:rPr>
      </w:pPr>
    </w:p>
    <w:p w14:paraId="2966CC29" w14:textId="77777777" w:rsidR="00ED1298" w:rsidRDefault="00E77581">
      <w:pPr>
        <w:jc w:val="both"/>
        <w:rPr>
          <w:rFonts w:ascii="Arial" w:hAnsi="Arial" w:cs="Arial"/>
        </w:rPr>
      </w:pPr>
      <w:r>
        <w:rPr>
          <w:rFonts w:ascii="Arial" w:hAnsi="Arial" w:cs="Arial"/>
        </w:rPr>
        <w:t xml:space="preserve">The findings for </w:t>
      </w:r>
      <w:r>
        <w:rPr>
          <w:rFonts w:ascii="Arial" w:hAnsi="Arial" w:cs="Arial"/>
          <w:i/>
          <w:iCs/>
        </w:rPr>
        <w:t>behavioral engagement</w:t>
      </w:r>
      <w:r>
        <w:rPr>
          <w:rFonts w:ascii="Arial" w:hAnsi="Arial" w:cs="Arial"/>
        </w:rPr>
        <w:t xml:space="preserve"> revealed low sco</w:t>
      </w:r>
      <w:r>
        <w:rPr>
          <w:rFonts w:ascii="Arial" w:hAnsi="Arial" w:cs="Arial"/>
        </w:rPr>
        <w:t>res, which at first glance might suggest disengagement among the respondents. However, it is essential to note that the research questionnaire employed negatively phrased items to assess behavioral engagement. The questions, such as "I deliberately disturb</w:t>
      </w:r>
      <w:r>
        <w:rPr>
          <w:rFonts w:ascii="Arial" w:hAnsi="Arial" w:cs="Arial"/>
        </w:rPr>
        <w:t xml:space="preserve"> classes," "I am rude toward teachers,” “I am distracted in the classroom, and “I am absent from school without a valid reason/I am absent from classes while in school” were intentionally designed to identify disengaged behaviors. Lower scores on these ite</w:t>
      </w:r>
      <w:r>
        <w:rPr>
          <w:rFonts w:ascii="Arial" w:hAnsi="Arial" w:cs="Arial"/>
        </w:rPr>
        <w:t>ms in fact reflect positive behavioral engagement, as they indicate that students reported minimal disruptive or negative behaviors in class.</w:t>
      </w:r>
    </w:p>
    <w:p w14:paraId="67B30E4B" w14:textId="77777777" w:rsidR="00ED1298" w:rsidRDefault="00ED1298">
      <w:pPr>
        <w:jc w:val="both"/>
        <w:rPr>
          <w:rFonts w:ascii="Arial" w:hAnsi="Arial" w:cs="Arial"/>
        </w:rPr>
      </w:pPr>
    </w:p>
    <w:p w14:paraId="5B38456F" w14:textId="77777777" w:rsidR="00ED1298" w:rsidRDefault="00E77581">
      <w:pPr>
        <w:jc w:val="both"/>
        <w:rPr>
          <w:rFonts w:ascii="Arial" w:hAnsi="Arial" w:cs="Arial"/>
        </w:rPr>
      </w:pPr>
      <w:r>
        <w:rPr>
          <w:rFonts w:ascii="Arial" w:hAnsi="Arial" w:cs="Arial"/>
        </w:rPr>
        <w:t>Specifically, the low score observed here signify that the respondents exhibited a high level of positive behavio</w:t>
      </w:r>
      <w:r>
        <w:rPr>
          <w:rFonts w:ascii="Arial" w:hAnsi="Arial" w:cs="Arial"/>
        </w:rPr>
        <w:t>ral engagement, characterized by minimal class disturbances, respectful behavior toward teachers, and consistent attendance. This finding is in line with</w:t>
      </w:r>
      <w:r>
        <w:rPr>
          <w:rFonts w:ascii="Arial" w:hAnsi="Arial" w:cs="Arial"/>
          <w:color w:val="0070C0"/>
        </w:rPr>
        <w:t xml:space="preserve"> </w:t>
      </w:r>
      <w:proofErr w:type="spellStart"/>
      <w:r>
        <w:rPr>
          <w:rFonts w:ascii="Arial" w:hAnsi="Arial" w:cs="Arial"/>
          <w:color w:val="0070C0"/>
        </w:rPr>
        <w:t>Nazamud</w:t>
      </w:r>
      <w:proofErr w:type="spellEnd"/>
      <w:r>
        <w:rPr>
          <w:rFonts w:ascii="Arial" w:hAnsi="Arial" w:cs="Arial"/>
          <w:color w:val="0070C0"/>
        </w:rPr>
        <w:t>-din et al. (2020) [45]</w:t>
      </w:r>
      <w:r>
        <w:rPr>
          <w:rFonts w:ascii="Arial" w:hAnsi="Arial" w:cs="Arial"/>
        </w:rPr>
        <w:t xml:space="preserve"> results, who found that students perceived themselves as engaged when a</w:t>
      </w:r>
      <w:r>
        <w:rPr>
          <w:rFonts w:ascii="Arial" w:hAnsi="Arial" w:cs="Arial"/>
        </w:rPr>
        <w:t xml:space="preserve">ttending classes on time, actively participating in group discussions, raising hands when asking questions, and seeking clarification on topics they found challenging. </w:t>
      </w:r>
    </w:p>
    <w:p w14:paraId="18CCACA3" w14:textId="77777777" w:rsidR="00ED1298" w:rsidRDefault="00ED1298">
      <w:pPr>
        <w:rPr>
          <w:rFonts w:ascii="Arial" w:hAnsi="Arial" w:cs="Arial"/>
          <w:b/>
          <w:bCs/>
        </w:rPr>
      </w:pPr>
    </w:p>
    <w:p w14:paraId="7F079F9C" w14:textId="77777777" w:rsidR="00ED1298" w:rsidRDefault="00E77581">
      <w:pPr>
        <w:rPr>
          <w:rFonts w:ascii="Arial" w:hAnsi="Arial" w:cs="Arial"/>
          <w:b/>
          <w:bCs/>
        </w:rPr>
      </w:pPr>
      <w:r>
        <w:rPr>
          <w:rFonts w:ascii="Arial" w:hAnsi="Arial" w:cs="Arial"/>
          <w:b/>
          <w:bCs/>
        </w:rPr>
        <w:t>Level of</w:t>
      </w:r>
      <w:r>
        <w:rPr>
          <w:rFonts w:ascii="Arial" w:hAnsi="Arial" w:cs="Arial"/>
        </w:rPr>
        <w:t xml:space="preserve"> </w:t>
      </w:r>
      <w:r>
        <w:rPr>
          <w:rFonts w:ascii="Arial" w:hAnsi="Arial" w:cs="Arial"/>
          <w:b/>
          <w:bCs/>
        </w:rPr>
        <w:t>Environmental Literacy</w:t>
      </w:r>
    </w:p>
    <w:p w14:paraId="62831EED" w14:textId="77777777" w:rsidR="00ED1298" w:rsidRDefault="00ED1298">
      <w:pPr>
        <w:jc w:val="both"/>
        <w:rPr>
          <w:rFonts w:ascii="Arial" w:hAnsi="Arial" w:cs="Arial"/>
        </w:rPr>
      </w:pPr>
    </w:p>
    <w:p w14:paraId="5B4662A8" w14:textId="77777777" w:rsidR="00ED1298" w:rsidRDefault="00E77581">
      <w:pPr>
        <w:jc w:val="both"/>
        <w:rPr>
          <w:rFonts w:ascii="Arial" w:hAnsi="Arial" w:cs="Arial"/>
        </w:rPr>
      </w:pPr>
      <w:r>
        <w:rPr>
          <w:rFonts w:ascii="Arial" w:hAnsi="Arial" w:cs="Arial"/>
        </w:rPr>
        <w:t>Environmental literacy emphasized the critical role o</w:t>
      </w:r>
      <w:r>
        <w:rPr>
          <w:rFonts w:ascii="Arial" w:hAnsi="Arial" w:cs="Arial"/>
        </w:rPr>
        <w:t>f cognitive and practical skills, particularly the ability to apply scientific reasoning in identifying and addressing environmental issues. It was a fundamental component of literacy development and played a pivotal role in shaping 21st-century education.</w:t>
      </w:r>
      <w:r>
        <w:rPr>
          <w:rFonts w:ascii="Arial" w:hAnsi="Arial" w:cs="Arial"/>
        </w:rPr>
        <w:t xml:space="preserve"> </w:t>
      </w:r>
    </w:p>
    <w:p w14:paraId="3643AAD6" w14:textId="77777777" w:rsidR="00ED1298" w:rsidRDefault="00ED1298">
      <w:pPr>
        <w:jc w:val="both"/>
        <w:rPr>
          <w:rFonts w:ascii="Arial" w:hAnsi="Arial" w:cs="Arial"/>
        </w:rPr>
      </w:pPr>
    </w:p>
    <w:p w14:paraId="5CFDAB7B" w14:textId="77777777" w:rsidR="00ED1298" w:rsidRDefault="00E77581">
      <w:pPr>
        <w:jc w:val="both"/>
        <w:rPr>
          <w:rFonts w:ascii="Arial" w:hAnsi="Arial" w:cs="Arial"/>
        </w:rPr>
      </w:pPr>
      <w:r>
        <w:rPr>
          <w:rFonts w:ascii="Arial" w:hAnsi="Arial" w:cs="Arial"/>
        </w:rPr>
        <w:t>The overall level of environmental literacy in terms of attitudes, knowledge, and behavior among students was shown in Table 3, revealing a high level of the science learning environment (x̄ = 3.95, SD = 0.417). The data showed that the overall level of</w:t>
      </w:r>
      <w:r>
        <w:rPr>
          <w:rFonts w:ascii="Arial" w:hAnsi="Arial" w:cs="Arial"/>
        </w:rPr>
        <w:t xml:space="preserve"> </w:t>
      </w:r>
      <w:r>
        <w:rPr>
          <w:rFonts w:ascii="Arial" w:hAnsi="Arial" w:cs="Arial"/>
          <w:i/>
          <w:iCs/>
        </w:rPr>
        <w:t>environmental literacy</w:t>
      </w:r>
      <w:r>
        <w:rPr>
          <w:rFonts w:ascii="Arial" w:hAnsi="Arial" w:cs="Arial"/>
        </w:rPr>
        <w:t xml:space="preserve"> among the participants were High, with an overall mean score of 3.95 and overall SD of 0.417. This result indicated that the indicators related to environmental literacy are oftentimes manifested. The indicator </w:t>
      </w:r>
      <w:r>
        <w:rPr>
          <w:rFonts w:ascii="Arial" w:hAnsi="Arial" w:cs="Arial"/>
          <w:i/>
          <w:iCs/>
        </w:rPr>
        <w:t xml:space="preserve">knowledge </w:t>
      </w:r>
      <w:r>
        <w:rPr>
          <w:rFonts w:ascii="Arial" w:hAnsi="Arial" w:cs="Arial"/>
        </w:rPr>
        <w:t>obtained th</w:t>
      </w:r>
      <w:r>
        <w:rPr>
          <w:rFonts w:ascii="Arial" w:hAnsi="Arial" w:cs="Arial"/>
        </w:rPr>
        <w:t xml:space="preserve">e highest mean score of 4.01, followed by </w:t>
      </w:r>
      <w:r>
        <w:rPr>
          <w:rFonts w:ascii="Arial" w:hAnsi="Arial" w:cs="Arial"/>
          <w:i/>
          <w:iCs/>
        </w:rPr>
        <w:t xml:space="preserve">attitudes </w:t>
      </w:r>
      <w:r>
        <w:rPr>
          <w:rFonts w:ascii="Arial" w:hAnsi="Arial" w:cs="Arial"/>
        </w:rPr>
        <w:t xml:space="preserve">with 3.95, and </w:t>
      </w:r>
      <w:r>
        <w:rPr>
          <w:rFonts w:ascii="Arial" w:hAnsi="Arial" w:cs="Arial"/>
          <w:i/>
          <w:iCs/>
        </w:rPr>
        <w:t xml:space="preserve">behavior </w:t>
      </w:r>
      <w:r>
        <w:rPr>
          <w:rFonts w:ascii="Arial" w:hAnsi="Arial" w:cs="Arial"/>
        </w:rPr>
        <w:t xml:space="preserve">with 3.90. All these indicators were descriptively rated as High. This high level of environmental literacy implied that the students </w:t>
      </w:r>
      <w:r>
        <w:rPr>
          <w:rFonts w:ascii="Arial" w:hAnsi="Arial" w:cs="Arial"/>
        </w:rPr>
        <w:lastRenderedPageBreak/>
        <w:t>possessed substantial attitudes, knowledge, an</w:t>
      </w:r>
      <w:r>
        <w:rPr>
          <w:rFonts w:ascii="Arial" w:hAnsi="Arial" w:cs="Arial"/>
        </w:rPr>
        <w:t xml:space="preserve">d behaviors conducive to understanding and addressing environmental issues. </w:t>
      </w:r>
    </w:p>
    <w:p w14:paraId="0AA8826D" w14:textId="77777777" w:rsidR="00ED1298" w:rsidRDefault="00ED1298">
      <w:pPr>
        <w:rPr>
          <w:rFonts w:ascii="Arial" w:hAnsi="Arial" w:cs="Arial"/>
          <w:b/>
          <w:bCs/>
        </w:rPr>
      </w:pPr>
    </w:p>
    <w:p w14:paraId="7DA042EC" w14:textId="77777777" w:rsidR="00ED1298" w:rsidRDefault="00E77581">
      <w:pPr>
        <w:rPr>
          <w:rFonts w:ascii="Arial" w:hAnsi="Arial" w:cs="Arial"/>
        </w:rPr>
      </w:pPr>
      <w:r>
        <w:rPr>
          <w:rFonts w:ascii="Arial" w:hAnsi="Arial" w:cs="Arial"/>
        </w:rPr>
        <w:t>Table 3. Level of Environmental Literacy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1750"/>
        <w:gridCol w:w="1668"/>
        <w:gridCol w:w="2460"/>
      </w:tblGrid>
      <w:tr w:rsidR="00ED1298" w14:paraId="35197BC8" w14:textId="77777777">
        <w:trPr>
          <w:trHeight w:val="360"/>
        </w:trPr>
        <w:tc>
          <w:tcPr>
            <w:tcW w:w="2605" w:type="dxa"/>
            <w:tcBorders>
              <w:top w:val="single" w:sz="12" w:space="0" w:color="auto"/>
              <w:bottom w:val="single" w:sz="4" w:space="0" w:color="auto"/>
            </w:tcBorders>
            <w:vAlign w:val="center"/>
          </w:tcPr>
          <w:p w14:paraId="083441D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Indicators</w:t>
            </w:r>
          </w:p>
        </w:tc>
        <w:tc>
          <w:tcPr>
            <w:tcW w:w="1800" w:type="dxa"/>
            <w:tcBorders>
              <w:top w:val="single" w:sz="12" w:space="0" w:color="auto"/>
              <w:bottom w:val="single" w:sz="4" w:space="0" w:color="auto"/>
            </w:tcBorders>
            <w:vAlign w:val="center"/>
          </w:tcPr>
          <w:p w14:paraId="57CE6A02" w14:textId="77777777" w:rsidR="00ED1298" w:rsidRDefault="00E77581">
            <w:pPr>
              <w:jc w:val="center"/>
              <w:rPr>
                <w:rFonts w:ascii="Arial" w:eastAsia="Calibri" w:hAnsi="Arial" w:cs="Arial"/>
                <w:bCs/>
                <w:sz w:val="20"/>
                <w:szCs w:val="20"/>
              </w:rPr>
            </w:pPr>
            <w:bookmarkStart w:id="4" w:name="_Hlk188344994"/>
            <w:r>
              <w:rPr>
                <w:rFonts w:ascii="Arial" w:eastAsia="Calibri" w:hAnsi="Arial" w:cs="Arial"/>
                <w:bCs/>
                <w:sz w:val="20"/>
                <w:szCs w:val="20"/>
              </w:rPr>
              <w:t>x̄</w:t>
            </w:r>
            <w:bookmarkEnd w:id="4"/>
          </w:p>
        </w:tc>
        <w:tc>
          <w:tcPr>
            <w:tcW w:w="1710" w:type="dxa"/>
            <w:tcBorders>
              <w:top w:val="single" w:sz="12" w:space="0" w:color="auto"/>
              <w:bottom w:val="single" w:sz="4" w:space="0" w:color="auto"/>
            </w:tcBorders>
            <w:vAlign w:val="center"/>
          </w:tcPr>
          <w:p w14:paraId="24C5C29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SD</w:t>
            </w:r>
          </w:p>
        </w:tc>
        <w:tc>
          <w:tcPr>
            <w:tcW w:w="2515" w:type="dxa"/>
            <w:tcBorders>
              <w:top w:val="single" w:sz="12" w:space="0" w:color="auto"/>
              <w:bottom w:val="single" w:sz="4" w:space="0" w:color="auto"/>
            </w:tcBorders>
            <w:vAlign w:val="center"/>
          </w:tcPr>
          <w:p w14:paraId="51C60779"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Descriptive Level</w:t>
            </w:r>
          </w:p>
        </w:tc>
      </w:tr>
      <w:tr w:rsidR="00ED1298" w14:paraId="1CEB249F" w14:textId="77777777">
        <w:trPr>
          <w:trHeight w:val="360"/>
        </w:trPr>
        <w:tc>
          <w:tcPr>
            <w:tcW w:w="2605" w:type="dxa"/>
            <w:tcBorders>
              <w:top w:val="single" w:sz="4" w:space="0" w:color="auto"/>
            </w:tcBorders>
            <w:shd w:val="clear" w:color="auto" w:fill="auto"/>
            <w:vAlign w:val="center"/>
          </w:tcPr>
          <w:p w14:paraId="2DAE84CB" w14:textId="77777777" w:rsidR="00ED1298" w:rsidRDefault="00E77581">
            <w:pPr>
              <w:rPr>
                <w:rFonts w:ascii="Arial" w:eastAsia="Calibri" w:hAnsi="Arial" w:cs="Arial"/>
                <w:bCs/>
                <w:sz w:val="20"/>
                <w:szCs w:val="20"/>
              </w:rPr>
            </w:pPr>
            <w:r>
              <w:rPr>
                <w:rFonts w:ascii="Arial" w:hAnsi="Arial" w:cs="Arial"/>
                <w:bCs/>
                <w:sz w:val="20"/>
                <w:szCs w:val="20"/>
              </w:rPr>
              <w:t>Attitudes</w:t>
            </w:r>
          </w:p>
        </w:tc>
        <w:tc>
          <w:tcPr>
            <w:tcW w:w="1800" w:type="dxa"/>
            <w:tcBorders>
              <w:top w:val="single" w:sz="4" w:space="0" w:color="auto"/>
            </w:tcBorders>
            <w:vAlign w:val="center"/>
          </w:tcPr>
          <w:p w14:paraId="1B29311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3.95</w:t>
            </w:r>
          </w:p>
        </w:tc>
        <w:tc>
          <w:tcPr>
            <w:tcW w:w="1710" w:type="dxa"/>
            <w:tcBorders>
              <w:top w:val="single" w:sz="4" w:space="0" w:color="auto"/>
            </w:tcBorders>
            <w:vAlign w:val="center"/>
          </w:tcPr>
          <w:p w14:paraId="164E2FC8"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0.457</w:t>
            </w:r>
          </w:p>
        </w:tc>
        <w:tc>
          <w:tcPr>
            <w:tcW w:w="2515" w:type="dxa"/>
            <w:tcBorders>
              <w:top w:val="single" w:sz="4" w:space="0" w:color="auto"/>
            </w:tcBorders>
            <w:vAlign w:val="center"/>
          </w:tcPr>
          <w:p w14:paraId="508BC40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39B31CAE" w14:textId="77777777">
        <w:trPr>
          <w:trHeight w:val="360"/>
        </w:trPr>
        <w:tc>
          <w:tcPr>
            <w:tcW w:w="2605" w:type="dxa"/>
            <w:shd w:val="clear" w:color="auto" w:fill="auto"/>
            <w:vAlign w:val="center"/>
          </w:tcPr>
          <w:p w14:paraId="03E89B77" w14:textId="77777777" w:rsidR="00ED1298" w:rsidRDefault="00E77581">
            <w:pPr>
              <w:rPr>
                <w:rFonts w:ascii="Arial" w:eastAsia="Calibri" w:hAnsi="Arial" w:cs="Arial"/>
                <w:bCs/>
                <w:sz w:val="20"/>
                <w:szCs w:val="20"/>
              </w:rPr>
            </w:pPr>
            <w:r>
              <w:rPr>
                <w:rFonts w:ascii="Arial" w:hAnsi="Arial" w:cs="Arial"/>
                <w:bCs/>
                <w:sz w:val="20"/>
                <w:szCs w:val="20"/>
              </w:rPr>
              <w:t xml:space="preserve">Knowledge </w:t>
            </w:r>
          </w:p>
        </w:tc>
        <w:tc>
          <w:tcPr>
            <w:tcW w:w="1800" w:type="dxa"/>
            <w:vAlign w:val="center"/>
          </w:tcPr>
          <w:p w14:paraId="0DA0E473"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4.01</w:t>
            </w:r>
          </w:p>
        </w:tc>
        <w:tc>
          <w:tcPr>
            <w:tcW w:w="1710" w:type="dxa"/>
            <w:vAlign w:val="center"/>
          </w:tcPr>
          <w:p w14:paraId="7068B670"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0.494</w:t>
            </w:r>
          </w:p>
        </w:tc>
        <w:tc>
          <w:tcPr>
            <w:tcW w:w="2515" w:type="dxa"/>
            <w:vAlign w:val="center"/>
          </w:tcPr>
          <w:p w14:paraId="7C2BDC6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r w:rsidR="00ED1298" w14:paraId="1BD7D92A" w14:textId="77777777">
        <w:trPr>
          <w:trHeight w:val="360"/>
        </w:trPr>
        <w:tc>
          <w:tcPr>
            <w:tcW w:w="2605" w:type="dxa"/>
            <w:shd w:val="clear" w:color="auto" w:fill="auto"/>
            <w:vAlign w:val="center"/>
          </w:tcPr>
          <w:p w14:paraId="27602125" w14:textId="77777777" w:rsidR="00ED1298" w:rsidRDefault="00E77581">
            <w:pPr>
              <w:rPr>
                <w:rFonts w:ascii="Arial" w:eastAsia="Calibri" w:hAnsi="Arial" w:cs="Arial"/>
                <w:bCs/>
                <w:sz w:val="20"/>
                <w:szCs w:val="20"/>
              </w:rPr>
            </w:pPr>
            <w:r>
              <w:rPr>
                <w:rFonts w:ascii="Arial" w:hAnsi="Arial" w:cs="Arial"/>
                <w:bCs/>
                <w:sz w:val="20"/>
                <w:szCs w:val="20"/>
              </w:rPr>
              <w:t>Behavior</w:t>
            </w:r>
          </w:p>
        </w:tc>
        <w:tc>
          <w:tcPr>
            <w:tcW w:w="1800" w:type="dxa"/>
            <w:vAlign w:val="center"/>
          </w:tcPr>
          <w:p w14:paraId="2DE44B6E"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3.90</w:t>
            </w:r>
          </w:p>
        </w:tc>
        <w:tc>
          <w:tcPr>
            <w:tcW w:w="1710" w:type="dxa"/>
            <w:vAlign w:val="center"/>
          </w:tcPr>
          <w:p w14:paraId="2A2E7D4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0.489</w:t>
            </w:r>
          </w:p>
        </w:tc>
        <w:tc>
          <w:tcPr>
            <w:tcW w:w="2515" w:type="dxa"/>
            <w:vAlign w:val="center"/>
          </w:tcPr>
          <w:p w14:paraId="5488B6C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 xml:space="preserve">High  </w:t>
            </w:r>
          </w:p>
        </w:tc>
      </w:tr>
      <w:tr w:rsidR="00ED1298" w14:paraId="59F38B5E" w14:textId="77777777">
        <w:trPr>
          <w:trHeight w:val="360"/>
        </w:trPr>
        <w:tc>
          <w:tcPr>
            <w:tcW w:w="2605" w:type="dxa"/>
            <w:tcBorders>
              <w:bottom w:val="single" w:sz="12" w:space="0" w:color="auto"/>
            </w:tcBorders>
            <w:shd w:val="clear" w:color="auto" w:fill="auto"/>
            <w:vAlign w:val="center"/>
          </w:tcPr>
          <w:p w14:paraId="42B2EBF0" w14:textId="77777777" w:rsidR="00ED1298" w:rsidRDefault="00E77581">
            <w:pPr>
              <w:jc w:val="center"/>
              <w:rPr>
                <w:rFonts w:ascii="Arial" w:eastAsia="Calibri" w:hAnsi="Arial" w:cs="Arial"/>
                <w:bCs/>
                <w:sz w:val="20"/>
                <w:szCs w:val="20"/>
              </w:rPr>
            </w:pPr>
            <w:r>
              <w:rPr>
                <w:rFonts w:ascii="Arial" w:hAnsi="Arial" w:cs="Arial"/>
                <w:bCs/>
                <w:sz w:val="20"/>
                <w:szCs w:val="20"/>
              </w:rPr>
              <w:t>Overall</w:t>
            </w:r>
          </w:p>
        </w:tc>
        <w:tc>
          <w:tcPr>
            <w:tcW w:w="1800" w:type="dxa"/>
            <w:tcBorders>
              <w:bottom w:val="single" w:sz="12" w:space="0" w:color="auto"/>
            </w:tcBorders>
            <w:vAlign w:val="center"/>
          </w:tcPr>
          <w:p w14:paraId="65121B3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3.95</w:t>
            </w:r>
          </w:p>
        </w:tc>
        <w:tc>
          <w:tcPr>
            <w:tcW w:w="1710" w:type="dxa"/>
            <w:tcBorders>
              <w:bottom w:val="single" w:sz="12" w:space="0" w:color="auto"/>
            </w:tcBorders>
            <w:vAlign w:val="center"/>
          </w:tcPr>
          <w:p w14:paraId="02AA322C"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0.417</w:t>
            </w:r>
          </w:p>
        </w:tc>
        <w:tc>
          <w:tcPr>
            <w:tcW w:w="2515" w:type="dxa"/>
            <w:tcBorders>
              <w:bottom w:val="single" w:sz="12" w:space="0" w:color="auto"/>
            </w:tcBorders>
            <w:vAlign w:val="center"/>
          </w:tcPr>
          <w:p w14:paraId="56536FC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High</w:t>
            </w:r>
          </w:p>
        </w:tc>
      </w:tr>
    </w:tbl>
    <w:p w14:paraId="6F368BD5" w14:textId="77777777" w:rsidR="00ED1298" w:rsidRDefault="00ED1298">
      <w:pPr>
        <w:ind w:firstLine="720"/>
        <w:jc w:val="both"/>
        <w:rPr>
          <w:rFonts w:ascii="Arial" w:hAnsi="Arial" w:cs="Arial"/>
        </w:rPr>
      </w:pPr>
    </w:p>
    <w:p w14:paraId="1A9F5FCB" w14:textId="77777777" w:rsidR="00ED1298" w:rsidRDefault="00E77581">
      <w:pPr>
        <w:jc w:val="both"/>
        <w:rPr>
          <w:rFonts w:ascii="Arial" w:hAnsi="Arial" w:cs="Arial"/>
        </w:rPr>
      </w:pPr>
      <w:r>
        <w:rPr>
          <w:rFonts w:ascii="Arial" w:hAnsi="Arial" w:cs="Arial"/>
        </w:rPr>
        <w:t xml:space="preserve">The findings revealed a high level of </w:t>
      </w:r>
      <w:r>
        <w:rPr>
          <w:rFonts w:ascii="Arial" w:hAnsi="Arial" w:cs="Arial"/>
          <w:i/>
          <w:iCs/>
        </w:rPr>
        <w:t>environmental knowledge</w:t>
      </w:r>
      <w:r>
        <w:rPr>
          <w:rFonts w:ascii="Arial" w:hAnsi="Arial" w:cs="Arial"/>
        </w:rPr>
        <w:t xml:space="preserve"> among participants, indicating their extensive understanding of environmental concepts. This was consistent with the study by </w:t>
      </w:r>
      <w:r>
        <w:rPr>
          <w:rFonts w:ascii="Arial" w:hAnsi="Arial" w:cs="Arial"/>
          <w:color w:val="0070C0"/>
        </w:rPr>
        <w:t>Park et al. (2021) [46]</w:t>
      </w:r>
      <w:r>
        <w:rPr>
          <w:rFonts w:ascii="Arial" w:hAnsi="Arial" w:cs="Arial"/>
        </w:rPr>
        <w:t xml:space="preserve">, which emphasized the importance of knowledge in cultivating positive environmental attitudes and behaviors. </w:t>
      </w:r>
      <w:proofErr w:type="spellStart"/>
      <w:r>
        <w:rPr>
          <w:rFonts w:ascii="Arial" w:hAnsi="Arial" w:cs="Arial"/>
          <w:color w:val="0070C0"/>
        </w:rPr>
        <w:t>Su</w:t>
      </w:r>
      <w:proofErr w:type="spellEnd"/>
      <w:r>
        <w:rPr>
          <w:rFonts w:ascii="Arial" w:hAnsi="Arial" w:cs="Arial"/>
          <w:color w:val="0070C0"/>
        </w:rPr>
        <w:t xml:space="preserve"> et al. (2020) [47]</w:t>
      </w:r>
      <w:r>
        <w:rPr>
          <w:rFonts w:ascii="Arial" w:hAnsi="Arial" w:cs="Arial"/>
        </w:rPr>
        <w:t xml:space="preserve"> also highlighted that enhancing environmental knowledge through education was critical for encouraging sustainable practices</w:t>
      </w:r>
      <w:r>
        <w:rPr>
          <w:rFonts w:ascii="Arial" w:hAnsi="Arial" w:cs="Arial"/>
        </w:rPr>
        <w:t xml:space="preserve">, such as water conservation, renewable energy adoption, and sustainable tourism.  </w:t>
      </w:r>
    </w:p>
    <w:p w14:paraId="6F2ABA7F" w14:textId="77777777" w:rsidR="00ED1298" w:rsidRDefault="00ED1298">
      <w:pPr>
        <w:jc w:val="both"/>
        <w:rPr>
          <w:rFonts w:ascii="Arial" w:hAnsi="Arial" w:cs="Arial"/>
        </w:rPr>
      </w:pPr>
    </w:p>
    <w:p w14:paraId="55418C7A" w14:textId="77777777" w:rsidR="00ED1298" w:rsidRDefault="00E77581">
      <w:pPr>
        <w:jc w:val="both"/>
        <w:rPr>
          <w:rFonts w:ascii="Arial" w:hAnsi="Arial" w:cs="Arial"/>
        </w:rPr>
      </w:pPr>
      <w:r>
        <w:rPr>
          <w:rFonts w:ascii="Arial" w:hAnsi="Arial" w:cs="Arial"/>
        </w:rPr>
        <w:t xml:space="preserve">Similarly, the high level of </w:t>
      </w:r>
      <w:r>
        <w:rPr>
          <w:rFonts w:ascii="Arial" w:hAnsi="Arial" w:cs="Arial"/>
          <w:i/>
          <w:iCs/>
        </w:rPr>
        <w:t>environmental attitudes</w:t>
      </w:r>
      <w:r>
        <w:rPr>
          <w:rFonts w:ascii="Arial" w:hAnsi="Arial" w:cs="Arial"/>
        </w:rPr>
        <w:t xml:space="preserve"> highlighted the crucial role of environmental education in shaping responsible decisions and actions. This aligned wit</w:t>
      </w:r>
      <w:r>
        <w:rPr>
          <w:rFonts w:ascii="Arial" w:hAnsi="Arial" w:cs="Arial"/>
        </w:rPr>
        <w:t xml:space="preserve">h the research of </w:t>
      </w:r>
      <w:r>
        <w:rPr>
          <w:rFonts w:ascii="Arial" w:hAnsi="Arial" w:cs="Arial"/>
          <w:color w:val="0070C0"/>
        </w:rPr>
        <w:t>Liu et al. (2020) [48]</w:t>
      </w:r>
      <w:r>
        <w:rPr>
          <w:rFonts w:ascii="Arial" w:hAnsi="Arial" w:cs="Arial"/>
        </w:rPr>
        <w:t>, which demonstrated that students exhibited a very extensive level of environmental literacy, particularly in their attitudes toward the environment and their awareness of environmental issues. These findings sugges</w:t>
      </w:r>
      <w:r>
        <w:rPr>
          <w:rFonts w:ascii="Arial" w:hAnsi="Arial" w:cs="Arial"/>
        </w:rPr>
        <w:t>ted that environmental education programs effectively imparted critical knowledge and fostered positive attitudes, both of which are essential for promoting environmentally responsible behavior in young learners.</w:t>
      </w:r>
    </w:p>
    <w:p w14:paraId="4EB7055A" w14:textId="77777777" w:rsidR="00ED1298" w:rsidRDefault="00ED1298">
      <w:pPr>
        <w:jc w:val="both"/>
        <w:rPr>
          <w:rFonts w:ascii="Arial" w:hAnsi="Arial" w:cs="Arial"/>
        </w:rPr>
      </w:pPr>
    </w:p>
    <w:p w14:paraId="5E553026" w14:textId="77777777" w:rsidR="00ED1298" w:rsidRDefault="00E77581">
      <w:pPr>
        <w:jc w:val="both"/>
        <w:rPr>
          <w:rFonts w:ascii="Arial" w:hAnsi="Arial" w:cs="Arial"/>
        </w:rPr>
      </w:pPr>
      <w:r>
        <w:rPr>
          <w:rFonts w:ascii="Arial" w:hAnsi="Arial" w:cs="Arial"/>
        </w:rPr>
        <w:t xml:space="preserve">The high descriptive level of </w:t>
      </w:r>
      <w:r>
        <w:rPr>
          <w:rFonts w:ascii="Arial" w:hAnsi="Arial" w:cs="Arial"/>
          <w:i/>
          <w:iCs/>
        </w:rPr>
        <w:t>behavior</w:t>
      </w:r>
      <w:r>
        <w:rPr>
          <w:rFonts w:ascii="Arial" w:hAnsi="Arial" w:cs="Arial"/>
        </w:rPr>
        <w:t xml:space="preserve"> und</w:t>
      </w:r>
      <w:r>
        <w:rPr>
          <w:rFonts w:ascii="Arial" w:hAnsi="Arial" w:cs="Arial"/>
        </w:rPr>
        <w:t xml:space="preserve">erscores its critical role in measuring environmental literacy, reflecting how well students apply their knowledge and attitudes towards sustainable actions. </w:t>
      </w:r>
      <w:bookmarkStart w:id="5" w:name="_Hlk171179044"/>
      <w:r>
        <w:rPr>
          <w:rFonts w:ascii="Arial" w:hAnsi="Arial" w:cs="Arial"/>
        </w:rPr>
        <w:t xml:space="preserve">The findings supported the conclusions of </w:t>
      </w:r>
      <w:r>
        <w:rPr>
          <w:rFonts w:ascii="Arial" w:hAnsi="Arial" w:cs="Arial"/>
          <w:color w:val="0070C0"/>
        </w:rPr>
        <w:t>Zhang et al. (2020)</w:t>
      </w:r>
      <w:r>
        <w:rPr>
          <w:rFonts w:ascii="Arial" w:hAnsi="Arial" w:cs="Arial"/>
        </w:rPr>
        <w:t xml:space="preserve"> </w:t>
      </w:r>
      <w:r>
        <w:rPr>
          <w:rFonts w:ascii="Arial" w:hAnsi="Arial" w:cs="Arial"/>
          <w:color w:val="0070C0"/>
        </w:rPr>
        <w:t>[49]</w:t>
      </w:r>
      <w:r>
        <w:rPr>
          <w:rFonts w:ascii="Arial" w:hAnsi="Arial" w:cs="Arial"/>
        </w:rPr>
        <w:t>, who emphasized that environmen</w:t>
      </w:r>
      <w:r>
        <w:rPr>
          <w:rFonts w:ascii="Arial" w:hAnsi="Arial" w:cs="Arial"/>
        </w:rPr>
        <w:t>tal education and direct experiences in nature played a vital role in fostering pro-environmental behaviors. These behaviors, shaped by environmental literacy, were found to contribute to sustainability and promote equity within society. The results highli</w:t>
      </w:r>
      <w:r>
        <w:rPr>
          <w:rFonts w:ascii="Arial" w:hAnsi="Arial" w:cs="Arial"/>
        </w:rPr>
        <w:t>ghted the significance of integrating education and nature-based experiences to develop environmentally responsible actions that benefit both society and the environment.</w:t>
      </w:r>
    </w:p>
    <w:p w14:paraId="05251593" w14:textId="77777777" w:rsidR="00ED1298" w:rsidRDefault="00ED1298">
      <w:pPr>
        <w:rPr>
          <w:rFonts w:ascii="Arial" w:hAnsi="Arial" w:cs="Arial"/>
          <w:b/>
          <w:bCs/>
        </w:rPr>
      </w:pPr>
    </w:p>
    <w:p w14:paraId="7AB94DDD" w14:textId="77777777" w:rsidR="00ED1298" w:rsidRDefault="00E77581">
      <w:pPr>
        <w:rPr>
          <w:rFonts w:ascii="Arial" w:hAnsi="Arial" w:cs="Arial"/>
          <w:b/>
          <w:bCs/>
        </w:rPr>
      </w:pPr>
      <w:r>
        <w:rPr>
          <w:rFonts w:ascii="Arial" w:hAnsi="Arial" w:cs="Arial"/>
          <w:b/>
          <w:bCs/>
        </w:rPr>
        <w:t xml:space="preserve">Significant Relationship between Factors of Academic Performance </w:t>
      </w:r>
    </w:p>
    <w:p w14:paraId="31ED1098" w14:textId="77777777" w:rsidR="00ED1298" w:rsidRDefault="00E77581">
      <w:pPr>
        <w:rPr>
          <w:rFonts w:ascii="Arial" w:hAnsi="Arial" w:cs="Arial"/>
          <w:b/>
          <w:bCs/>
        </w:rPr>
      </w:pPr>
      <w:r>
        <w:rPr>
          <w:rFonts w:ascii="Arial" w:hAnsi="Arial" w:cs="Arial"/>
          <w:b/>
          <w:bCs/>
        </w:rPr>
        <w:t xml:space="preserve">and Student </w:t>
      </w:r>
      <w:r>
        <w:rPr>
          <w:rFonts w:ascii="Arial" w:hAnsi="Arial" w:cs="Arial"/>
          <w:b/>
          <w:bCs/>
        </w:rPr>
        <w:t>Engagement</w:t>
      </w:r>
    </w:p>
    <w:p w14:paraId="6EA2740D" w14:textId="77777777" w:rsidR="00ED1298" w:rsidRDefault="00ED1298">
      <w:pPr>
        <w:ind w:firstLine="720"/>
        <w:rPr>
          <w:rFonts w:ascii="Arial" w:hAnsi="Arial" w:cs="Arial"/>
        </w:rPr>
      </w:pPr>
    </w:p>
    <w:bookmarkEnd w:id="5"/>
    <w:p w14:paraId="694B18F2" w14:textId="77777777" w:rsidR="00ED1298" w:rsidRDefault="00E77581">
      <w:pPr>
        <w:jc w:val="both"/>
        <w:rPr>
          <w:rFonts w:ascii="Arial" w:hAnsi="Arial" w:cs="Arial"/>
        </w:rPr>
      </w:pPr>
      <w:r>
        <w:rPr>
          <w:rFonts w:ascii="Arial" w:hAnsi="Arial" w:cs="Arial"/>
        </w:rPr>
        <w:t xml:space="preserve">Student engagement and academic performance were closely linked, especially in science education. Various factors, including study habits, learning skills, academic interaction, hard work, and academic interaction, influence this relationship. </w:t>
      </w:r>
      <w:r>
        <w:rPr>
          <w:rFonts w:ascii="Arial" w:hAnsi="Arial" w:cs="Arial"/>
        </w:rPr>
        <w:t xml:space="preserve">Understanding these factors was crucial for improving science education outcomes and promoting student success. </w:t>
      </w:r>
    </w:p>
    <w:p w14:paraId="0108F06F" w14:textId="77777777" w:rsidR="00ED1298" w:rsidRDefault="00ED1298">
      <w:pPr>
        <w:jc w:val="both"/>
        <w:rPr>
          <w:rFonts w:ascii="Arial" w:hAnsi="Arial" w:cs="Arial"/>
        </w:rPr>
      </w:pPr>
    </w:p>
    <w:p w14:paraId="4EFC70BF" w14:textId="1BF688B9" w:rsidR="00ED1298" w:rsidRDefault="00E77581">
      <w:pPr>
        <w:jc w:val="both"/>
        <w:rPr>
          <w:rFonts w:ascii="Arial" w:hAnsi="Arial" w:cs="Arial"/>
          <w:b/>
          <w:bCs/>
        </w:rPr>
      </w:pPr>
      <w:r>
        <w:rPr>
          <w:rFonts w:ascii="Arial" w:hAnsi="Arial" w:cs="Arial"/>
        </w:rPr>
        <w:t xml:space="preserve">Presented in Table 4. was the correlation between measures of factors of academic performance and student </w:t>
      </w:r>
      <w:proofErr w:type="gramStart"/>
      <w:r>
        <w:rPr>
          <w:rFonts w:ascii="Arial" w:hAnsi="Arial" w:cs="Arial"/>
        </w:rPr>
        <w:t>engagement.</w:t>
      </w:r>
      <w:proofErr w:type="gramEnd"/>
      <w:r>
        <w:rPr>
          <w:rFonts w:ascii="Arial" w:hAnsi="Arial" w:cs="Arial"/>
        </w:rPr>
        <w:t xml:space="preserve"> Data revealed that the c</w:t>
      </w:r>
      <w:r>
        <w:rPr>
          <w:rFonts w:ascii="Arial" w:hAnsi="Arial" w:cs="Arial"/>
        </w:rPr>
        <w:t xml:space="preserve">orrelation obtained an overall </w:t>
      </w:r>
      <w:proofErr w:type="spellStart"/>
      <w:r>
        <w:rPr>
          <w:rFonts w:ascii="Arial" w:hAnsi="Arial" w:cs="Arial"/>
        </w:rPr>
        <w:t>r-value</w:t>
      </w:r>
      <w:proofErr w:type="spellEnd"/>
      <w:r>
        <w:rPr>
          <w:rFonts w:ascii="Arial" w:hAnsi="Arial" w:cs="Arial"/>
        </w:rPr>
        <w:t xml:space="preserve"> of 0.588 with an overall p-value of less than 0.001, which is lower than the 0.05 level of significance. This suggested that increased student engagement was likely </w:t>
      </w:r>
      <w:proofErr w:type="gramStart"/>
      <w:r>
        <w:rPr>
          <w:rFonts w:ascii="Arial" w:hAnsi="Arial" w:cs="Arial"/>
        </w:rPr>
        <w:t>lead</w:t>
      </w:r>
      <w:proofErr w:type="gramEnd"/>
      <w:r>
        <w:rPr>
          <w:rFonts w:ascii="Arial" w:hAnsi="Arial" w:cs="Arial"/>
        </w:rPr>
        <w:t xml:space="preserve"> to better academic performance and achievement.</w:t>
      </w:r>
      <w:r>
        <w:rPr>
          <w:rFonts w:ascii="Arial" w:hAnsi="Arial" w:cs="Arial"/>
        </w:rPr>
        <w:t xml:space="preserve"> Thus, the null hypothesis of no significant </w:t>
      </w:r>
      <w:r>
        <w:rPr>
          <w:rFonts w:ascii="Arial" w:hAnsi="Arial" w:cs="Arial"/>
        </w:rPr>
        <w:lastRenderedPageBreak/>
        <w:t>relationship between factors of academic performance and student engagement was rejected.</w:t>
      </w:r>
    </w:p>
    <w:p w14:paraId="457E1F7C" w14:textId="77777777" w:rsidR="00ED1298" w:rsidRDefault="00ED1298">
      <w:pPr>
        <w:rPr>
          <w:rFonts w:ascii="Arial" w:hAnsi="Arial" w:cs="Arial"/>
          <w:b/>
          <w:bCs/>
        </w:rPr>
      </w:pPr>
    </w:p>
    <w:p w14:paraId="128AC406" w14:textId="09BE36B6" w:rsidR="00ED1298" w:rsidRDefault="00E77581">
      <w:pPr>
        <w:jc w:val="both"/>
        <w:rPr>
          <w:rFonts w:ascii="Arial" w:hAnsi="Arial" w:cs="Arial"/>
        </w:rPr>
      </w:pPr>
      <w:r>
        <w:rPr>
          <w:rFonts w:ascii="Arial" w:hAnsi="Arial" w:cs="Arial"/>
        </w:rPr>
        <w:t>Table 4.</w:t>
      </w:r>
      <w:bookmarkStart w:id="6" w:name="_Hlk171175981"/>
      <w:r>
        <w:rPr>
          <w:rFonts w:ascii="Arial" w:hAnsi="Arial" w:cs="Arial"/>
        </w:rPr>
        <w:t xml:space="preserve"> Significance of the Relationship between Factors of Academic Performance </w:t>
      </w:r>
    </w:p>
    <w:p w14:paraId="708EC3D6" w14:textId="77777777" w:rsidR="00ED1298" w:rsidRDefault="00E77581">
      <w:pPr>
        <w:rPr>
          <w:rFonts w:ascii="Arial" w:hAnsi="Arial" w:cs="Arial"/>
        </w:rPr>
      </w:pPr>
      <w:r>
        <w:rPr>
          <w:rFonts w:ascii="Arial" w:hAnsi="Arial" w:cs="Arial"/>
        </w:rPr>
        <w:t>and Student Engagement</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8"/>
        <w:gridCol w:w="1059"/>
        <w:gridCol w:w="1059"/>
        <w:gridCol w:w="1059"/>
        <w:gridCol w:w="1059"/>
        <w:gridCol w:w="1030"/>
      </w:tblGrid>
      <w:tr w:rsidR="00ED1298" w14:paraId="4CA1018E" w14:textId="77777777">
        <w:trPr>
          <w:trHeight w:val="288"/>
        </w:trPr>
        <w:tc>
          <w:tcPr>
            <w:tcW w:w="0" w:type="auto"/>
            <w:vMerge w:val="restart"/>
            <w:tcBorders>
              <w:top w:val="single" w:sz="12" w:space="0" w:color="auto"/>
            </w:tcBorders>
            <w:vAlign w:val="center"/>
          </w:tcPr>
          <w:p w14:paraId="2FFBE8A5"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 xml:space="preserve">Factors of </w:t>
            </w:r>
            <w:r>
              <w:rPr>
                <w:rFonts w:ascii="Arial" w:eastAsia="Calibri" w:hAnsi="Arial" w:cs="Arial"/>
                <w:bCs/>
                <w:sz w:val="20"/>
                <w:szCs w:val="20"/>
              </w:rPr>
              <w:t>Academic Performance</w:t>
            </w:r>
          </w:p>
        </w:tc>
        <w:tc>
          <w:tcPr>
            <w:tcW w:w="4272" w:type="dxa"/>
            <w:gridSpan w:val="4"/>
            <w:tcBorders>
              <w:top w:val="single" w:sz="12" w:space="0" w:color="auto"/>
              <w:bottom w:val="single" w:sz="8" w:space="0" w:color="auto"/>
            </w:tcBorders>
            <w:vAlign w:val="center"/>
          </w:tcPr>
          <w:p w14:paraId="6E18DE2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Student Engagement</w:t>
            </w:r>
          </w:p>
        </w:tc>
        <w:tc>
          <w:tcPr>
            <w:tcW w:w="1030" w:type="dxa"/>
            <w:vMerge w:val="restart"/>
            <w:tcBorders>
              <w:top w:val="single" w:sz="12" w:space="0" w:color="auto"/>
            </w:tcBorders>
            <w:vAlign w:val="center"/>
          </w:tcPr>
          <w:p w14:paraId="4B10553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Overall</w:t>
            </w:r>
          </w:p>
        </w:tc>
      </w:tr>
      <w:tr w:rsidR="00ED1298" w14:paraId="13F14E78" w14:textId="77777777">
        <w:trPr>
          <w:trHeight w:val="288"/>
        </w:trPr>
        <w:tc>
          <w:tcPr>
            <w:tcW w:w="0" w:type="auto"/>
            <w:vMerge/>
            <w:tcBorders>
              <w:bottom w:val="single" w:sz="4" w:space="0" w:color="auto"/>
            </w:tcBorders>
            <w:vAlign w:val="center"/>
          </w:tcPr>
          <w:p w14:paraId="57C58CBC" w14:textId="77777777" w:rsidR="00ED1298" w:rsidRDefault="00ED1298">
            <w:pPr>
              <w:jc w:val="center"/>
              <w:rPr>
                <w:rFonts w:ascii="Arial" w:eastAsia="Calibri" w:hAnsi="Arial" w:cs="Arial"/>
                <w:bCs/>
                <w:sz w:val="20"/>
                <w:szCs w:val="20"/>
              </w:rPr>
            </w:pPr>
          </w:p>
        </w:tc>
        <w:tc>
          <w:tcPr>
            <w:tcW w:w="0" w:type="auto"/>
            <w:tcBorders>
              <w:top w:val="single" w:sz="4" w:space="0" w:color="auto"/>
              <w:bottom w:val="single" w:sz="4" w:space="0" w:color="auto"/>
            </w:tcBorders>
            <w:vAlign w:val="center"/>
          </w:tcPr>
          <w:p w14:paraId="50B4F49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Cog</w:t>
            </w:r>
          </w:p>
        </w:tc>
        <w:tc>
          <w:tcPr>
            <w:tcW w:w="0" w:type="auto"/>
            <w:tcBorders>
              <w:top w:val="single" w:sz="8" w:space="0" w:color="auto"/>
              <w:bottom w:val="single" w:sz="4" w:space="0" w:color="auto"/>
            </w:tcBorders>
            <w:vAlign w:val="center"/>
          </w:tcPr>
          <w:p w14:paraId="49174A93" w14:textId="77777777" w:rsidR="00ED1298" w:rsidRDefault="00E77581">
            <w:pPr>
              <w:jc w:val="center"/>
              <w:rPr>
                <w:rFonts w:ascii="Arial" w:eastAsia="Calibri" w:hAnsi="Arial" w:cs="Arial"/>
                <w:bCs/>
                <w:sz w:val="20"/>
                <w:szCs w:val="20"/>
              </w:rPr>
            </w:pPr>
            <w:proofErr w:type="spellStart"/>
            <w:r>
              <w:rPr>
                <w:rFonts w:ascii="Arial" w:eastAsia="Calibri" w:hAnsi="Arial" w:cs="Arial"/>
                <w:bCs/>
                <w:sz w:val="20"/>
                <w:szCs w:val="20"/>
              </w:rPr>
              <w:t>Aff</w:t>
            </w:r>
            <w:proofErr w:type="spellEnd"/>
          </w:p>
        </w:tc>
        <w:tc>
          <w:tcPr>
            <w:tcW w:w="0" w:type="auto"/>
            <w:tcBorders>
              <w:top w:val="single" w:sz="8" w:space="0" w:color="auto"/>
              <w:bottom w:val="single" w:sz="4" w:space="0" w:color="auto"/>
            </w:tcBorders>
            <w:vAlign w:val="center"/>
          </w:tcPr>
          <w:p w14:paraId="1D94B276" w14:textId="77777777" w:rsidR="00ED1298" w:rsidRDefault="00E77581">
            <w:pPr>
              <w:jc w:val="center"/>
              <w:rPr>
                <w:rFonts w:ascii="Arial" w:eastAsia="Calibri" w:hAnsi="Arial" w:cs="Arial"/>
                <w:bCs/>
                <w:sz w:val="20"/>
                <w:szCs w:val="20"/>
              </w:rPr>
            </w:pPr>
            <w:proofErr w:type="spellStart"/>
            <w:r>
              <w:rPr>
                <w:rFonts w:ascii="Arial" w:eastAsia="Calibri" w:hAnsi="Arial" w:cs="Arial"/>
                <w:bCs/>
                <w:sz w:val="20"/>
                <w:szCs w:val="20"/>
              </w:rPr>
              <w:t>Behvl</w:t>
            </w:r>
            <w:proofErr w:type="spellEnd"/>
          </w:p>
        </w:tc>
        <w:tc>
          <w:tcPr>
            <w:tcW w:w="0" w:type="auto"/>
            <w:tcBorders>
              <w:top w:val="single" w:sz="8" w:space="0" w:color="auto"/>
              <w:bottom w:val="single" w:sz="4" w:space="0" w:color="auto"/>
            </w:tcBorders>
          </w:tcPr>
          <w:p w14:paraId="6C8F1029"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 xml:space="preserve">Age </w:t>
            </w:r>
          </w:p>
        </w:tc>
        <w:tc>
          <w:tcPr>
            <w:tcW w:w="0" w:type="auto"/>
            <w:vMerge/>
            <w:tcBorders>
              <w:bottom w:val="single" w:sz="4" w:space="0" w:color="auto"/>
            </w:tcBorders>
          </w:tcPr>
          <w:p w14:paraId="476BF70B" w14:textId="77777777" w:rsidR="00ED1298" w:rsidRDefault="00ED1298">
            <w:pPr>
              <w:jc w:val="center"/>
              <w:rPr>
                <w:rFonts w:ascii="Arial" w:eastAsia="Calibri" w:hAnsi="Arial" w:cs="Arial"/>
                <w:bCs/>
                <w:sz w:val="20"/>
                <w:szCs w:val="20"/>
              </w:rPr>
            </w:pPr>
          </w:p>
        </w:tc>
      </w:tr>
      <w:tr w:rsidR="00ED1298" w14:paraId="70ED04D0" w14:textId="77777777">
        <w:trPr>
          <w:trHeight w:val="288"/>
        </w:trPr>
        <w:tc>
          <w:tcPr>
            <w:tcW w:w="0" w:type="auto"/>
            <w:vMerge w:val="restart"/>
            <w:tcBorders>
              <w:top w:val="single" w:sz="4" w:space="0" w:color="auto"/>
            </w:tcBorders>
            <w:shd w:val="clear" w:color="auto" w:fill="auto"/>
            <w:vAlign w:val="center"/>
          </w:tcPr>
          <w:p w14:paraId="2B5C1388" w14:textId="77777777" w:rsidR="00ED1298" w:rsidRDefault="00E77581">
            <w:pPr>
              <w:rPr>
                <w:rFonts w:ascii="Arial" w:eastAsia="Calibri" w:hAnsi="Arial" w:cs="Arial"/>
                <w:bCs/>
                <w:sz w:val="20"/>
                <w:szCs w:val="20"/>
              </w:rPr>
            </w:pPr>
            <w:r>
              <w:rPr>
                <w:rFonts w:ascii="Arial" w:hAnsi="Arial" w:cs="Arial"/>
                <w:bCs/>
                <w:sz w:val="20"/>
                <w:szCs w:val="20"/>
              </w:rPr>
              <w:t>Study Habits</w:t>
            </w:r>
          </w:p>
        </w:tc>
        <w:tc>
          <w:tcPr>
            <w:tcW w:w="0" w:type="auto"/>
            <w:tcBorders>
              <w:top w:val="single" w:sz="4" w:space="0" w:color="auto"/>
            </w:tcBorders>
            <w:vAlign w:val="bottom"/>
          </w:tcPr>
          <w:p w14:paraId="06661C4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0.533**</w:t>
            </w:r>
          </w:p>
        </w:tc>
        <w:tc>
          <w:tcPr>
            <w:tcW w:w="0" w:type="auto"/>
            <w:tcBorders>
              <w:top w:val="single" w:sz="4" w:space="0" w:color="auto"/>
            </w:tcBorders>
            <w:vAlign w:val="bottom"/>
          </w:tcPr>
          <w:p w14:paraId="1656A6E8"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0.514**</w:t>
            </w:r>
          </w:p>
        </w:tc>
        <w:tc>
          <w:tcPr>
            <w:tcW w:w="0" w:type="auto"/>
            <w:tcBorders>
              <w:top w:val="single" w:sz="4" w:space="0" w:color="auto"/>
            </w:tcBorders>
            <w:vAlign w:val="bottom"/>
          </w:tcPr>
          <w:p w14:paraId="154DDC17"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0.188**</w:t>
            </w:r>
          </w:p>
        </w:tc>
        <w:tc>
          <w:tcPr>
            <w:tcW w:w="0" w:type="auto"/>
            <w:tcBorders>
              <w:top w:val="single" w:sz="4" w:space="0" w:color="auto"/>
            </w:tcBorders>
            <w:vAlign w:val="bottom"/>
          </w:tcPr>
          <w:p w14:paraId="67010E9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0.482**</w:t>
            </w:r>
          </w:p>
        </w:tc>
        <w:tc>
          <w:tcPr>
            <w:tcW w:w="0" w:type="auto"/>
            <w:tcBorders>
              <w:top w:val="single" w:sz="4" w:space="0" w:color="auto"/>
            </w:tcBorders>
            <w:vAlign w:val="bottom"/>
          </w:tcPr>
          <w:p w14:paraId="2E9A4F9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0.489**</w:t>
            </w:r>
          </w:p>
        </w:tc>
      </w:tr>
      <w:tr w:rsidR="00ED1298" w14:paraId="6F9C6C24" w14:textId="77777777">
        <w:trPr>
          <w:trHeight w:val="288"/>
        </w:trPr>
        <w:tc>
          <w:tcPr>
            <w:tcW w:w="0" w:type="auto"/>
            <w:vMerge/>
            <w:shd w:val="clear" w:color="auto" w:fill="auto"/>
          </w:tcPr>
          <w:p w14:paraId="4FDE840A" w14:textId="77777777" w:rsidR="00ED1298" w:rsidRDefault="00ED1298">
            <w:pPr>
              <w:jc w:val="center"/>
              <w:rPr>
                <w:rFonts w:ascii="Arial" w:hAnsi="Arial" w:cs="Arial"/>
                <w:bCs/>
                <w:sz w:val="20"/>
                <w:szCs w:val="20"/>
              </w:rPr>
            </w:pPr>
          </w:p>
        </w:tc>
        <w:tc>
          <w:tcPr>
            <w:tcW w:w="0" w:type="auto"/>
          </w:tcPr>
          <w:p w14:paraId="267C63CD"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0" w:type="auto"/>
          </w:tcPr>
          <w:p w14:paraId="0D0D8618"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0" w:type="auto"/>
          </w:tcPr>
          <w:p w14:paraId="5ADDF94B"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10B1A364"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09D5F173" w14:textId="77777777" w:rsidR="00ED1298" w:rsidRDefault="00E77581">
            <w:pPr>
              <w:jc w:val="center"/>
              <w:rPr>
                <w:rFonts w:ascii="Arial" w:eastAsia="Calibri" w:hAnsi="Arial" w:cs="Arial"/>
                <w:bCs/>
                <w:sz w:val="20"/>
                <w:szCs w:val="20"/>
              </w:rPr>
            </w:pPr>
            <w:r>
              <w:rPr>
                <w:rFonts w:ascii="Arial" w:hAnsi="Arial" w:cs="Arial"/>
                <w:bCs/>
                <w:color w:val="333333"/>
                <w:sz w:val="20"/>
                <w:szCs w:val="20"/>
                <w:lang w:eastAsia="en-PH"/>
              </w:rPr>
              <w:t>&lt;.001</w:t>
            </w:r>
          </w:p>
        </w:tc>
      </w:tr>
      <w:tr w:rsidR="00ED1298" w14:paraId="0220E012" w14:textId="77777777">
        <w:trPr>
          <w:trHeight w:val="288"/>
        </w:trPr>
        <w:tc>
          <w:tcPr>
            <w:tcW w:w="0" w:type="auto"/>
            <w:vMerge w:val="restart"/>
            <w:shd w:val="clear" w:color="auto" w:fill="auto"/>
            <w:vAlign w:val="center"/>
          </w:tcPr>
          <w:p w14:paraId="5EED9717" w14:textId="77777777" w:rsidR="00ED1298" w:rsidRDefault="00E77581">
            <w:pPr>
              <w:rPr>
                <w:rFonts w:ascii="Arial" w:eastAsia="Calibri" w:hAnsi="Arial" w:cs="Arial"/>
                <w:bCs/>
                <w:sz w:val="20"/>
                <w:szCs w:val="20"/>
              </w:rPr>
            </w:pPr>
            <w:r>
              <w:rPr>
                <w:rFonts w:ascii="Arial" w:eastAsia="Calibri" w:hAnsi="Arial" w:cs="Arial"/>
                <w:bCs/>
                <w:sz w:val="20"/>
                <w:szCs w:val="20"/>
              </w:rPr>
              <w:t>Learning Skills</w:t>
            </w:r>
          </w:p>
        </w:tc>
        <w:tc>
          <w:tcPr>
            <w:tcW w:w="0" w:type="auto"/>
            <w:vAlign w:val="bottom"/>
          </w:tcPr>
          <w:p w14:paraId="5BCA2A7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0.484**</w:t>
            </w:r>
          </w:p>
        </w:tc>
        <w:tc>
          <w:tcPr>
            <w:tcW w:w="0" w:type="auto"/>
            <w:vAlign w:val="bottom"/>
          </w:tcPr>
          <w:p w14:paraId="75CCF525"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0.570**</w:t>
            </w:r>
          </w:p>
        </w:tc>
        <w:tc>
          <w:tcPr>
            <w:tcW w:w="0" w:type="auto"/>
            <w:vAlign w:val="bottom"/>
          </w:tcPr>
          <w:p w14:paraId="52E5705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0.244**</w:t>
            </w:r>
          </w:p>
        </w:tc>
        <w:tc>
          <w:tcPr>
            <w:tcW w:w="0" w:type="auto"/>
            <w:vAlign w:val="bottom"/>
          </w:tcPr>
          <w:p w14:paraId="4712D893"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0.571**</w:t>
            </w:r>
          </w:p>
        </w:tc>
        <w:tc>
          <w:tcPr>
            <w:tcW w:w="0" w:type="auto"/>
            <w:vAlign w:val="bottom"/>
          </w:tcPr>
          <w:p w14:paraId="390B50A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0.544**</w:t>
            </w:r>
          </w:p>
        </w:tc>
      </w:tr>
      <w:tr w:rsidR="00ED1298" w14:paraId="6B2F3FF2" w14:textId="77777777">
        <w:trPr>
          <w:trHeight w:val="288"/>
        </w:trPr>
        <w:tc>
          <w:tcPr>
            <w:tcW w:w="0" w:type="auto"/>
            <w:vMerge/>
            <w:shd w:val="clear" w:color="auto" w:fill="auto"/>
            <w:vAlign w:val="center"/>
          </w:tcPr>
          <w:p w14:paraId="4240D321" w14:textId="77777777" w:rsidR="00ED1298" w:rsidRDefault="00ED1298">
            <w:pPr>
              <w:rPr>
                <w:rFonts w:ascii="Arial" w:eastAsia="Calibri" w:hAnsi="Arial" w:cs="Arial"/>
                <w:bCs/>
                <w:sz w:val="20"/>
                <w:szCs w:val="20"/>
              </w:rPr>
            </w:pPr>
          </w:p>
        </w:tc>
        <w:tc>
          <w:tcPr>
            <w:tcW w:w="0" w:type="auto"/>
          </w:tcPr>
          <w:p w14:paraId="4BF0627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5FFF73E2"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0" w:type="auto"/>
          </w:tcPr>
          <w:p w14:paraId="660D857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2FC5C9F9"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51E2219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7F494DEB" w14:textId="77777777">
        <w:trPr>
          <w:trHeight w:val="288"/>
        </w:trPr>
        <w:tc>
          <w:tcPr>
            <w:tcW w:w="0" w:type="auto"/>
            <w:vMerge w:val="restart"/>
            <w:shd w:val="clear" w:color="auto" w:fill="auto"/>
            <w:vAlign w:val="center"/>
          </w:tcPr>
          <w:p w14:paraId="0EB5198F" w14:textId="77777777" w:rsidR="00ED1298" w:rsidRDefault="00E77581">
            <w:pPr>
              <w:rPr>
                <w:rFonts w:ascii="Arial" w:eastAsia="Calibri" w:hAnsi="Arial" w:cs="Arial"/>
                <w:bCs/>
                <w:sz w:val="20"/>
                <w:szCs w:val="20"/>
              </w:rPr>
            </w:pPr>
            <w:r>
              <w:rPr>
                <w:rFonts w:ascii="Arial" w:eastAsia="Calibri" w:hAnsi="Arial" w:cs="Arial"/>
                <w:bCs/>
                <w:sz w:val="20"/>
                <w:szCs w:val="20"/>
              </w:rPr>
              <w:t>Hardworking</w:t>
            </w:r>
          </w:p>
        </w:tc>
        <w:tc>
          <w:tcPr>
            <w:tcW w:w="0" w:type="auto"/>
            <w:vAlign w:val="bottom"/>
          </w:tcPr>
          <w:p w14:paraId="54A2332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0.556**</w:t>
            </w:r>
          </w:p>
        </w:tc>
        <w:tc>
          <w:tcPr>
            <w:tcW w:w="0" w:type="auto"/>
            <w:vAlign w:val="bottom"/>
          </w:tcPr>
          <w:p w14:paraId="6D904AF5"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0.528**</w:t>
            </w:r>
          </w:p>
        </w:tc>
        <w:tc>
          <w:tcPr>
            <w:tcW w:w="0" w:type="auto"/>
            <w:vAlign w:val="bottom"/>
          </w:tcPr>
          <w:p w14:paraId="53988E4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0.247**</w:t>
            </w:r>
          </w:p>
        </w:tc>
        <w:tc>
          <w:tcPr>
            <w:tcW w:w="0" w:type="auto"/>
            <w:vAlign w:val="bottom"/>
          </w:tcPr>
          <w:p w14:paraId="1E96AAE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0.509**</w:t>
            </w:r>
          </w:p>
        </w:tc>
        <w:tc>
          <w:tcPr>
            <w:tcW w:w="0" w:type="auto"/>
            <w:vAlign w:val="bottom"/>
          </w:tcPr>
          <w:p w14:paraId="15267453"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0.533**</w:t>
            </w:r>
          </w:p>
        </w:tc>
      </w:tr>
      <w:tr w:rsidR="00ED1298" w14:paraId="337EFFF8" w14:textId="77777777">
        <w:trPr>
          <w:trHeight w:val="288"/>
        </w:trPr>
        <w:tc>
          <w:tcPr>
            <w:tcW w:w="0" w:type="auto"/>
            <w:vMerge/>
            <w:shd w:val="clear" w:color="auto" w:fill="auto"/>
            <w:vAlign w:val="center"/>
          </w:tcPr>
          <w:p w14:paraId="3A3F324C" w14:textId="77777777" w:rsidR="00ED1298" w:rsidRDefault="00ED1298">
            <w:pPr>
              <w:rPr>
                <w:rFonts w:ascii="Arial" w:eastAsia="Calibri" w:hAnsi="Arial" w:cs="Arial"/>
                <w:bCs/>
                <w:sz w:val="20"/>
                <w:szCs w:val="20"/>
              </w:rPr>
            </w:pPr>
          </w:p>
        </w:tc>
        <w:tc>
          <w:tcPr>
            <w:tcW w:w="0" w:type="auto"/>
          </w:tcPr>
          <w:p w14:paraId="25796640"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3D547A8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6CED0EEA"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5D62159A"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16E392A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4163B631" w14:textId="77777777">
        <w:trPr>
          <w:trHeight w:val="288"/>
        </w:trPr>
        <w:tc>
          <w:tcPr>
            <w:tcW w:w="0" w:type="auto"/>
            <w:vMerge w:val="restart"/>
            <w:shd w:val="clear" w:color="auto" w:fill="auto"/>
            <w:vAlign w:val="center"/>
          </w:tcPr>
          <w:p w14:paraId="2A2E9002" w14:textId="77777777" w:rsidR="00ED1298" w:rsidRDefault="00E77581">
            <w:pPr>
              <w:rPr>
                <w:rFonts w:ascii="Arial" w:eastAsia="Calibri" w:hAnsi="Arial" w:cs="Arial"/>
                <w:bCs/>
                <w:sz w:val="20"/>
                <w:szCs w:val="20"/>
              </w:rPr>
            </w:pPr>
            <w:r>
              <w:rPr>
                <w:rFonts w:ascii="Arial" w:eastAsia="Calibri" w:hAnsi="Arial" w:cs="Arial"/>
                <w:bCs/>
                <w:sz w:val="20"/>
                <w:szCs w:val="20"/>
              </w:rPr>
              <w:t>Academic Interactions</w:t>
            </w:r>
          </w:p>
        </w:tc>
        <w:tc>
          <w:tcPr>
            <w:tcW w:w="0" w:type="auto"/>
            <w:vAlign w:val="bottom"/>
          </w:tcPr>
          <w:p w14:paraId="5757581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0.500**</w:t>
            </w:r>
          </w:p>
        </w:tc>
        <w:tc>
          <w:tcPr>
            <w:tcW w:w="0" w:type="auto"/>
            <w:vAlign w:val="bottom"/>
          </w:tcPr>
          <w:p w14:paraId="4CDA7EFC"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0.582**</w:t>
            </w:r>
          </w:p>
        </w:tc>
        <w:tc>
          <w:tcPr>
            <w:tcW w:w="0" w:type="auto"/>
            <w:vAlign w:val="bottom"/>
          </w:tcPr>
          <w:p w14:paraId="75465838"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0.306**</w:t>
            </w:r>
          </w:p>
        </w:tc>
        <w:tc>
          <w:tcPr>
            <w:tcW w:w="0" w:type="auto"/>
            <w:vAlign w:val="bottom"/>
          </w:tcPr>
          <w:p w14:paraId="26B351E8"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0.560**</w:t>
            </w:r>
          </w:p>
        </w:tc>
        <w:tc>
          <w:tcPr>
            <w:tcW w:w="0" w:type="auto"/>
            <w:vAlign w:val="bottom"/>
          </w:tcPr>
          <w:p w14:paraId="485A0AF8"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0.576**</w:t>
            </w:r>
          </w:p>
        </w:tc>
      </w:tr>
      <w:tr w:rsidR="00ED1298" w14:paraId="561B1F53" w14:textId="77777777">
        <w:trPr>
          <w:trHeight w:val="288"/>
        </w:trPr>
        <w:tc>
          <w:tcPr>
            <w:tcW w:w="0" w:type="auto"/>
            <w:vMerge/>
            <w:shd w:val="clear" w:color="auto" w:fill="auto"/>
            <w:vAlign w:val="center"/>
          </w:tcPr>
          <w:p w14:paraId="2951576F" w14:textId="77777777" w:rsidR="00ED1298" w:rsidRDefault="00ED1298">
            <w:pPr>
              <w:rPr>
                <w:rFonts w:ascii="Arial" w:eastAsia="Calibri" w:hAnsi="Arial" w:cs="Arial"/>
                <w:bCs/>
                <w:sz w:val="20"/>
                <w:szCs w:val="20"/>
              </w:rPr>
            </w:pPr>
          </w:p>
        </w:tc>
        <w:tc>
          <w:tcPr>
            <w:tcW w:w="0" w:type="auto"/>
          </w:tcPr>
          <w:p w14:paraId="30940ACD"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3A6F2D4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56287EE4"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6A98CDF6"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03224E1B"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3B5D8392" w14:textId="77777777">
        <w:trPr>
          <w:trHeight w:val="288"/>
        </w:trPr>
        <w:tc>
          <w:tcPr>
            <w:tcW w:w="0" w:type="auto"/>
            <w:vMerge w:val="restart"/>
            <w:shd w:val="clear" w:color="auto" w:fill="auto"/>
            <w:vAlign w:val="center"/>
          </w:tcPr>
          <w:p w14:paraId="698D91DD" w14:textId="77777777" w:rsidR="00ED1298" w:rsidRDefault="00E77581">
            <w:pPr>
              <w:rPr>
                <w:rFonts w:ascii="Arial" w:eastAsia="Calibri" w:hAnsi="Arial" w:cs="Arial"/>
                <w:bCs/>
                <w:sz w:val="20"/>
                <w:szCs w:val="20"/>
              </w:rPr>
            </w:pPr>
            <w:r>
              <w:rPr>
                <w:rFonts w:ascii="Arial" w:eastAsia="Calibri" w:hAnsi="Arial" w:cs="Arial"/>
                <w:bCs/>
                <w:sz w:val="20"/>
                <w:szCs w:val="20"/>
              </w:rPr>
              <w:t>Home Environment</w:t>
            </w:r>
          </w:p>
        </w:tc>
        <w:tc>
          <w:tcPr>
            <w:tcW w:w="0" w:type="auto"/>
            <w:vAlign w:val="bottom"/>
          </w:tcPr>
          <w:p w14:paraId="7721AC8A"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0.266**</w:t>
            </w:r>
          </w:p>
        </w:tc>
        <w:tc>
          <w:tcPr>
            <w:tcW w:w="0" w:type="auto"/>
            <w:vAlign w:val="bottom"/>
          </w:tcPr>
          <w:p w14:paraId="61E5217E"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0.427**</w:t>
            </w:r>
          </w:p>
        </w:tc>
        <w:tc>
          <w:tcPr>
            <w:tcW w:w="0" w:type="auto"/>
            <w:vAlign w:val="bottom"/>
          </w:tcPr>
          <w:p w14:paraId="2E42C64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-0.055</w:t>
            </w:r>
          </w:p>
        </w:tc>
        <w:tc>
          <w:tcPr>
            <w:tcW w:w="0" w:type="auto"/>
            <w:vAlign w:val="bottom"/>
          </w:tcPr>
          <w:p w14:paraId="52BC592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0.234**</w:t>
            </w:r>
          </w:p>
        </w:tc>
        <w:tc>
          <w:tcPr>
            <w:tcW w:w="0" w:type="auto"/>
            <w:vAlign w:val="bottom"/>
          </w:tcPr>
          <w:p w14:paraId="1EB5B13F"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0.219**</w:t>
            </w:r>
          </w:p>
        </w:tc>
      </w:tr>
      <w:tr w:rsidR="00ED1298" w14:paraId="38530483" w14:textId="77777777">
        <w:trPr>
          <w:trHeight w:val="288"/>
        </w:trPr>
        <w:tc>
          <w:tcPr>
            <w:tcW w:w="0" w:type="auto"/>
            <w:vMerge/>
            <w:shd w:val="clear" w:color="auto" w:fill="auto"/>
            <w:vAlign w:val="center"/>
          </w:tcPr>
          <w:p w14:paraId="0D8D4F09" w14:textId="77777777" w:rsidR="00ED1298" w:rsidRDefault="00ED1298">
            <w:pPr>
              <w:rPr>
                <w:rFonts w:ascii="Arial" w:eastAsia="Calibri" w:hAnsi="Arial" w:cs="Arial"/>
                <w:bCs/>
                <w:sz w:val="20"/>
                <w:szCs w:val="20"/>
              </w:rPr>
            </w:pPr>
          </w:p>
        </w:tc>
        <w:tc>
          <w:tcPr>
            <w:tcW w:w="0" w:type="auto"/>
          </w:tcPr>
          <w:p w14:paraId="011DBB54"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6CA83BB0"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0D06B54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0.373</w:t>
            </w:r>
          </w:p>
        </w:tc>
        <w:tc>
          <w:tcPr>
            <w:tcW w:w="0" w:type="auto"/>
          </w:tcPr>
          <w:p w14:paraId="5565C1E8"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Pr>
          <w:p w14:paraId="3BCCBBF2"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10B9E497" w14:textId="77777777">
        <w:trPr>
          <w:trHeight w:val="288"/>
        </w:trPr>
        <w:tc>
          <w:tcPr>
            <w:tcW w:w="0" w:type="auto"/>
            <w:vMerge w:val="restart"/>
            <w:shd w:val="clear" w:color="auto" w:fill="auto"/>
            <w:vAlign w:val="center"/>
          </w:tcPr>
          <w:p w14:paraId="63E0E802" w14:textId="77777777" w:rsidR="00ED1298" w:rsidRDefault="00E77581">
            <w:pPr>
              <w:jc w:val="center"/>
              <w:rPr>
                <w:rFonts w:ascii="Arial" w:eastAsia="Calibri" w:hAnsi="Arial" w:cs="Arial"/>
                <w:bCs/>
                <w:sz w:val="20"/>
                <w:szCs w:val="20"/>
              </w:rPr>
            </w:pPr>
            <w:r>
              <w:rPr>
                <w:rFonts w:ascii="Arial" w:hAnsi="Arial" w:cs="Arial"/>
                <w:bCs/>
                <w:sz w:val="20"/>
                <w:szCs w:val="20"/>
              </w:rPr>
              <w:t>Overall</w:t>
            </w:r>
          </w:p>
        </w:tc>
        <w:tc>
          <w:tcPr>
            <w:tcW w:w="0" w:type="auto"/>
            <w:vAlign w:val="bottom"/>
          </w:tcPr>
          <w:p w14:paraId="46318D7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0.582**</w:t>
            </w:r>
          </w:p>
        </w:tc>
        <w:tc>
          <w:tcPr>
            <w:tcW w:w="0" w:type="auto"/>
            <w:vAlign w:val="bottom"/>
          </w:tcPr>
          <w:p w14:paraId="760BCD1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0.659**</w:t>
            </w:r>
          </w:p>
        </w:tc>
        <w:tc>
          <w:tcPr>
            <w:tcW w:w="0" w:type="auto"/>
            <w:vAlign w:val="bottom"/>
          </w:tcPr>
          <w:p w14:paraId="3DC6D4A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0.228**</w:t>
            </w:r>
          </w:p>
        </w:tc>
        <w:tc>
          <w:tcPr>
            <w:tcW w:w="0" w:type="auto"/>
            <w:vAlign w:val="bottom"/>
          </w:tcPr>
          <w:p w14:paraId="0FD9C00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0.586**</w:t>
            </w:r>
          </w:p>
        </w:tc>
        <w:tc>
          <w:tcPr>
            <w:tcW w:w="0" w:type="auto"/>
            <w:vAlign w:val="bottom"/>
          </w:tcPr>
          <w:p w14:paraId="2FA965FA"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0.588**</w:t>
            </w:r>
          </w:p>
        </w:tc>
      </w:tr>
      <w:tr w:rsidR="00ED1298" w14:paraId="417920D9" w14:textId="77777777">
        <w:trPr>
          <w:trHeight w:val="288"/>
        </w:trPr>
        <w:tc>
          <w:tcPr>
            <w:tcW w:w="0" w:type="auto"/>
            <w:vMerge/>
            <w:tcBorders>
              <w:bottom w:val="single" w:sz="12" w:space="0" w:color="auto"/>
            </w:tcBorders>
            <w:shd w:val="clear" w:color="auto" w:fill="auto"/>
            <w:vAlign w:val="center"/>
          </w:tcPr>
          <w:p w14:paraId="4683343F" w14:textId="77777777" w:rsidR="00ED1298" w:rsidRDefault="00ED1298">
            <w:pPr>
              <w:rPr>
                <w:rFonts w:ascii="Arial" w:hAnsi="Arial" w:cs="Arial"/>
                <w:bCs/>
                <w:sz w:val="20"/>
                <w:szCs w:val="20"/>
              </w:rPr>
            </w:pPr>
          </w:p>
        </w:tc>
        <w:tc>
          <w:tcPr>
            <w:tcW w:w="0" w:type="auto"/>
            <w:tcBorders>
              <w:bottom w:val="single" w:sz="12" w:space="0" w:color="auto"/>
            </w:tcBorders>
          </w:tcPr>
          <w:p w14:paraId="327821FD"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Borders>
              <w:bottom w:val="single" w:sz="12" w:space="0" w:color="auto"/>
            </w:tcBorders>
          </w:tcPr>
          <w:p w14:paraId="45BCBD3A"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0" w:type="auto"/>
            <w:tcBorders>
              <w:bottom w:val="single" w:sz="12" w:space="0" w:color="auto"/>
            </w:tcBorders>
          </w:tcPr>
          <w:p w14:paraId="74B43D7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Borders>
              <w:bottom w:val="single" w:sz="12" w:space="0" w:color="auto"/>
            </w:tcBorders>
          </w:tcPr>
          <w:p w14:paraId="41A832C3"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0" w:type="auto"/>
            <w:tcBorders>
              <w:bottom w:val="single" w:sz="12" w:space="0" w:color="auto"/>
            </w:tcBorders>
          </w:tcPr>
          <w:p w14:paraId="6CB045F8"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bl>
    <w:p w14:paraId="5EEDF215" w14:textId="77777777" w:rsidR="00ED1298" w:rsidRDefault="00E77581">
      <w:pPr>
        <w:jc w:val="both"/>
        <w:rPr>
          <w:rFonts w:ascii="Arial" w:hAnsi="Arial" w:cs="Arial"/>
          <w:i/>
          <w:iCs/>
          <w:sz w:val="16"/>
          <w:szCs w:val="16"/>
        </w:rPr>
      </w:pPr>
      <w:r>
        <w:rPr>
          <w:rFonts w:ascii="Arial" w:hAnsi="Arial" w:cs="Arial"/>
          <w:bCs/>
          <w:i/>
          <w:iCs/>
          <w:sz w:val="16"/>
          <w:szCs w:val="16"/>
        </w:rPr>
        <w:t>Lege</w:t>
      </w:r>
      <w:r>
        <w:rPr>
          <w:rFonts w:ascii="Arial" w:hAnsi="Arial" w:cs="Arial"/>
          <w:i/>
          <w:iCs/>
          <w:sz w:val="16"/>
          <w:szCs w:val="16"/>
        </w:rPr>
        <w:t>nd:</w:t>
      </w:r>
    </w:p>
    <w:p w14:paraId="696CF3E1" w14:textId="77777777" w:rsidR="00ED1298" w:rsidRDefault="00E77581">
      <w:pPr>
        <w:ind w:firstLine="720"/>
        <w:jc w:val="both"/>
        <w:rPr>
          <w:rFonts w:ascii="Arial" w:hAnsi="Arial" w:cs="Arial"/>
          <w:i/>
          <w:iCs/>
          <w:sz w:val="16"/>
          <w:szCs w:val="16"/>
        </w:rPr>
      </w:pPr>
      <w:r>
        <w:rPr>
          <w:rFonts w:ascii="Arial" w:hAnsi="Arial" w:cs="Arial"/>
          <w:i/>
          <w:iCs/>
          <w:sz w:val="16"/>
          <w:szCs w:val="16"/>
        </w:rPr>
        <w:t>Cog – Cognitive</w:t>
      </w:r>
      <w:r>
        <w:rPr>
          <w:rFonts w:ascii="Arial" w:hAnsi="Arial" w:cs="Arial"/>
          <w:i/>
          <w:iCs/>
          <w:sz w:val="16"/>
          <w:szCs w:val="16"/>
        </w:rPr>
        <w:tab/>
      </w:r>
      <w:r>
        <w:rPr>
          <w:rFonts w:ascii="Arial" w:hAnsi="Arial" w:cs="Arial"/>
          <w:i/>
          <w:iCs/>
          <w:sz w:val="16"/>
          <w:szCs w:val="16"/>
        </w:rPr>
        <w:tab/>
        <w:t xml:space="preserve"> </w:t>
      </w:r>
      <w:r>
        <w:rPr>
          <w:rFonts w:ascii="Arial" w:hAnsi="Arial" w:cs="Arial"/>
          <w:i/>
          <w:iCs/>
          <w:sz w:val="16"/>
          <w:szCs w:val="16"/>
        </w:rPr>
        <w:tab/>
      </w:r>
      <w:r>
        <w:rPr>
          <w:rFonts w:ascii="Arial" w:hAnsi="Arial" w:cs="Arial"/>
          <w:i/>
          <w:iCs/>
          <w:sz w:val="16"/>
          <w:szCs w:val="16"/>
        </w:rPr>
        <w:tab/>
        <w:t xml:space="preserve"> *p-value &lt; 0.05 – </w:t>
      </w:r>
      <w:proofErr w:type="spellStart"/>
      <w:r>
        <w:rPr>
          <w:rFonts w:ascii="Arial" w:hAnsi="Arial" w:cs="Arial"/>
          <w:i/>
          <w:iCs/>
          <w:sz w:val="16"/>
          <w:szCs w:val="16"/>
        </w:rPr>
        <w:t>signficant</w:t>
      </w:r>
      <w:proofErr w:type="spellEnd"/>
    </w:p>
    <w:p w14:paraId="13D5004B" w14:textId="77777777" w:rsidR="00ED1298" w:rsidRDefault="00E77581">
      <w:pPr>
        <w:ind w:firstLine="720"/>
        <w:jc w:val="both"/>
        <w:rPr>
          <w:rFonts w:ascii="Arial" w:hAnsi="Arial" w:cs="Arial"/>
          <w:i/>
          <w:iCs/>
          <w:sz w:val="16"/>
          <w:szCs w:val="16"/>
        </w:rPr>
      </w:pPr>
      <w:proofErr w:type="spellStart"/>
      <w:r>
        <w:rPr>
          <w:rFonts w:ascii="Arial" w:hAnsi="Arial" w:cs="Arial"/>
          <w:i/>
          <w:iCs/>
          <w:sz w:val="16"/>
          <w:szCs w:val="16"/>
        </w:rPr>
        <w:t>Aff</w:t>
      </w:r>
      <w:proofErr w:type="spellEnd"/>
      <w:r>
        <w:rPr>
          <w:rFonts w:ascii="Arial" w:hAnsi="Arial" w:cs="Arial"/>
          <w:i/>
          <w:iCs/>
          <w:sz w:val="16"/>
          <w:szCs w:val="16"/>
        </w:rPr>
        <w:t xml:space="preserve"> – Affective</w:t>
      </w:r>
      <w:r>
        <w:rPr>
          <w:rFonts w:ascii="Arial" w:hAnsi="Arial" w:cs="Arial"/>
          <w:i/>
          <w:iCs/>
          <w:sz w:val="16"/>
          <w:szCs w:val="16"/>
        </w:rPr>
        <w:tab/>
      </w:r>
      <w:r>
        <w:rPr>
          <w:rFonts w:ascii="Arial" w:hAnsi="Arial" w:cs="Arial"/>
          <w:i/>
          <w:iCs/>
          <w:sz w:val="16"/>
          <w:szCs w:val="16"/>
        </w:rPr>
        <w:tab/>
        <w:t xml:space="preserve">                       </w:t>
      </w:r>
      <w:r>
        <w:rPr>
          <w:rFonts w:ascii="Arial" w:hAnsi="Arial" w:cs="Arial"/>
          <w:i/>
          <w:iCs/>
          <w:sz w:val="16"/>
          <w:szCs w:val="16"/>
        </w:rPr>
        <w:tab/>
        <w:t>**p-value &lt; 0.01 – very significant</w:t>
      </w:r>
    </w:p>
    <w:p w14:paraId="6D78F2E4" w14:textId="77777777" w:rsidR="00ED1298" w:rsidRDefault="00E77581">
      <w:pPr>
        <w:ind w:firstLine="720"/>
        <w:jc w:val="both"/>
        <w:rPr>
          <w:rFonts w:ascii="Arial" w:hAnsi="Arial" w:cs="Arial"/>
          <w:i/>
          <w:iCs/>
          <w:sz w:val="16"/>
          <w:szCs w:val="16"/>
        </w:rPr>
      </w:pPr>
      <w:proofErr w:type="spellStart"/>
      <w:r>
        <w:rPr>
          <w:rFonts w:ascii="Arial" w:hAnsi="Arial" w:cs="Arial"/>
          <w:i/>
          <w:iCs/>
          <w:sz w:val="16"/>
          <w:szCs w:val="16"/>
        </w:rPr>
        <w:t>Behvl</w:t>
      </w:r>
      <w:proofErr w:type="spellEnd"/>
      <w:r>
        <w:rPr>
          <w:rFonts w:ascii="Arial" w:hAnsi="Arial" w:cs="Arial"/>
          <w:i/>
          <w:iCs/>
          <w:sz w:val="16"/>
          <w:szCs w:val="16"/>
        </w:rPr>
        <w:t xml:space="preserve"> – Behavioral</w:t>
      </w:r>
    </w:p>
    <w:p w14:paraId="540B1721" w14:textId="77777777" w:rsidR="00ED1298" w:rsidRDefault="00E77581">
      <w:pPr>
        <w:ind w:firstLine="720"/>
        <w:jc w:val="both"/>
        <w:rPr>
          <w:rFonts w:ascii="Arial" w:hAnsi="Arial" w:cs="Arial"/>
          <w:b/>
          <w:bCs/>
          <w:sz w:val="16"/>
          <w:szCs w:val="16"/>
        </w:rPr>
      </w:pPr>
      <w:r>
        <w:rPr>
          <w:rFonts w:ascii="Arial" w:hAnsi="Arial" w:cs="Arial"/>
          <w:i/>
          <w:iCs/>
          <w:sz w:val="16"/>
          <w:szCs w:val="16"/>
        </w:rPr>
        <w:t xml:space="preserve">Age – </w:t>
      </w:r>
      <w:r>
        <w:rPr>
          <w:rFonts w:ascii="Arial" w:hAnsi="Arial" w:cs="Arial"/>
          <w:i/>
          <w:iCs/>
          <w:sz w:val="16"/>
          <w:szCs w:val="16"/>
        </w:rPr>
        <w:t>Agency</w:t>
      </w:r>
      <w:r>
        <w:rPr>
          <w:rFonts w:ascii="Arial" w:hAnsi="Arial" w:cs="Arial"/>
          <w:b/>
          <w:bCs/>
          <w:sz w:val="16"/>
          <w:szCs w:val="16"/>
        </w:rPr>
        <w:tab/>
      </w:r>
    </w:p>
    <w:p w14:paraId="48832208" w14:textId="77777777" w:rsidR="00ED1298" w:rsidRDefault="00ED1298">
      <w:pPr>
        <w:jc w:val="both"/>
        <w:rPr>
          <w:rFonts w:ascii="Arial" w:hAnsi="Arial" w:cs="Arial"/>
        </w:rPr>
      </w:pPr>
      <w:bookmarkStart w:id="7" w:name="_Hlk171722263"/>
    </w:p>
    <w:p w14:paraId="69BD6CF6" w14:textId="77777777" w:rsidR="00ED1298" w:rsidRDefault="00E77581">
      <w:pPr>
        <w:jc w:val="both"/>
        <w:rPr>
          <w:rFonts w:ascii="Arial" w:hAnsi="Arial" w:cs="Arial"/>
        </w:rPr>
      </w:pPr>
      <w:r>
        <w:rPr>
          <w:rFonts w:ascii="Arial" w:hAnsi="Arial" w:cs="Arial"/>
        </w:rPr>
        <w:t xml:space="preserve">It was shown in the table that factors of academic performance were significantly correlated with student engagement, as the p-value was less than 0.001. The overall Pearson’s </w:t>
      </w:r>
      <w:proofErr w:type="spellStart"/>
      <w:r>
        <w:rPr>
          <w:rFonts w:ascii="Arial" w:hAnsi="Arial" w:cs="Arial"/>
        </w:rPr>
        <w:t>r-values</w:t>
      </w:r>
      <w:proofErr w:type="spellEnd"/>
      <w:r>
        <w:rPr>
          <w:rFonts w:ascii="Arial" w:hAnsi="Arial" w:cs="Arial"/>
        </w:rPr>
        <w:t xml:space="preserve"> for the factors were as follows: study habits (0.489), learnin</w:t>
      </w:r>
      <w:r>
        <w:rPr>
          <w:rFonts w:ascii="Arial" w:hAnsi="Arial" w:cs="Arial"/>
        </w:rPr>
        <w:t>g skills (0.544), hard work (0.533), academic interactions (0.576), and home environment (0.219). Thus, the two variables indicated statistically significant relationships.  Furthermore, the data revealed that student engagement was positively correlated w</w:t>
      </w:r>
      <w:r>
        <w:rPr>
          <w:rFonts w:ascii="Arial" w:hAnsi="Arial" w:cs="Arial"/>
        </w:rPr>
        <w:t xml:space="preserve">ith the factors of academic performance, as the p-value was less than 0.001. The indicators showed the following Pearson’s </w:t>
      </w:r>
      <w:proofErr w:type="spellStart"/>
      <w:r>
        <w:rPr>
          <w:rFonts w:ascii="Arial" w:hAnsi="Arial" w:cs="Arial"/>
        </w:rPr>
        <w:t>r-values</w:t>
      </w:r>
      <w:proofErr w:type="spellEnd"/>
      <w:r>
        <w:rPr>
          <w:rFonts w:ascii="Arial" w:hAnsi="Arial" w:cs="Arial"/>
        </w:rPr>
        <w:t xml:space="preserve">: cognitive engagement (0.582), affective engagement (0.659), behavioral engagement (0.228), and agentic engagement (0.586). </w:t>
      </w:r>
      <w:r>
        <w:rPr>
          <w:rFonts w:ascii="Arial" w:hAnsi="Arial" w:cs="Arial"/>
        </w:rPr>
        <w:t xml:space="preserve">This confirmed that the two variables had statistically significant relationships.  </w:t>
      </w:r>
    </w:p>
    <w:p w14:paraId="230A1454" w14:textId="77777777" w:rsidR="00ED1298" w:rsidRDefault="00ED1298">
      <w:pPr>
        <w:jc w:val="both"/>
        <w:rPr>
          <w:rFonts w:ascii="Arial" w:hAnsi="Arial" w:cs="Arial"/>
        </w:rPr>
      </w:pPr>
    </w:p>
    <w:p w14:paraId="54BA90C3" w14:textId="77777777" w:rsidR="00ED1298" w:rsidRDefault="00E77581">
      <w:pPr>
        <w:jc w:val="both"/>
        <w:rPr>
          <w:rFonts w:ascii="Arial" w:hAnsi="Arial" w:cs="Arial"/>
        </w:rPr>
      </w:pPr>
      <w:r>
        <w:rPr>
          <w:rFonts w:ascii="Arial" w:hAnsi="Arial" w:cs="Arial"/>
        </w:rPr>
        <w:t xml:space="preserve">The correlation between the measures of factors of academic performance and observed student engagement revealed a significant relationship. This finding aligned with the study of </w:t>
      </w:r>
      <w:r>
        <w:rPr>
          <w:rFonts w:ascii="Arial" w:hAnsi="Arial" w:cs="Arial"/>
          <w:color w:val="0070C0"/>
        </w:rPr>
        <w:t>Reeve et al. (2020) [50]</w:t>
      </w:r>
      <w:r>
        <w:rPr>
          <w:rFonts w:ascii="Arial" w:hAnsi="Arial" w:cs="Arial"/>
        </w:rPr>
        <w:t>, it was found that both emotional and cognitive eng</w:t>
      </w:r>
      <w:r>
        <w:rPr>
          <w:rFonts w:ascii="Arial" w:hAnsi="Arial" w:cs="Arial"/>
        </w:rPr>
        <w:t>agement could serve as moderators of behavioral and agentic engagement. Specifically, behavioral and agentic engagement strongly predicted students’ academic progress when emotional and cognitive engagement were high (e.g., enthusiastic effort and strategi</w:t>
      </w:r>
      <w:r>
        <w:rPr>
          <w:rFonts w:ascii="Arial" w:hAnsi="Arial" w:cs="Arial"/>
        </w:rPr>
        <w:t xml:space="preserve">c initiative). Conversely, behavioral and agentic engagement weakly predicted academic progress when emotional and cognitive engagement were low (e.g., disinterested effort and impulsive initiative).  Similarly, </w:t>
      </w:r>
      <w:proofErr w:type="spellStart"/>
      <w:r>
        <w:rPr>
          <w:rFonts w:ascii="Arial" w:hAnsi="Arial" w:cs="Arial"/>
          <w:color w:val="0070C0"/>
        </w:rPr>
        <w:t>Boheim</w:t>
      </w:r>
      <w:proofErr w:type="spellEnd"/>
      <w:r>
        <w:rPr>
          <w:rFonts w:ascii="Arial" w:hAnsi="Arial" w:cs="Arial"/>
          <w:color w:val="0070C0"/>
        </w:rPr>
        <w:t xml:space="preserve"> et al. (2020) [51]</w:t>
      </w:r>
      <w:r>
        <w:rPr>
          <w:rFonts w:ascii="Arial" w:hAnsi="Arial" w:cs="Arial"/>
        </w:rPr>
        <w:t xml:space="preserve"> supported these fi</w:t>
      </w:r>
      <w:r>
        <w:rPr>
          <w:rFonts w:ascii="Arial" w:hAnsi="Arial" w:cs="Arial"/>
        </w:rPr>
        <w:t>ndings, noting that observable positive behaviors in the classroom could serve as indicators of high engagement, which ultimately contributed to increased academic performance in science. This suggested that increased student engagement was linked to impro</w:t>
      </w:r>
      <w:r>
        <w:rPr>
          <w:rFonts w:ascii="Arial" w:hAnsi="Arial" w:cs="Arial"/>
        </w:rPr>
        <w:t>ved academic performance and achievement.</w:t>
      </w:r>
    </w:p>
    <w:p w14:paraId="1450762A" w14:textId="77777777" w:rsidR="00ED1298" w:rsidRDefault="00ED1298">
      <w:pPr>
        <w:jc w:val="both"/>
        <w:rPr>
          <w:rFonts w:ascii="Arial" w:hAnsi="Arial" w:cs="Arial"/>
        </w:rPr>
      </w:pPr>
    </w:p>
    <w:p w14:paraId="6DD1DD41" w14:textId="77777777" w:rsidR="00ED1298" w:rsidRDefault="00E77581">
      <w:pPr>
        <w:jc w:val="both"/>
        <w:rPr>
          <w:rFonts w:ascii="Arial" w:hAnsi="Arial" w:cs="Arial"/>
          <w:b/>
          <w:bCs/>
        </w:rPr>
      </w:pPr>
      <w:r>
        <w:rPr>
          <w:rFonts w:ascii="Arial" w:hAnsi="Arial" w:cs="Arial"/>
          <w:b/>
          <w:bCs/>
        </w:rPr>
        <w:lastRenderedPageBreak/>
        <w:t xml:space="preserve">Significant Relationship between Factors of Academic Performance </w:t>
      </w:r>
    </w:p>
    <w:p w14:paraId="27220911" w14:textId="77777777" w:rsidR="00ED1298" w:rsidRDefault="00E77581">
      <w:pPr>
        <w:jc w:val="both"/>
        <w:rPr>
          <w:rFonts w:ascii="Arial" w:hAnsi="Arial" w:cs="Arial"/>
          <w:b/>
          <w:bCs/>
        </w:rPr>
      </w:pPr>
      <w:r>
        <w:rPr>
          <w:rFonts w:ascii="Arial" w:hAnsi="Arial" w:cs="Arial"/>
          <w:b/>
          <w:bCs/>
        </w:rPr>
        <w:t>and Environmental Literacy</w:t>
      </w:r>
    </w:p>
    <w:p w14:paraId="5FC28DCB" w14:textId="77777777" w:rsidR="00ED1298" w:rsidRDefault="00ED1298">
      <w:pPr>
        <w:jc w:val="both"/>
        <w:rPr>
          <w:rFonts w:ascii="Arial" w:hAnsi="Arial" w:cs="Arial"/>
          <w:b/>
          <w:bCs/>
        </w:rPr>
      </w:pPr>
    </w:p>
    <w:p w14:paraId="45C67C90" w14:textId="2AE08772" w:rsidR="00ED1298" w:rsidRDefault="00E77581">
      <w:pPr>
        <w:jc w:val="both"/>
        <w:rPr>
          <w:rFonts w:ascii="Arial" w:hAnsi="Arial" w:cs="Arial"/>
        </w:rPr>
      </w:pPr>
      <w:r>
        <w:rPr>
          <w:rFonts w:ascii="Arial" w:hAnsi="Arial" w:cs="Arial"/>
        </w:rPr>
        <w:t>Environmental literacy has been acknowledged as a vital aspect of education, not only to promote environmental conserva</w:t>
      </w:r>
      <w:r>
        <w:rPr>
          <w:rFonts w:ascii="Arial" w:hAnsi="Arial" w:cs="Arial"/>
        </w:rPr>
        <w:t>tion but also to improve academic achievement.</w:t>
      </w:r>
      <w:bookmarkEnd w:id="7"/>
      <w:r>
        <w:rPr>
          <w:rFonts w:ascii="Arial" w:hAnsi="Arial" w:cs="Arial"/>
        </w:rPr>
        <w:t xml:space="preserve"> Table </w:t>
      </w:r>
      <w:r w:rsidR="00CB2442">
        <w:rPr>
          <w:rFonts w:ascii="Arial" w:hAnsi="Arial" w:cs="Arial"/>
        </w:rPr>
        <w:t>5</w:t>
      </w:r>
      <w:r>
        <w:rPr>
          <w:rFonts w:ascii="Arial" w:hAnsi="Arial" w:cs="Arial"/>
        </w:rPr>
        <w:t xml:space="preserve"> presented the correlation between measures of factors of academic performance and environmental literacy. </w:t>
      </w:r>
    </w:p>
    <w:p w14:paraId="6AA575A7" w14:textId="77777777" w:rsidR="00ED1298" w:rsidRDefault="00ED1298">
      <w:pPr>
        <w:rPr>
          <w:rFonts w:ascii="Arial" w:hAnsi="Arial" w:cs="Arial"/>
          <w:b/>
          <w:bCs/>
        </w:rPr>
      </w:pPr>
    </w:p>
    <w:p w14:paraId="689F8399" w14:textId="2C974B2F" w:rsidR="00ED1298" w:rsidRDefault="00E77581">
      <w:pPr>
        <w:rPr>
          <w:rFonts w:ascii="Arial" w:hAnsi="Arial" w:cs="Arial"/>
        </w:rPr>
      </w:pPr>
      <w:r>
        <w:rPr>
          <w:rFonts w:ascii="Arial" w:hAnsi="Arial" w:cs="Arial"/>
        </w:rPr>
        <w:t xml:space="preserve">Table </w:t>
      </w:r>
      <w:r w:rsidR="00CB2442">
        <w:rPr>
          <w:rFonts w:ascii="Arial" w:hAnsi="Arial" w:cs="Arial"/>
        </w:rPr>
        <w:t>5</w:t>
      </w:r>
      <w:r>
        <w:rPr>
          <w:rFonts w:ascii="Arial" w:hAnsi="Arial" w:cs="Arial"/>
        </w:rPr>
        <w:t xml:space="preserve"> Significance of the Relationship between Factors of Academic Performance </w:t>
      </w:r>
    </w:p>
    <w:p w14:paraId="4A886F0E" w14:textId="77777777" w:rsidR="00ED1298" w:rsidRDefault="00E77581">
      <w:pPr>
        <w:rPr>
          <w:rFonts w:ascii="Arial" w:hAnsi="Arial" w:cs="Arial"/>
        </w:rPr>
      </w:pPr>
      <w:r>
        <w:rPr>
          <w:rFonts w:ascii="Arial" w:hAnsi="Arial" w:cs="Arial"/>
        </w:rPr>
        <w:t>and Environ</w:t>
      </w:r>
      <w:r>
        <w:rPr>
          <w:rFonts w:ascii="Arial" w:hAnsi="Arial" w:cs="Arial"/>
        </w:rPr>
        <w:t>mental Literacy</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1125"/>
        <w:gridCol w:w="1125"/>
        <w:gridCol w:w="1125"/>
        <w:gridCol w:w="1125"/>
      </w:tblGrid>
      <w:tr w:rsidR="00ED1298" w14:paraId="3AA47CA8" w14:textId="77777777">
        <w:trPr>
          <w:trHeight w:val="144"/>
        </w:trPr>
        <w:tc>
          <w:tcPr>
            <w:tcW w:w="4140" w:type="dxa"/>
            <w:vMerge w:val="restart"/>
            <w:tcBorders>
              <w:top w:val="single" w:sz="12" w:space="0" w:color="auto"/>
            </w:tcBorders>
            <w:vAlign w:val="center"/>
          </w:tcPr>
          <w:p w14:paraId="6F194A3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Factors of Academic Performance</w:t>
            </w:r>
          </w:p>
        </w:tc>
        <w:tc>
          <w:tcPr>
            <w:tcW w:w="3375" w:type="dxa"/>
            <w:gridSpan w:val="3"/>
            <w:tcBorders>
              <w:top w:val="single" w:sz="12" w:space="0" w:color="auto"/>
              <w:bottom w:val="single" w:sz="8" w:space="0" w:color="auto"/>
            </w:tcBorders>
            <w:vAlign w:val="center"/>
          </w:tcPr>
          <w:p w14:paraId="38403F66" w14:textId="77777777" w:rsidR="00ED1298" w:rsidRDefault="00E77581">
            <w:pPr>
              <w:jc w:val="center"/>
              <w:rPr>
                <w:rFonts w:ascii="Arial" w:eastAsia="Calibri" w:hAnsi="Arial" w:cs="Arial"/>
                <w:bCs/>
                <w:sz w:val="20"/>
                <w:szCs w:val="20"/>
              </w:rPr>
            </w:pPr>
            <w:r>
              <w:rPr>
                <w:rFonts w:ascii="Arial" w:hAnsi="Arial" w:cs="Arial"/>
                <w:bCs/>
                <w:sz w:val="20"/>
                <w:szCs w:val="20"/>
              </w:rPr>
              <w:t>Environmental Literacy</w:t>
            </w:r>
          </w:p>
        </w:tc>
        <w:tc>
          <w:tcPr>
            <w:tcW w:w="1125" w:type="dxa"/>
            <w:vMerge w:val="restart"/>
            <w:tcBorders>
              <w:top w:val="single" w:sz="12" w:space="0" w:color="auto"/>
            </w:tcBorders>
            <w:vAlign w:val="center"/>
          </w:tcPr>
          <w:p w14:paraId="13CD00C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 xml:space="preserve">Overall </w:t>
            </w:r>
          </w:p>
        </w:tc>
      </w:tr>
      <w:tr w:rsidR="00ED1298" w14:paraId="6DE9656B" w14:textId="77777777">
        <w:trPr>
          <w:trHeight w:val="144"/>
        </w:trPr>
        <w:tc>
          <w:tcPr>
            <w:tcW w:w="4140" w:type="dxa"/>
            <w:vMerge/>
            <w:tcBorders>
              <w:bottom w:val="single" w:sz="4" w:space="0" w:color="auto"/>
            </w:tcBorders>
            <w:vAlign w:val="center"/>
          </w:tcPr>
          <w:p w14:paraId="534F1E1C" w14:textId="77777777" w:rsidR="00ED1298" w:rsidRDefault="00ED1298">
            <w:pPr>
              <w:jc w:val="center"/>
              <w:rPr>
                <w:rFonts w:ascii="Arial" w:eastAsia="Calibri" w:hAnsi="Arial" w:cs="Arial"/>
                <w:bCs/>
                <w:sz w:val="20"/>
                <w:szCs w:val="20"/>
              </w:rPr>
            </w:pPr>
          </w:p>
        </w:tc>
        <w:tc>
          <w:tcPr>
            <w:tcW w:w="1125" w:type="dxa"/>
            <w:tcBorders>
              <w:top w:val="single" w:sz="4" w:space="0" w:color="auto"/>
              <w:bottom w:val="single" w:sz="4" w:space="0" w:color="auto"/>
            </w:tcBorders>
            <w:vAlign w:val="center"/>
          </w:tcPr>
          <w:p w14:paraId="1D42F34A" w14:textId="77777777" w:rsidR="00ED1298" w:rsidRDefault="00E77581">
            <w:pPr>
              <w:jc w:val="center"/>
              <w:rPr>
                <w:rFonts w:ascii="Arial" w:eastAsia="Calibri" w:hAnsi="Arial" w:cs="Arial"/>
                <w:bCs/>
                <w:sz w:val="20"/>
                <w:szCs w:val="20"/>
              </w:rPr>
            </w:pPr>
            <w:proofErr w:type="spellStart"/>
            <w:r>
              <w:rPr>
                <w:rFonts w:ascii="Arial" w:eastAsia="Calibri" w:hAnsi="Arial" w:cs="Arial"/>
                <w:bCs/>
                <w:sz w:val="20"/>
                <w:szCs w:val="20"/>
              </w:rPr>
              <w:t>Att</w:t>
            </w:r>
            <w:proofErr w:type="spellEnd"/>
          </w:p>
        </w:tc>
        <w:tc>
          <w:tcPr>
            <w:tcW w:w="1125" w:type="dxa"/>
            <w:tcBorders>
              <w:top w:val="single" w:sz="8" w:space="0" w:color="auto"/>
              <w:bottom w:val="single" w:sz="4" w:space="0" w:color="auto"/>
            </w:tcBorders>
            <w:vAlign w:val="center"/>
          </w:tcPr>
          <w:p w14:paraId="2C7C0C91" w14:textId="77777777" w:rsidR="00ED1298" w:rsidRDefault="00E77581">
            <w:pPr>
              <w:jc w:val="center"/>
              <w:rPr>
                <w:rFonts w:ascii="Arial" w:eastAsia="Calibri" w:hAnsi="Arial" w:cs="Arial"/>
                <w:bCs/>
                <w:sz w:val="20"/>
                <w:szCs w:val="20"/>
              </w:rPr>
            </w:pPr>
            <w:proofErr w:type="spellStart"/>
            <w:r>
              <w:rPr>
                <w:rFonts w:ascii="Arial" w:eastAsia="Calibri" w:hAnsi="Arial" w:cs="Arial"/>
                <w:bCs/>
                <w:sz w:val="20"/>
                <w:szCs w:val="20"/>
              </w:rPr>
              <w:t>Knw</w:t>
            </w:r>
            <w:proofErr w:type="spellEnd"/>
          </w:p>
        </w:tc>
        <w:tc>
          <w:tcPr>
            <w:tcW w:w="1125" w:type="dxa"/>
            <w:tcBorders>
              <w:top w:val="single" w:sz="8" w:space="0" w:color="auto"/>
              <w:bottom w:val="single" w:sz="4" w:space="0" w:color="auto"/>
            </w:tcBorders>
            <w:vAlign w:val="center"/>
          </w:tcPr>
          <w:p w14:paraId="2DFAD05F" w14:textId="77777777" w:rsidR="00ED1298" w:rsidRDefault="00E77581">
            <w:pPr>
              <w:jc w:val="center"/>
              <w:rPr>
                <w:rFonts w:ascii="Arial" w:eastAsia="Calibri" w:hAnsi="Arial" w:cs="Arial"/>
                <w:bCs/>
                <w:sz w:val="20"/>
                <w:szCs w:val="20"/>
              </w:rPr>
            </w:pPr>
            <w:proofErr w:type="spellStart"/>
            <w:r>
              <w:rPr>
                <w:rFonts w:ascii="Arial" w:eastAsia="Calibri" w:hAnsi="Arial" w:cs="Arial"/>
                <w:bCs/>
                <w:sz w:val="20"/>
                <w:szCs w:val="20"/>
              </w:rPr>
              <w:t>Behvr</w:t>
            </w:r>
            <w:proofErr w:type="spellEnd"/>
          </w:p>
        </w:tc>
        <w:tc>
          <w:tcPr>
            <w:tcW w:w="1125" w:type="dxa"/>
            <w:vMerge/>
            <w:tcBorders>
              <w:bottom w:val="single" w:sz="8" w:space="0" w:color="auto"/>
            </w:tcBorders>
          </w:tcPr>
          <w:p w14:paraId="0A18A11C" w14:textId="77777777" w:rsidR="00ED1298" w:rsidRDefault="00ED1298">
            <w:pPr>
              <w:jc w:val="center"/>
              <w:rPr>
                <w:rFonts w:ascii="Arial" w:eastAsia="Calibri" w:hAnsi="Arial" w:cs="Arial"/>
                <w:bCs/>
                <w:sz w:val="20"/>
                <w:szCs w:val="20"/>
              </w:rPr>
            </w:pPr>
          </w:p>
        </w:tc>
      </w:tr>
      <w:tr w:rsidR="00ED1298" w14:paraId="60A3278A" w14:textId="77777777">
        <w:trPr>
          <w:trHeight w:val="144"/>
        </w:trPr>
        <w:tc>
          <w:tcPr>
            <w:tcW w:w="4140" w:type="dxa"/>
            <w:vMerge w:val="restart"/>
            <w:tcBorders>
              <w:top w:val="single" w:sz="4" w:space="0" w:color="auto"/>
            </w:tcBorders>
            <w:shd w:val="clear" w:color="auto" w:fill="auto"/>
            <w:vAlign w:val="center"/>
          </w:tcPr>
          <w:p w14:paraId="2DE4A731" w14:textId="77777777" w:rsidR="00ED1298" w:rsidRDefault="00E77581">
            <w:pPr>
              <w:rPr>
                <w:rFonts w:ascii="Arial" w:eastAsia="Calibri" w:hAnsi="Arial" w:cs="Arial"/>
                <w:bCs/>
                <w:sz w:val="20"/>
                <w:szCs w:val="20"/>
              </w:rPr>
            </w:pPr>
            <w:r>
              <w:rPr>
                <w:rFonts w:ascii="Arial" w:hAnsi="Arial" w:cs="Arial"/>
                <w:bCs/>
                <w:sz w:val="20"/>
                <w:szCs w:val="20"/>
              </w:rPr>
              <w:t>Study Habits</w:t>
            </w:r>
          </w:p>
        </w:tc>
        <w:tc>
          <w:tcPr>
            <w:tcW w:w="1125" w:type="dxa"/>
            <w:tcBorders>
              <w:top w:val="single" w:sz="4" w:space="0" w:color="auto"/>
            </w:tcBorders>
            <w:vAlign w:val="bottom"/>
          </w:tcPr>
          <w:p w14:paraId="37EEDD3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0.386**</w:t>
            </w:r>
          </w:p>
        </w:tc>
        <w:tc>
          <w:tcPr>
            <w:tcW w:w="1125" w:type="dxa"/>
            <w:tcBorders>
              <w:top w:val="single" w:sz="4" w:space="0" w:color="auto"/>
            </w:tcBorders>
            <w:vAlign w:val="bottom"/>
          </w:tcPr>
          <w:p w14:paraId="61AA5037"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0.350**</w:t>
            </w:r>
          </w:p>
        </w:tc>
        <w:tc>
          <w:tcPr>
            <w:tcW w:w="1125" w:type="dxa"/>
            <w:tcBorders>
              <w:top w:val="single" w:sz="4" w:space="0" w:color="auto"/>
            </w:tcBorders>
            <w:vAlign w:val="bottom"/>
          </w:tcPr>
          <w:p w14:paraId="5DD42CC3"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0.498**</w:t>
            </w:r>
          </w:p>
        </w:tc>
        <w:tc>
          <w:tcPr>
            <w:tcW w:w="1125" w:type="dxa"/>
            <w:tcBorders>
              <w:top w:val="single" w:sz="8" w:space="0" w:color="auto"/>
            </w:tcBorders>
            <w:vAlign w:val="bottom"/>
          </w:tcPr>
          <w:p w14:paraId="2FC62C6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0.474**</w:t>
            </w:r>
          </w:p>
        </w:tc>
      </w:tr>
      <w:tr w:rsidR="00ED1298" w14:paraId="03528E6F" w14:textId="77777777">
        <w:trPr>
          <w:trHeight w:val="144"/>
        </w:trPr>
        <w:tc>
          <w:tcPr>
            <w:tcW w:w="4140" w:type="dxa"/>
            <w:vMerge/>
            <w:shd w:val="clear" w:color="auto" w:fill="auto"/>
            <w:vAlign w:val="center"/>
          </w:tcPr>
          <w:p w14:paraId="6E30C015" w14:textId="77777777" w:rsidR="00ED1298" w:rsidRDefault="00ED1298">
            <w:pPr>
              <w:rPr>
                <w:rFonts w:ascii="Arial" w:hAnsi="Arial" w:cs="Arial"/>
                <w:bCs/>
                <w:sz w:val="20"/>
                <w:szCs w:val="20"/>
              </w:rPr>
            </w:pPr>
          </w:p>
        </w:tc>
        <w:tc>
          <w:tcPr>
            <w:tcW w:w="1125" w:type="dxa"/>
          </w:tcPr>
          <w:p w14:paraId="5F45D57F"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1125" w:type="dxa"/>
          </w:tcPr>
          <w:p w14:paraId="151C4A52"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1125" w:type="dxa"/>
          </w:tcPr>
          <w:p w14:paraId="795BF5D1"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57F23E72"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34AAADBE" w14:textId="77777777">
        <w:trPr>
          <w:trHeight w:val="144"/>
        </w:trPr>
        <w:tc>
          <w:tcPr>
            <w:tcW w:w="4140" w:type="dxa"/>
            <w:vMerge w:val="restart"/>
            <w:shd w:val="clear" w:color="auto" w:fill="auto"/>
            <w:vAlign w:val="center"/>
          </w:tcPr>
          <w:p w14:paraId="112EE4D6" w14:textId="77777777" w:rsidR="00ED1298" w:rsidRDefault="00E77581">
            <w:pPr>
              <w:rPr>
                <w:rFonts w:ascii="Arial" w:eastAsia="Calibri" w:hAnsi="Arial" w:cs="Arial"/>
                <w:bCs/>
                <w:sz w:val="20"/>
                <w:szCs w:val="20"/>
              </w:rPr>
            </w:pPr>
            <w:r>
              <w:rPr>
                <w:rFonts w:ascii="Arial" w:eastAsia="Calibri" w:hAnsi="Arial" w:cs="Arial"/>
                <w:bCs/>
                <w:sz w:val="20"/>
                <w:szCs w:val="20"/>
              </w:rPr>
              <w:t>Learning Skills</w:t>
            </w:r>
          </w:p>
        </w:tc>
        <w:tc>
          <w:tcPr>
            <w:tcW w:w="1125" w:type="dxa"/>
            <w:vAlign w:val="bottom"/>
          </w:tcPr>
          <w:p w14:paraId="4F0D952C"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0.450**</w:t>
            </w:r>
          </w:p>
        </w:tc>
        <w:tc>
          <w:tcPr>
            <w:tcW w:w="1125" w:type="dxa"/>
            <w:vAlign w:val="bottom"/>
          </w:tcPr>
          <w:p w14:paraId="5720A90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0.406**</w:t>
            </w:r>
          </w:p>
        </w:tc>
        <w:tc>
          <w:tcPr>
            <w:tcW w:w="1125" w:type="dxa"/>
            <w:vAlign w:val="bottom"/>
          </w:tcPr>
          <w:p w14:paraId="1B00540C"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0.535**</w:t>
            </w:r>
          </w:p>
        </w:tc>
        <w:tc>
          <w:tcPr>
            <w:tcW w:w="1125" w:type="dxa"/>
            <w:vAlign w:val="bottom"/>
          </w:tcPr>
          <w:p w14:paraId="76A50B2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0.534**</w:t>
            </w:r>
          </w:p>
        </w:tc>
      </w:tr>
      <w:tr w:rsidR="00ED1298" w14:paraId="6EA8BA6C" w14:textId="77777777">
        <w:trPr>
          <w:trHeight w:val="144"/>
        </w:trPr>
        <w:tc>
          <w:tcPr>
            <w:tcW w:w="4140" w:type="dxa"/>
            <w:vMerge/>
            <w:shd w:val="clear" w:color="auto" w:fill="auto"/>
            <w:vAlign w:val="center"/>
          </w:tcPr>
          <w:p w14:paraId="12D8172F" w14:textId="77777777" w:rsidR="00ED1298" w:rsidRDefault="00ED1298">
            <w:pPr>
              <w:rPr>
                <w:rFonts w:ascii="Arial" w:eastAsia="Calibri" w:hAnsi="Arial" w:cs="Arial"/>
                <w:bCs/>
                <w:sz w:val="20"/>
                <w:szCs w:val="20"/>
              </w:rPr>
            </w:pPr>
          </w:p>
        </w:tc>
        <w:tc>
          <w:tcPr>
            <w:tcW w:w="1125" w:type="dxa"/>
          </w:tcPr>
          <w:p w14:paraId="06FE32A8"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60E9FC92"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1125" w:type="dxa"/>
          </w:tcPr>
          <w:p w14:paraId="0B8B46F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792DD747"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4AE5EB34" w14:textId="77777777">
        <w:trPr>
          <w:trHeight w:val="144"/>
        </w:trPr>
        <w:tc>
          <w:tcPr>
            <w:tcW w:w="4140" w:type="dxa"/>
            <w:vMerge w:val="restart"/>
            <w:shd w:val="clear" w:color="auto" w:fill="auto"/>
            <w:vAlign w:val="center"/>
          </w:tcPr>
          <w:p w14:paraId="5A04B659" w14:textId="77777777" w:rsidR="00ED1298" w:rsidRDefault="00E77581">
            <w:pPr>
              <w:rPr>
                <w:rFonts w:ascii="Arial" w:eastAsia="Calibri" w:hAnsi="Arial" w:cs="Arial"/>
                <w:bCs/>
                <w:sz w:val="20"/>
                <w:szCs w:val="20"/>
              </w:rPr>
            </w:pPr>
            <w:r>
              <w:rPr>
                <w:rFonts w:ascii="Arial" w:eastAsia="Calibri" w:hAnsi="Arial" w:cs="Arial"/>
                <w:bCs/>
                <w:sz w:val="20"/>
                <w:szCs w:val="20"/>
              </w:rPr>
              <w:t>Hardworking</w:t>
            </w:r>
          </w:p>
        </w:tc>
        <w:tc>
          <w:tcPr>
            <w:tcW w:w="1125" w:type="dxa"/>
            <w:vAlign w:val="bottom"/>
          </w:tcPr>
          <w:p w14:paraId="01D44A9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0.403**</w:t>
            </w:r>
          </w:p>
        </w:tc>
        <w:tc>
          <w:tcPr>
            <w:tcW w:w="1125" w:type="dxa"/>
            <w:vAlign w:val="bottom"/>
          </w:tcPr>
          <w:p w14:paraId="483DC5D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0.441**</w:t>
            </w:r>
          </w:p>
        </w:tc>
        <w:tc>
          <w:tcPr>
            <w:tcW w:w="1125" w:type="dxa"/>
            <w:vAlign w:val="bottom"/>
          </w:tcPr>
          <w:p w14:paraId="04DC8EA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0.462**</w:t>
            </w:r>
          </w:p>
        </w:tc>
        <w:tc>
          <w:tcPr>
            <w:tcW w:w="1125" w:type="dxa"/>
            <w:vAlign w:val="bottom"/>
          </w:tcPr>
          <w:p w14:paraId="1C5A2FB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0.502**</w:t>
            </w:r>
          </w:p>
        </w:tc>
      </w:tr>
      <w:tr w:rsidR="00ED1298" w14:paraId="2B36CE0F" w14:textId="77777777">
        <w:trPr>
          <w:trHeight w:val="144"/>
        </w:trPr>
        <w:tc>
          <w:tcPr>
            <w:tcW w:w="4140" w:type="dxa"/>
            <w:vMerge/>
            <w:shd w:val="clear" w:color="auto" w:fill="auto"/>
            <w:vAlign w:val="center"/>
          </w:tcPr>
          <w:p w14:paraId="717D14A9" w14:textId="77777777" w:rsidR="00ED1298" w:rsidRDefault="00ED1298">
            <w:pPr>
              <w:rPr>
                <w:rFonts w:ascii="Arial" w:eastAsia="Calibri" w:hAnsi="Arial" w:cs="Arial"/>
                <w:bCs/>
                <w:sz w:val="20"/>
                <w:szCs w:val="20"/>
              </w:rPr>
            </w:pPr>
          </w:p>
        </w:tc>
        <w:tc>
          <w:tcPr>
            <w:tcW w:w="1125" w:type="dxa"/>
          </w:tcPr>
          <w:p w14:paraId="668E9160"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066C04FE"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79083413"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4AC2B8C2"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7198E86F" w14:textId="77777777">
        <w:trPr>
          <w:trHeight w:val="144"/>
        </w:trPr>
        <w:tc>
          <w:tcPr>
            <w:tcW w:w="4140" w:type="dxa"/>
            <w:vMerge w:val="restart"/>
            <w:shd w:val="clear" w:color="auto" w:fill="auto"/>
            <w:vAlign w:val="center"/>
          </w:tcPr>
          <w:p w14:paraId="708BD848" w14:textId="77777777" w:rsidR="00ED1298" w:rsidRDefault="00E77581">
            <w:pPr>
              <w:rPr>
                <w:rFonts w:ascii="Arial" w:eastAsia="Calibri" w:hAnsi="Arial" w:cs="Arial"/>
                <w:bCs/>
                <w:sz w:val="20"/>
                <w:szCs w:val="20"/>
              </w:rPr>
            </w:pPr>
            <w:r>
              <w:rPr>
                <w:rFonts w:ascii="Arial" w:eastAsia="Calibri" w:hAnsi="Arial" w:cs="Arial"/>
                <w:bCs/>
                <w:sz w:val="20"/>
                <w:szCs w:val="20"/>
              </w:rPr>
              <w:t>Academic Interactions</w:t>
            </w:r>
          </w:p>
        </w:tc>
        <w:tc>
          <w:tcPr>
            <w:tcW w:w="1125" w:type="dxa"/>
            <w:vAlign w:val="bottom"/>
          </w:tcPr>
          <w:p w14:paraId="3FF54342"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0.516**</w:t>
            </w:r>
          </w:p>
        </w:tc>
        <w:tc>
          <w:tcPr>
            <w:tcW w:w="1125" w:type="dxa"/>
            <w:vAlign w:val="bottom"/>
          </w:tcPr>
          <w:p w14:paraId="3F22139E"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0.476**</w:t>
            </w:r>
          </w:p>
        </w:tc>
        <w:tc>
          <w:tcPr>
            <w:tcW w:w="1125" w:type="dxa"/>
            <w:vAlign w:val="bottom"/>
          </w:tcPr>
          <w:p w14:paraId="195769AB"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0.541**</w:t>
            </w:r>
          </w:p>
        </w:tc>
        <w:tc>
          <w:tcPr>
            <w:tcW w:w="1125" w:type="dxa"/>
            <w:vAlign w:val="bottom"/>
          </w:tcPr>
          <w:p w14:paraId="497D93B8"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0.589**</w:t>
            </w:r>
          </w:p>
        </w:tc>
      </w:tr>
      <w:tr w:rsidR="00ED1298" w14:paraId="11BDA67E" w14:textId="77777777">
        <w:trPr>
          <w:trHeight w:val="144"/>
        </w:trPr>
        <w:tc>
          <w:tcPr>
            <w:tcW w:w="4140" w:type="dxa"/>
            <w:vMerge/>
            <w:shd w:val="clear" w:color="auto" w:fill="auto"/>
            <w:vAlign w:val="center"/>
          </w:tcPr>
          <w:p w14:paraId="1219EE6D" w14:textId="77777777" w:rsidR="00ED1298" w:rsidRDefault="00ED1298">
            <w:pPr>
              <w:rPr>
                <w:rFonts w:ascii="Arial" w:eastAsia="Calibri" w:hAnsi="Arial" w:cs="Arial"/>
                <w:bCs/>
                <w:sz w:val="20"/>
                <w:szCs w:val="20"/>
              </w:rPr>
            </w:pPr>
          </w:p>
        </w:tc>
        <w:tc>
          <w:tcPr>
            <w:tcW w:w="1125" w:type="dxa"/>
          </w:tcPr>
          <w:p w14:paraId="07DC8812"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325CBE0E"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2AF3FCAC"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6D31274D"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01B8D82B" w14:textId="77777777">
        <w:trPr>
          <w:trHeight w:val="144"/>
        </w:trPr>
        <w:tc>
          <w:tcPr>
            <w:tcW w:w="4140" w:type="dxa"/>
            <w:vMerge w:val="restart"/>
            <w:shd w:val="clear" w:color="auto" w:fill="auto"/>
            <w:vAlign w:val="center"/>
          </w:tcPr>
          <w:p w14:paraId="33A8EA72" w14:textId="77777777" w:rsidR="00ED1298" w:rsidRDefault="00E77581">
            <w:pPr>
              <w:rPr>
                <w:rFonts w:ascii="Arial" w:eastAsia="Calibri" w:hAnsi="Arial" w:cs="Arial"/>
                <w:bCs/>
                <w:sz w:val="20"/>
                <w:szCs w:val="20"/>
              </w:rPr>
            </w:pPr>
            <w:r>
              <w:rPr>
                <w:rFonts w:ascii="Arial" w:eastAsia="Calibri" w:hAnsi="Arial" w:cs="Arial"/>
                <w:bCs/>
                <w:sz w:val="20"/>
                <w:szCs w:val="20"/>
              </w:rPr>
              <w:t>Home Environment</w:t>
            </w:r>
          </w:p>
        </w:tc>
        <w:tc>
          <w:tcPr>
            <w:tcW w:w="1125" w:type="dxa"/>
            <w:vAlign w:val="bottom"/>
          </w:tcPr>
          <w:p w14:paraId="7236D38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0.305**</w:t>
            </w:r>
          </w:p>
        </w:tc>
        <w:tc>
          <w:tcPr>
            <w:tcW w:w="1125" w:type="dxa"/>
            <w:vAlign w:val="bottom"/>
          </w:tcPr>
          <w:p w14:paraId="3C5CEFA1"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0.265**</w:t>
            </w:r>
          </w:p>
        </w:tc>
        <w:tc>
          <w:tcPr>
            <w:tcW w:w="1125" w:type="dxa"/>
            <w:vAlign w:val="bottom"/>
          </w:tcPr>
          <w:p w14:paraId="5461BF64"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0.283**</w:t>
            </w:r>
          </w:p>
        </w:tc>
        <w:tc>
          <w:tcPr>
            <w:tcW w:w="1125" w:type="dxa"/>
            <w:vAlign w:val="bottom"/>
          </w:tcPr>
          <w:p w14:paraId="44F8393E"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0.327**</w:t>
            </w:r>
          </w:p>
        </w:tc>
      </w:tr>
      <w:tr w:rsidR="00ED1298" w14:paraId="5404FE1B" w14:textId="77777777">
        <w:trPr>
          <w:trHeight w:val="144"/>
        </w:trPr>
        <w:tc>
          <w:tcPr>
            <w:tcW w:w="4140" w:type="dxa"/>
            <w:vMerge/>
            <w:shd w:val="clear" w:color="auto" w:fill="auto"/>
            <w:vAlign w:val="center"/>
          </w:tcPr>
          <w:p w14:paraId="2B499887" w14:textId="77777777" w:rsidR="00ED1298" w:rsidRDefault="00ED1298">
            <w:pPr>
              <w:rPr>
                <w:rFonts w:ascii="Arial" w:eastAsia="Calibri" w:hAnsi="Arial" w:cs="Arial"/>
                <w:bCs/>
                <w:sz w:val="20"/>
                <w:szCs w:val="20"/>
              </w:rPr>
            </w:pPr>
          </w:p>
        </w:tc>
        <w:tc>
          <w:tcPr>
            <w:tcW w:w="1125" w:type="dxa"/>
          </w:tcPr>
          <w:p w14:paraId="416D41A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177C362E"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13373105"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Pr>
          <w:p w14:paraId="47604A08"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r w:rsidR="00ED1298" w14:paraId="2F226890" w14:textId="77777777">
        <w:trPr>
          <w:trHeight w:val="144"/>
        </w:trPr>
        <w:tc>
          <w:tcPr>
            <w:tcW w:w="4140" w:type="dxa"/>
            <w:vMerge w:val="restart"/>
            <w:shd w:val="clear" w:color="auto" w:fill="auto"/>
            <w:vAlign w:val="center"/>
          </w:tcPr>
          <w:p w14:paraId="5E952C8C" w14:textId="77777777" w:rsidR="00ED1298" w:rsidRDefault="00E77581">
            <w:pPr>
              <w:rPr>
                <w:rFonts w:ascii="Arial" w:eastAsia="Calibri" w:hAnsi="Arial" w:cs="Arial"/>
                <w:bCs/>
                <w:sz w:val="20"/>
                <w:szCs w:val="20"/>
              </w:rPr>
            </w:pPr>
            <w:r>
              <w:rPr>
                <w:rFonts w:ascii="Arial" w:hAnsi="Arial" w:cs="Arial"/>
                <w:bCs/>
                <w:sz w:val="20"/>
                <w:szCs w:val="20"/>
              </w:rPr>
              <w:t>Overall</w:t>
            </w:r>
          </w:p>
        </w:tc>
        <w:tc>
          <w:tcPr>
            <w:tcW w:w="1125" w:type="dxa"/>
            <w:vAlign w:val="bottom"/>
          </w:tcPr>
          <w:p w14:paraId="1BDACF6D"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0.519**</w:t>
            </w:r>
          </w:p>
        </w:tc>
        <w:tc>
          <w:tcPr>
            <w:tcW w:w="1125" w:type="dxa"/>
            <w:vAlign w:val="bottom"/>
          </w:tcPr>
          <w:p w14:paraId="345456E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0.488**</w:t>
            </w:r>
          </w:p>
        </w:tc>
        <w:tc>
          <w:tcPr>
            <w:tcW w:w="1125" w:type="dxa"/>
            <w:vAlign w:val="bottom"/>
          </w:tcPr>
          <w:p w14:paraId="22968847"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0.579**</w:t>
            </w:r>
          </w:p>
        </w:tc>
        <w:tc>
          <w:tcPr>
            <w:tcW w:w="1125" w:type="dxa"/>
            <w:vAlign w:val="bottom"/>
          </w:tcPr>
          <w:p w14:paraId="03F6D3A7"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0.609**</w:t>
            </w:r>
          </w:p>
        </w:tc>
      </w:tr>
      <w:tr w:rsidR="00ED1298" w14:paraId="425BE426" w14:textId="77777777">
        <w:trPr>
          <w:trHeight w:val="144"/>
        </w:trPr>
        <w:tc>
          <w:tcPr>
            <w:tcW w:w="4140" w:type="dxa"/>
            <w:vMerge/>
            <w:tcBorders>
              <w:bottom w:val="single" w:sz="12" w:space="0" w:color="auto"/>
            </w:tcBorders>
            <w:shd w:val="clear" w:color="auto" w:fill="auto"/>
            <w:vAlign w:val="center"/>
          </w:tcPr>
          <w:p w14:paraId="56122D4F" w14:textId="77777777" w:rsidR="00ED1298" w:rsidRDefault="00ED1298">
            <w:pPr>
              <w:rPr>
                <w:rFonts w:ascii="Arial" w:hAnsi="Arial" w:cs="Arial"/>
                <w:bCs/>
                <w:sz w:val="20"/>
                <w:szCs w:val="20"/>
              </w:rPr>
            </w:pPr>
          </w:p>
        </w:tc>
        <w:tc>
          <w:tcPr>
            <w:tcW w:w="1125" w:type="dxa"/>
            <w:tcBorders>
              <w:bottom w:val="single" w:sz="12" w:space="0" w:color="auto"/>
            </w:tcBorders>
          </w:tcPr>
          <w:p w14:paraId="1261171A"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Borders>
              <w:bottom w:val="single" w:sz="12" w:space="0" w:color="auto"/>
            </w:tcBorders>
          </w:tcPr>
          <w:p w14:paraId="31C00D66" w14:textId="77777777" w:rsidR="00ED1298" w:rsidRDefault="00E77581">
            <w:pPr>
              <w:jc w:val="center"/>
              <w:rPr>
                <w:rFonts w:ascii="Arial" w:hAnsi="Arial" w:cs="Arial"/>
                <w:bCs/>
                <w:sz w:val="20"/>
                <w:szCs w:val="20"/>
                <w:lang w:eastAsia="en-PH"/>
              </w:rPr>
            </w:pPr>
            <w:r>
              <w:rPr>
                <w:rFonts w:ascii="Arial" w:hAnsi="Arial" w:cs="Arial"/>
                <w:bCs/>
                <w:sz w:val="20"/>
                <w:szCs w:val="20"/>
                <w:lang w:eastAsia="en-PH"/>
              </w:rPr>
              <w:t>&lt;.001</w:t>
            </w:r>
          </w:p>
        </w:tc>
        <w:tc>
          <w:tcPr>
            <w:tcW w:w="1125" w:type="dxa"/>
            <w:tcBorders>
              <w:bottom w:val="single" w:sz="12" w:space="0" w:color="auto"/>
            </w:tcBorders>
          </w:tcPr>
          <w:p w14:paraId="2FCECA70"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c>
          <w:tcPr>
            <w:tcW w:w="1125" w:type="dxa"/>
            <w:tcBorders>
              <w:bottom w:val="single" w:sz="12" w:space="0" w:color="auto"/>
            </w:tcBorders>
          </w:tcPr>
          <w:p w14:paraId="2B38EFFF" w14:textId="77777777" w:rsidR="00ED1298" w:rsidRDefault="00E77581">
            <w:pPr>
              <w:jc w:val="center"/>
              <w:rPr>
                <w:rFonts w:ascii="Arial" w:eastAsia="Calibri" w:hAnsi="Arial" w:cs="Arial"/>
                <w:bCs/>
                <w:sz w:val="20"/>
                <w:szCs w:val="20"/>
              </w:rPr>
            </w:pPr>
            <w:r>
              <w:rPr>
                <w:rFonts w:ascii="Arial" w:hAnsi="Arial" w:cs="Arial"/>
                <w:bCs/>
                <w:sz w:val="20"/>
                <w:szCs w:val="20"/>
                <w:lang w:eastAsia="en-PH"/>
              </w:rPr>
              <w:t>&lt;.001</w:t>
            </w:r>
          </w:p>
        </w:tc>
      </w:tr>
    </w:tbl>
    <w:p w14:paraId="5A4C6FD4" w14:textId="77777777" w:rsidR="00ED1298" w:rsidRDefault="00E77581">
      <w:pPr>
        <w:tabs>
          <w:tab w:val="left" w:pos="2595"/>
        </w:tabs>
        <w:suppressAutoHyphens/>
        <w:rPr>
          <w:rFonts w:ascii="Arial" w:hAnsi="Arial" w:cs="Arial"/>
          <w:i/>
          <w:iCs/>
          <w:sz w:val="16"/>
          <w:szCs w:val="16"/>
          <w:lang w:eastAsia="ar-SA"/>
        </w:rPr>
      </w:pPr>
      <w:r>
        <w:rPr>
          <w:rFonts w:ascii="Arial" w:hAnsi="Arial" w:cs="Arial"/>
          <w:i/>
          <w:iCs/>
          <w:sz w:val="16"/>
          <w:szCs w:val="16"/>
          <w:lang w:eastAsia="ar-SA"/>
        </w:rPr>
        <w:t>Legend:</w:t>
      </w:r>
    </w:p>
    <w:p w14:paraId="416AF2AE" w14:textId="77777777" w:rsidR="00ED1298" w:rsidRDefault="00E77581">
      <w:pPr>
        <w:pStyle w:val="Default"/>
        <w:ind w:firstLineChars="200" w:firstLine="320"/>
        <w:jc w:val="both"/>
        <w:rPr>
          <w:rFonts w:ascii="Arial" w:eastAsia="TimesNewRomanPSMT" w:hAnsi="Arial" w:cs="Arial"/>
          <w:color w:val="auto"/>
          <w:sz w:val="16"/>
          <w:szCs w:val="16"/>
          <w:lang w:eastAsia="zh-CN" w:bidi="ar"/>
        </w:rPr>
      </w:pPr>
      <w:proofErr w:type="spellStart"/>
      <w:r>
        <w:rPr>
          <w:rFonts w:ascii="Arial" w:eastAsia="Times New Roman" w:hAnsi="Arial" w:cs="Arial"/>
          <w:i/>
          <w:iCs/>
          <w:sz w:val="16"/>
          <w:szCs w:val="16"/>
          <w:lang w:eastAsia="ar-SA"/>
        </w:rPr>
        <w:t>Att</w:t>
      </w:r>
      <w:proofErr w:type="spellEnd"/>
      <w:r>
        <w:rPr>
          <w:rFonts w:ascii="Arial" w:eastAsia="Times New Roman" w:hAnsi="Arial" w:cs="Arial"/>
          <w:i/>
          <w:iCs/>
          <w:sz w:val="16"/>
          <w:szCs w:val="16"/>
          <w:lang w:eastAsia="ar-SA"/>
        </w:rPr>
        <w:t xml:space="preserve"> – Attitude</w:t>
      </w:r>
      <w:r>
        <w:rPr>
          <w:rFonts w:ascii="Arial" w:eastAsia="Times New Roman" w:hAnsi="Arial" w:cs="Arial"/>
          <w:i/>
          <w:iCs/>
          <w:sz w:val="16"/>
          <w:szCs w:val="16"/>
          <w:lang w:eastAsia="ar-SA"/>
        </w:rPr>
        <w:tab/>
        <w:t xml:space="preserve"> </w:t>
      </w:r>
      <w:r>
        <w:rPr>
          <w:rFonts w:ascii="Arial" w:eastAsia="Times New Roman" w:hAnsi="Arial" w:cs="Arial"/>
          <w:i/>
          <w:iCs/>
          <w:sz w:val="16"/>
          <w:szCs w:val="16"/>
          <w:lang w:eastAsia="ar-SA"/>
        </w:rPr>
        <w:tab/>
        <w:t xml:space="preserve">       </w:t>
      </w:r>
      <w:r>
        <w:rPr>
          <w:rFonts w:ascii="Arial" w:eastAsia="Times New Roman" w:hAnsi="Arial" w:cs="Arial"/>
          <w:i/>
          <w:iCs/>
          <w:sz w:val="16"/>
          <w:szCs w:val="16"/>
          <w:lang w:eastAsia="ar-SA"/>
        </w:rPr>
        <w:tab/>
        <w:t xml:space="preserve"> </w:t>
      </w:r>
      <w:r>
        <w:rPr>
          <w:rFonts w:ascii="Arial" w:eastAsia="Times New Roman" w:hAnsi="Arial" w:cs="Arial"/>
          <w:i/>
          <w:iCs/>
          <w:sz w:val="16"/>
          <w:szCs w:val="16"/>
          <w:lang w:eastAsia="ar-SA"/>
        </w:rPr>
        <w:tab/>
        <w:t xml:space="preserve"> </w:t>
      </w:r>
      <w:r>
        <w:rPr>
          <w:rFonts w:ascii="Arial" w:eastAsia="Times New Roman" w:hAnsi="Arial" w:cs="Arial"/>
          <w:i/>
          <w:iCs/>
          <w:sz w:val="16"/>
          <w:szCs w:val="16"/>
          <w:lang w:eastAsia="ar-SA"/>
        </w:rPr>
        <w:tab/>
      </w:r>
      <w:r>
        <w:rPr>
          <w:rFonts w:ascii="Arial" w:eastAsia="TimesNewRomanPSMT" w:hAnsi="Arial" w:cs="Arial"/>
          <w:color w:val="auto"/>
          <w:sz w:val="16"/>
          <w:szCs w:val="16"/>
          <w:lang w:eastAsia="zh-CN" w:bidi="ar"/>
        </w:rPr>
        <w:t xml:space="preserve">*p-value &lt; 0.05 – </w:t>
      </w:r>
      <w:proofErr w:type="spellStart"/>
      <w:r>
        <w:rPr>
          <w:rFonts w:ascii="Arial" w:eastAsia="TimesNewRomanPSMT" w:hAnsi="Arial" w:cs="Arial"/>
          <w:color w:val="auto"/>
          <w:sz w:val="16"/>
          <w:szCs w:val="16"/>
          <w:lang w:eastAsia="zh-CN" w:bidi="ar"/>
        </w:rPr>
        <w:t>signficant</w:t>
      </w:r>
      <w:proofErr w:type="spellEnd"/>
    </w:p>
    <w:p w14:paraId="3EECCECF" w14:textId="77777777" w:rsidR="00ED1298" w:rsidRDefault="00E77581">
      <w:pPr>
        <w:tabs>
          <w:tab w:val="left" w:pos="2595"/>
        </w:tabs>
        <w:suppressAutoHyphens/>
        <w:ind w:firstLineChars="200" w:firstLine="320"/>
        <w:rPr>
          <w:rFonts w:ascii="Arial" w:hAnsi="Arial" w:cs="Arial"/>
          <w:i/>
          <w:iCs/>
          <w:sz w:val="16"/>
          <w:szCs w:val="16"/>
          <w:lang w:eastAsia="ar-SA"/>
        </w:rPr>
      </w:pPr>
      <w:proofErr w:type="spellStart"/>
      <w:r>
        <w:rPr>
          <w:rFonts w:ascii="Arial" w:hAnsi="Arial" w:cs="Arial"/>
          <w:i/>
          <w:iCs/>
          <w:sz w:val="16"/>
          <w:szCs w:val="16"/>
          <w:lang w:eastAsia="ar-SA"/>
        </w:rPr>
        <w:t>Knw</w:t>
      </w:r>
      <w:proofErr w:type="spellEnd"/>
      <w:r>
        <w:rPr>
          <w:rFonts w:ascii="Arial" w:hAnsi="Arial" w:cs="Arial"/>
          <w:i/>
          <w:iCs/>
          <w:sz w:val="16"/>
          <w:szCs w:val="16"/>
          <w:lang w:eastAsia="ar-SA"/>
        </w:rPr>
        <w:t xml:space="preserve"> – Knowledge</w:t>
      </w:r>
      <w:r>
        <w:rPr>
          <w:rFonts w:ascii="Arial" w:hAnsi="Arial" w:cs="Arial"/>
          <w:i/>
          <w:iCs/>
          <w:sz w:val="16"/>
          <w:szCs w:val="16"/>
          <w:lang w:eastAsia="ar-SA"/>
        </w:rPr>
        <w:tab/>
      </w:r>
      <w:r>
        <w:rPr>
          <w:rFonts w:ascii="Arial" w:hAnsi="Arial" w:cs="Arial"/>
          <w:i/>
          <w:iCs/>
          <w:sz w:val="16"/>
          <w:szCs w:val="16"/>
          <w:lang w:eastAsia="ar-SA"/>
        </w:rPr>
        <w:tab/>
        <w:t xml:space="preserve">                  </w:t>
      </w:r>
      <w:r>
        <w:rPr>
          <w:rFonts w:ascii="Arial" w:hAnsi="Arial" w:cs="Arial"/>
          <w:i/>
          <w:iCs/>
          <w:sz w:val="16"/>
          <w:szCs w:val="16"/>
          <w:lang w:eastAsia="ar-SA"/>
        </w:rPr>
        <w:tab/>
      </w:r>
      <w:r>
        <w:rPr>
          <w:rFonts w:ascii="Arial" w:eastAsia="Calibri" w:hAnsi="Arial" w:cs="Arial"/>
          <w:bCs/>
          <w:sz w:val="16"/>
          <w:szCs w:val="16"/>
        </w:rPr>
        <w:t>**</w:t>
      </w:r>
      <w:r>
        <w:rPr>
          <w:rFonts w:ascii="Arial" w:hAnsi="Arial" w:cs="Arial"/>
          <w:sz w:val="16"/>
          <w:szCs w:val="16"/>
          <w:lang w:eastAsia="ar-SA"/>
        </w:rPr>
        <w:t>p-value &lt; 0.001 – highly significant</w:t>
      </w:r>
    </w:p>
    <w:p w14:paraId="1DC6AD9F" w14:textId="77777777" w:rsidR="00ED1298" w:rsidRDefault="00E77581">
      <w:pPr>
        <w:jc w:val="both"/>
        <w:rPr>
          <w:rFonts w:ascii="Arial" w:eastAsia="Calibri" w:hAnsi="Arial" w:cs="Arial"/>
          <w:bCs/>
          <w:sz w:val="16"/>
          <w:szCs w:val="16"/>
        </w:rPr>
      </w:pPr>
      <w:r>
        <w:rPr>
          <w:rFonts w:ascii="Arial" w:hAnsi="Arial" w:cs="Arial"/>
          <w:i/>
          <w:iCs/>
          <w:sz w:val="16"/>
          <w:szCs w:val="16"/>
          <w:lang w:eastAsia="ar-SA"/>
        </w:rPr>
        <w:t xml:space="preserve">       </w:t>
      </w:r>
      <w:proofErr w:type="spellStart"/>
      <w:r>
        <w:rPr>
          <w:rFonts w:ascii="Arial" w:hAnsi="Arial" w:cs="Arial"/>
          <w:i/>
          <w:iCs/>
          <w:sz w:val="16"/>
          <w:szCs w:val="16"/>
          <w:lang w:eastAsia="ar-SA"/>
        </w:rPr>
        <w:t>Behvr</w:t>
      </w:r>
      <w:proofErr w:type="spellEnd"/>
      <w:r>
        <w:rPr>
          <w:rFonts w:ascii="Arial" w:hAnsi="Arial" w:cs="Arial"/>
          <w:i/>
          <w:iCs/>
          <w:sz w:val="16"/>
          <w:szCs w:val="16"/>
          <w:lang w:eastAsia="ar-SA"/>
        </w:rPr>
        <w:t xml:space="preserve"> – Behavior</w:t>
      </w:r>
    </w:p>
    <w:p w14:paraId="69FF7F1B" w14:textId="77777777" w:rsidR="00ED1298" w:rsidRDefault="00ED1298">
      <w:pPr>
        <w:jc w:val="both"/>
        <w:rPr>
          <w:rFonts w:ascii="Arial" w:hAnsi="Arial" w:cs="Arial"/>
        </w:rPr>
      </w:pPr>
    </w:p>
    <w:p w14:paraId="09BC208E" w14:textId="77777777" w:rsidR="00ED1298" w:rsidRDefault="00E77581">
      <w:pPr>
        <w:jc w:val="both"/>
        <w:rPr>
          <w:rFonts w:ascii="Arial" w:hAnsi="Arial" w:cs="Arial"/>
        </w:rPr>
      </w:pPr>
      <w:r>
        <w:rPr>
          <w:rFonts w:ascii="Arial" w:hAnsi="Arial" w:cs="Arial"/>
        </w:rPr>
        <w:t xml:space="preserve">It was shown in the table that the correlation obtained an </w:t>
      </w:r>
      <w:r>
        <w:rPr>
          <w:rFonts w:ascii="Arial" w:hAnsi="Arial" w:cs="Arial"/>
        </w:rPr>
        <w:t xml:space="preserve">overall </w:t>
      </w:r>
      <w:proofErr w:type="spellStart"/>
      <w:r>
        <w:rPr>
          <w:rFonts w:ascii="Arial" w:hAnsi="Arial" w:cs="Arial"/>
        </w:rPr>
        <w:t>r-value</w:t>
      </w:r>
      <w:proofErr w:type="spellEnd"/>
      <w:r>
        <w:rPr>
          <w:rFonts w:ascii="Arial" w:hAnsi="Arial" w:cs="Arial"/>
        </w:rPr>
        <w:t xml:space="preserve"> of 0.609 with an overall p-value of less than 0.001, which is lower than the 0.05 level of significance. This implied that environmental literacy improves academic performance. Thus, the null hypothesis of no significant relationship betwee</w:t>
      </w:r>
      <w:r>
        <w:rPr>
          <w:rFonts w:ascii="Arial" w:hAnsi="Arial" w:cs="Arial"/>
        </w:rPr>
        <w:t>n factors of academic performance and environmental literacy was rejected.</w:t>
      </w:r>
    </w:p>
    <w:p w14:paraId="113990BA" w14:textId="77777777" w:rsidR="00ED1298" w:rsidRDefault="00ED1298">
      <w:pPr>
        <w:jc w:val="both"/>
        <w:rPr>
          <w:rFonts w:ascii="Arial" w:hAnsi="Arial" w:cs="Arial"/>
        </w:rPr>
      </w:pPr>
    </w:p>
    <w:p w14:paraId="6871D854" w14:textId="79A41154" w:rsidR="00ED1298" w:rsidRDefault="00E77581">
      <w:pPr>
        <w:jc w:val="both"/>
        <w:rPr>
          <w:rFonts w:ascii="Arial" w:eastAsia="Calibri" w:hAnsi="Arial" w:cs="Arial"/>
          <w:bCs/>
        </w:rPr>
      </w:pPr>
      <w:r>
        <w:rPr>
          <w:rFonts w:ascii="Arial" w:hAnsi="Arial" w:cs="Arial"/>
        </w:rPr>
        <w:t xml:space="preserve">The correlation shown in table </w:t>
      </w:r>
      <w:r w:rsidR="00CB2442">
        <w:rPr>
          <w:rFonts w:ascii="Arial" w:hAnsi="Arial" w:cs="Arial"/>
        </w:rPr>
        <w:t>5</w:t>
      </w:r>
      <w:r>
        <w:rPr>
          <w:rFonts w:ascii="Arial" w:hAnsi="Arial" w:cs="Arial"/>
        </w:rPr>
        <w:t xml:space="preserve"> revealed that there is a significant relationship between the factors of academic performance and environmental literacy since the p-value is less </w:t>
      </w:r>
      <w:r>
        <w:rPr>
          <w:rFonts w:ascii="Arial" w:hAnsi="Arial" w:cs="Arial"/>
        </w:rPr>
        <w:t xml:space="preserve">than 0.001. The indicator </w:t>
      </w:r>
      <w:r>
        <w:rPr>
          <w:rFonts w:ascii="Arial" w:hAnsi="Arial" w:cs="Arial"/>
          <w:i/>
          <w:iCs/>
        </w:rPr>
        <w:t>study habits</w:t>
      </w:r>
      <w:r>
        <w:rPr>
          <w:rFonts w:ascii="Arial" w:hAnsi="Arial" w:cs="Arial"/>
        </w:rPr>
        <w:t xml:space="preserve"> obtained an overall </w:t>
      </w:r>
      <w:proofErr w:type="spellStart"/>
      <w:r>
        <w:rPr>
          <w:rFonts w:ascii="Arial" w:hAnsi="Arial" w:cs="Arial"/>
        </w:rPr>
        <w:t>r-value</w:t>
      </w:r>
      <w:proofErr w:type="spellEnd"/>
      <w:r>
        <w:rPr>
          <w:rFonts w:ascii="Arial" w:hAnsi="Arial" w:cs="Arial"/>
        </w:rPr>
        <w:t xml:space="preserve"> of 0.474, </w:t>
      </w:r>
      <w:r>
        <w:rPr>
          <w:rFonts w:ascii="Arial" w:hAnsi="Arial" w:cs="Arial"/>
          <w:i/>
          <w:iCs/>
        </w:rPr>
        <w:t>learning skills</w:t>
      </w:r>
      <w:r>
        <w:rPr>
          <w:rFonts w:ascii="Arial" w:hAnsi="Arial" w:cs="Arial"/>
        </w:rPr>
        <w:t xml:space="preserve"> with 0.534, </w:t>
      </w:r>
      <w:r>
        <w:rPr>
          <w:rFonts w:ascii="Arial" w:hAnsi="Arial" w:cs="Arial"/>
          <w:i/>
          <w:iCs/>
        </w:rPr>
        <w:t>hardworking</w:t>
      </w:r>
      <w:r>
        <w:rPr>
          <w:rFonts w:ascii="Arial" w:hAnsi="Arial" w:cs="Arial"/>
        </w:rPr>
        <w:t xml:space="preserve"> with 0.502, </w:t>
      </w:r>
      <w:r>
        <w:rPr>
          <w:rFonts w:ascii="Arial" w:hAnsi="Arial" w:cs="Arial"/>
          <w:i/>
          <w:iCs/>
        </w:rPr>
        <w:t>academic interactions</w:t>
      </w:r>
      <w:r>
        <w:rPr>
          <w:rFonts w:ascii="Arial" w:hAnsi="Arial" w:cs="Arial"/>
        </w:rPr>
        <w:t xml:space="preserve"> with 0.589, and </w:t>
      </w:r>
      <w:r>
        <w:rPr>
          <w:rFonts w:ascii="Arial" w:hAnsi="Arial" w:cs="Arial"/>
          <w:i/>
          <w:iCs/>
        </w:rPr>
        <w:t>home environment</w:t>
      </w:r>
      <w:r>
        <w:rPr>
          <w:rFonts w:ascii="Arial" w:hAnsi="Arial" w:cs="Arial"/>
        </w:rPr>
        <w:t xml:space="preserve"> with 0.327. Furthermore, data revealed that environmental literacy is si</w:t>
      </w:r>
      <w:r>
        <w:rPr>
          <w:rFonts w:ascii="Arial" w:hAnsi="Arial" w:cs="Arial"/>
        </w:rPr>
        <w:t xml:space="preserve">gnificantly correlated with the factors of academic performance since the p-value is less than 0.001 and the indicators revealed the following </w:t>
      </w:r>
      <w:proofErr w:type="spellStart"/>
      <w:r>
        <w:rPr>
          <w:rFonts w:ascii="Arial" w:hAnsi="Arial" w:cs="Arial"/>
        </w:rPr>
        <w:t>r-values</w:t>
      </w:r>
      <w:proofErr w:type="spellEnd"/>
      <w:r>
        <w:rPr>
          <w:rFonts w:ascii="Arial" w:hAnsi="Arial" w:cs="Arial"/>
        </w:rPr>
        <w:t xml:space="preserve">: </w:t>
      </w:r>
      <w:r>
        <w:rPr>
          <w:rFonts w:ascii="Arial" w:hAnsi="Arial" w:cs="Arial"/>
          <w:i/>
          <w:iCs/>
        </w:rPr>
        <w:t xml:space="preserve">attitudes </w:t>
      </w:r>
      <w:r>
        <w:rPr>
          <w:rFonts w:ascii="Arial" w:hAnsi="Arial" w:cs="Arial"/>
        </w:rPr>
        <w:t>with 0.519</w:t>
      </w:r>
      <w:r>
        <w:rPr>
          <w:rFonts w:ascii="Arial" w:hAnsi="Arial" w:cs="Arial"/>
          <w:i/>
          <w:iCs/>
        </w:rPr>
        <w:t xml:space="preserve">, knowledge </w:t>
      </w:r>
      <w:r>
        <w:rPr>
          <w:rFonts w:ascii="Arial" w:hAnsi="Arial" w:cs="Arial"/>
        </w:rPr>
        <w:t>with 0.488</w:t>
      </w:r>
      <w:r>
        <w:rPr>
          <w:rFonts w:ascii="Arial" w:hAnsi="Arial" w:cs="Arial"/>
          <w:i/>
          <w:iCs/>
        </w:rPr>
        <w:t xml:space="preserve">, </w:t>
      </w:r>
      <w:r>
        <w:rPr>
          <w:rFonts w:ascii="Arial" w:hAnsi="Arial" w:cs="Arial"/>
        </w:rPr>
        <w:t>and</w:t>
      </w:r>
      <w:r>
        <w:rPr>
          <w:rFonts w:ascii="Arial" w:hAnsi="Arial" w:cs="Arial"/>
          <w:i/>
          <w:iCs/>
        </w:rPr>
        <w:t xml:space="preserve"> behavior </w:t>
      </w:r>
      <w:r>
        <w:rPr>
          <w:rFonts w:ascii="Arial" w:hAnsi="Arial" w:cs="Arial"/>
        </w:rPr>
        <w:t xml:space="preserve">with 0.579. </w:t>
      </w:r>
    </w:p>
    <w:p w14:paraId="72850786" w14:textId="77777777" w:rsidR="00ED1298" w:rsidRDefault="00ED1298">
      <w:pPr>
        <w:jc w:val="both"/>
        <w:rPr>
          <w:rFonts w:ascii="Arial" w:eastAsia="Calibri" w:hAnsi="Arial" w:cs="Arial"/>
          <w:bCs/>
        </w:rPr>
      </w:pPr>
    </w:p>
    <w:p w14:paraId="747E86EE" w14:textId="77777777" w:rsidR="00ED1298" w:rsidRDefault="00E77581">
      <w:pPr>
        <w:jc w:val="both"/>
        <w:rPr>
          <w:rFonts w:ascii="Arial" w:hAnsi="Arial" w:cs="Arial"/>
        </w:rPr>
      </w:pPr>
      <w:r>
        <w:rPr>
          <w:rFonts w:ascii="Arial" w:eastAsia="Calibri" w:hAnsi="Arial" w:cs="Arial"/>
          <w:bCs/>
        </w:rPr>
        <w:t>The study revealed that environm</w:t>
      </w:r>
      <w:r>
        <w:rPr>
          <w:rFonts w:ascii="Arial" w:eastAsia="Calibri" w:hAnsi="Arial" w:cs="Arial"/>
          <w:bCs/>
        </w:rPr>
        <w:t xml:space="preserve">ental literacy positively impacted academic performance by deepening students’ understanding of scientific concepts and improving their critical thinking skills. Previous research </w:t>
      </w:r>
      <w:r>
        <w:rPr>
          <w:rFonts w:ascii="Arial" w:eastAsia="Calibri" w:hAnsi="Arial" w:cs="Arial"/>
          <w:bCs/>
          <w:color w:val="0070C0"/>
        </w:rPr>
        <w:t>(Chen et al., 2020) [52]</w:t>
      </w:r>
      <w:r>
        <w:rPr>
          <w:rFonts w:ascii="Arial" w:eastAsia="Calibri" w:hAnsi="Arial" w:cs="Arial"/>
          <w:bCs/>
        </w:rPr>
        <w:t xml:space="preserve"> also demonstrated a correlation between environment</w:t>
      </w:r>
      <w:r>
        <w:rPr>
          <w:rFonts w:ascii="Arial" w:eastAsia="Calibri" w:hAnsi="Arial" w:cs="Arial"/>
          <w:bCs/>
        </w:rPr>
        <w:t>al literacy and better performance in STEM subjects, emphasizing the interdisciplinary benefits of environmental education. These findings suggested that fostering environmental literacy could enhance academic achievement across various subjects, underscor</w:t>
      </w:r>
      <w:r>
        <w:rPr>
          <w:rFonts w:ascii="Arial" w:eastAsia="Calibri" w:hAnsi="Arial" w:cs="Arial"/>
          <w:bCs/>
        </w:rPr>
        <w:t>ing the importance of integrating environmental education into the curriculum to support holistic student development. Teachers were encouraged to leverage these insights to create strategies that improve both academic and environmental outcomes.</w:t>
      </w:r>
    </w:p>
    <w:p w14:paraId="350B3DFD" w14:textId="77777777" w:rsidR="00ED1298" w:rsidRDefault="00ED1298">
      <w:pPr>
        <w:jc w:val="both"/>
        <w:rPr>
          <w:rFonts w:ascii="Arial" w:hAnsi="Arial" w:cs="Arial"/>
          <w:b/>
          <w:bCs/>
        </w:rPr>
      </w:pPr>
    </w:p>
    <w:p w14:paraId="0B55F18C" w14:textId="77777777" w:rsidR="00ED1298" w:rsidRDefault="00E77581">
      <w:pPr>
        <w:jc w:val="both"/>
        <w:rPr>
          <w:rFonts w:ascii="Arial" w:hAnsi="Arial" w:cs="Arial"/>
          <w:b/>
          <w:bCs/>
        </w:rPr>
      </w:pPr>
      <w:r>
        <w:rPr>
          <w:rFonts w:ascii="Arial" w:hAnsi="Arial" w:cs="Arial"/>
          <w:b/>
          <w:bCs/>
        </w:rPr>
        <w:lastRenderedPageBreak/>
        <w:t>Signific</w:t>
      </w:r>
      <w:r>
        <w:rPr>
          <w:rFonts w:ascii="Arial" w:hAnsi="Arial" w:cs="Arial"/>
          <w:b/>
          <w:bCs/>
        </w:rPr>
        <w:t xml:space="preserve">ant Relationship between Environmental Literacy </w:t>
      </w:r>
    </w:p>
    <w:p w14:paraId="7B204B24" w14:textId="77777777" w:rsidR="00ED1298" w:rsidRDefault="00E77581">
      <w:pPr>
        <w:jc w:val="both"/>
        <w:rPr>
          <w:rFonts w:ascii="Arial" w:hAnsi="Arial" w:cs="Arial"/>
          <w:b/>
          <w:bCs/>
        </w:rPr>
      </w:pPr>
      <w:r>
        <w:rPr>
          <w:rFonts w:ascii="Arial" w:hAnsi="Arial" w:cs="Arial"/>
          <w:b/>
          <w:bCs/>
        </w:rPr>
        <w:t>and Student Engagement</w:t>
      </w:r>
    </w:p>
    <w:p w14:paraId="20EFA8A1" w14:textId="77777777" w:rsidR="00ED1298" w:rsidRDefault="00ED1298">
      <w:pPr>
        <w:jc w:val="both"/>
        <w:rPr>
          <w:rFonts w:ascii="Arial" w:hAnsi="Arial" w:cs="Arial"/>
          <w:b/>
          <w:bCs/>
        </w:rPr>
      </w:pPr>
    </w:p>
    <w:p w14:paraId="2524E867" w14:textId="7764676E" w:rsidR="00ED1298" w:rsidRDefault="00E77581">
      <w:pPr>
        <w:jc w:val="both"/>
        <w:rPr>
          <w:rFonts w:ascii="Arial" w:hAnsi="Arial" w:cs="Arial"/>
        </w:rPr>
      </w:pPr>
      <w:r>
        <w:rPr>
          <w:rFonts w:ascii="Arial" w:hAnsi="Arial" w:cs="Arial"/>
        </w:rPr>
        <w:t>Environmental literacy fosters student engagement in science by connecting learning to real-world issues, promoting hands-on experiences, and empowering students to address environmen</w:t>
      </w:r>
      <w:r>
        <w:rPr>
          <w:rFonts w:ascii="Arial" w:hAnsi="Arial" w:cs="Arial"/>
        </w:rPr>
        <w:t xml:space="preserve">tal challenges. The results presented in Table </w:t>
      </w:r>
      <w:r w:rsidR="00CB2442">
        <w:rPr>
          <w:rFonts w:ascii="Arial" w:hAnsi="Arial" w:cs="Arial"/>
        </w:rPr>
        <w:t>6</w:t>
      </w:r>
      <w:r>
        <w:rPr>
          <w:rFonts w:ascii="Arial" w:hAnsi="Arial" w:cs="Arial"/>
        </w:rPr>
        <w:t xml:space="preserve"> illustrated the significant relationship between measures environmental literacy and student engagement. Based on the results in Table </w:t>
      </w:r>
      <w:r w:rsidR="00CB2442">
        <w:rPr>
          <w:rFonts w:ascii="Arial" w:hAnsi="Arial" w:cs="Arial"/>
        </w:rPr>
        <w:t>6</w:t>
      </w:r>
      <w:r>
        <w:rPr>
          <w:rFonts w:ascii="Arial" w:hAnsi="Arial" w:cs="Arial"/>
        </w:rPr>
        <w:t>, it was evident that the two variables, environmental literacy and stu</w:t>
      </w:r>
      <w:r>
        <w:rPr>
          <w:rFonts w:ascii="Arial" w:hAnsi="Arial" w:cs="Arial"/>
        </w:rPr>
        <w:t>dent engagement is statistically correlated since the p-value is less than 0.001, which is lower than the 0.05 level of significance. Thus, the null hypothesis of no significant relationship between environmental literacy and student engagement is rejected</w:t>
      </w:r>
      <w:r>
        <w:rPr>
          <w:rFonts w:ascii="Arial" w:hAnsi="Arial" w:cs="Arial"/>
        </w:rPr>
        <w:t>.</w:t>
      </w:r>
    </w:p>
    <w:p w14:paraId="13F48EF0" w14:textId="77777777" w:rsidR="00ED1298" w:rsidRDefault="00ED1298">
      <w:pPr>
        <w:rPr>
          <w:rFonts w:ascii="Arial" w:hAnsi="Arial" w:cs="Arial"/>
          <w:b/>
          <w:bCs/>
        </w:rPr>
      </w:pPr>
    </w:p>
    <w:p w14:paraId="281C46A9" w14:textId="4FA1DCB6" w:rsidR="00ED1298" w:rsidRDefault="00E77581">
      <w:pPr>
        <w:rPr>
          <w:rFonts w:ascii="Arial" w:hAnsi="Arial" w:cs="Arial"/>
        </w:rPr>
      </w:pPr>
      <w:r>
        <w:rPr>
          <w:rFonts w:ascii="Arial" w:hAnsi="Arial" w:cs="Arial"/>
        </w:rPr>
        <w:t xml:space="preserve">Table </w:t>
      </w:r>
      <w:r w:rsidR="00CB2442">
        <w:rPr>
          <w:rFonts w:ascii="Arial" w:hAnsi="Arial" w:cs="Arial"/>
        </w:rPr>
        <w:t>6</w:t>
      </w:r>
      <w:r>
        <w:rPr>
          <w:rFonts w:ascii="Arial" w:hAnsi="Arial" w:cs="Arial"/>
        </w:rPr>
        <w:t>. Significance of the Relationship between Environmental Literacy and Student Engagement</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170"/>
        <w:gridCol w:w="1080"/>
        <w:gridCol w:w="1080"/>
        <w:gridCol w:w="1040"/>
        <w:gridCol w:w="1030"/>
      </w:tblGrid>
      <w:tr w:rsidR="00ED1298" w14:paraId="29ECCD02" w14:textId="77777777">
        <w:trPr>
          <w:trHeight w:val="288"/>
        </w:trPr>
        <w:tc>
          <w:tcPr>
            <w:tcW w:w="3240" w:type="dxa"/>
            <w:vMerge w:val="restart"/>
            <w:tcBorders>
              <w:top w:val="single" w:sz="12" w:space="0" w:color="auto"/>
            </w:tcBorders>
            <w:vAlign w:val="center"/>
          </w:tcPr>
          <w:p w14:paraId="5FCF8115" w14:textId="77777777" w:rsidR="00ED1298" w:rsidRDefault="00E77581">
            <w:pPr>
              <w:jc w:val="center"/>
              <w:rPr>
                <w:rFonts w:ascii="Arial" w:eastAsia="Calibri" w:hAnsi="Arial" w:cs="Arial"/>
                <w:sz w:val="20"/>
                <w:szCs w:val="20"/>
              </w:rPr>
            </w:pPr>
            <w:r>
              <w:rPr>
                <w:rFonts w:ascii="Arial" w:hAnsi="Arial" w:cs="Arial"/>
                <w:sz w:val="20"/>
                <w:szCs w:val="20"/>
              </w:rPr>
              <w:t>Environmental Literacy</w:t>
            </w:r>
          </w:p>
        </w:tc>
        <w:tc>
          <w:tcPr>
            <w:tcW w:w="4370" w:type="dxa"/>
            <w:gridSpan w:val="4"/>
            <w:tcBorders>
              <w:top w:val="single" w:sz="12" w:space="0" w:color="auto"/>
              <w:bottom w:val="single" w:sz="8" w:space="0" w:color="auto"/>
            </w:tcBorders>
            <w:vAlign w:val="center"/>
          </w:tcPr>
          <w:p w14:paraId="3697EB9B" w14:textId="77777777" w:rsidR="00ED1298" w:rsidRDefault="00E77581">
            <w:pPr>
              <w:jc w:val="center"/>
              <w:rPr>
                <w:rFonts w:ascii="Arial" w:eastAsia="Calibri" w:hAnsi="Arial" w:cs="Arial"/>
                <w:sz w:val="20"/>
                <w:szCs w:val="20"/>
              </w:rPr>
            </w:pPr>
            <w:r>
              <w:rPr>
                <w:rFonts w:ascii="Arial" w:eastAsia="Calibri" w:hAnsi="Arial" w:cs="Arial"/>
                <w:sz w:val="20"/>
                <w:szCs w:val="20"/>
              </w:rPr>
              <w:t>Student Engagement</w:t>
            </w:r>
          </w:p>
        </w:tc>
        <w:tc>
          <w:tcPr>
            <w:tcW w:w="1030" w:type="dxa"/>
            <w:vMerge w:val="restart"/>
            <w:tcBorders>
              <w:top w:val="single" w:sz="12" w:space="0" w:color="auto"/>
            </w:tcBorders>
            <w:vAlign w:val="center"/>
          </w:tcPr>
          <w:p w14:paraId="7D365F23" w14:textId="77777777" w:rsidR="00ED1298" w:rsidRDefault="00E77581">
            <w:pPr>
              <w:jc w:val="center"/>
              <w:rPr>
                <w:rFonts w:ascii="Arial" w:eastAsia="Calibri" w:hAnsi="Arial" w:cs="Arial"/>
                <w:sz w:val="20"/>
                <w:szCs w:val="20"/>
              </w:rPr>
            </w:pPr>
            <w:r>
              <w:rPr>
                <w:rFonts w:ascii="Arial" w:eastAsia="Calibri" w:hAnsi="Arial" w:cs="Arial"/>
                <w:sz w:val="20"/>
                <w:szCs w:val="20"/>
              </w:rPr>
              <w:t>Overall</w:t>
            </w:r>
          </w:p>
        </w:tc>
      </w:tr>
      <w:tr w:rsidR="00ED1298" w14:paraId="601A0231" w14:textId="77777777">
        <w:trPr>
          <w:trHeight w:val="288"/>
        </w:trPr>
        <w:tc>
          <w:tcPr>
            <w:tcW w:w="3240" w:type="dxa"/>
            <w:vMerge/>
            <w:tcBorders>
              <w:bottom w:val="single" w:sz="4" w:space="0" w:color="auto"/>
            </w:tcBorders>
            <w:vAlign w:val="center"/>
          </w:tcPr>
          <w:p w14:paraId="7C8192F9" w14:textId="77777777" w:rsidR="00ED1298" w:rsidRDefault="00ED1298">
            <w:pPr>
              <w:jc w:val="center"/>
              <w:rPr>
                <w:rFonts w:ascii="Arial" w:eastAsia="Calibri" w:hAnsi="Arial" w:cs="Arial"/>
                <w:sz w:val="20"/>
                <w:szCs w:val="20"/>
              </w:rPr>
            </w:pPr>
          </w:p>
        </w:tc>
        <w:tc>
          <w:tcPr>
            <w:tcW w:w="1170" w:type="dxa"/>
            <w:tcBorders>
              <w:top w:val="single" w:sz="4" w:space="0" w:color="auto"/>
              <w:bottom w:val="single" w:sz="4" w:space="0" w:color="auto"/>
            </w:tcBorders>
            <w:vAlign w:val="center"/>
          </w:tcPr>
          <w:p w14:paraId="11F06514" w14:textId="77777777" w:rsidR="00ED1298" w:rsidRDefault="00E77581">
            <w:pPr>
              <w:jc w:val="center"/>
              <w:rPr>
                <w:rFonts w:ascii="Arial" w:eastAsia="Calibri" w:hAnsi="Arial" w:cs="Arial"/>
                <w:sz w:val="20"/>
                <w:szCs w:val="20"/>
              </w:rPr>
            </w:pPr>
            <w:r>
              <w:rPr>
                <w:rFonts w:ascii="Arial" w:eastAsia="Calibri" w:hAnsi="Arial" w:cs="Arial"/>
                <w:sz w:val="20"/>
                <w:szCs w:val="20"/>
              </w:rPr>
              <w:t>Cog</w:t>
            </w:r>
          </w:p>
        </w:tc>
        <w:tc>
          <w:tcPr>
            <w:tcW w:w="1080" w:type="dxa"/>
            <w:tcBorders>
              <w:top w:val="single" w:sz="4" w:space="0" w:color="auto"/>
              <w:bottom w:val="single" w:sz="4" w:space="0" w:color="auto"/>
            </w:tcBorders>
            <w:vAlign w:val="center"/>
          </w:tcPr>
          <w:p w14:paraId="4E62653D" w14:textId="77777777" w:rsidR="00ED1298" w:rsidRDefault="00E77581">
            <w:pPr>
              <w:jc w:val="center"/>
              <w:rPr>
                <w:rFonts w:ascii="Arial" w:eastAsia="Calibri" w:hAnsi="Arial" w:cs="Arial"/>
                <w:sz w:val="20"/>
                <w:szCs w:val="20"/>
              </w:rPr>
            </w:pPr>
            <w:proofErr w:type="spellStart"/>
            <w:r>
              <w:rPr>
                <w:rFonts w:ascii="Arial" w:eastAsia="Calibri" w:hAnsi="Arial" w:cs="Arial"/>
                <w:sz w:val="20"/>
                <w:szCs w:val="20"/>
              </w:rPr>
              <w:t>Aff</w:t>
            </w:r>
            <w:proofErr w:type="spellEnd"/>
          </w:p>
        </w:tc>
        <w:tc>
          <w:tcPr>
            <w:tcW w:w="1080" w:type="dxa"/>
            <w:tcBorders>
              <w:top w:val="single" w:sz="4" w:space="0" w:color="auto"/>
              <w:bottom w:val="single" w:sz="4" w:space="0" w:color="auto"/>
            </w:tcBorders>
            <w:vAlign w:val="center"/>
          </w:tcPr>
          <w:p w14:paraId="2FD2BF1C" w14:textId="77777777" w:rsidR="00ED1298" w:rsidRDefault="00E77581">
            <w:pPr>
              <w:jc w:val="center"/>
              <w:rPr>
                <w:rFonts w:ascii="Arial" w:eastAsia="Calibri" w:hAnsi="Arial" w:cs="Arial"/>
                <w:sz w:val="20"/>
                <w:szCs w:val="20"/>
              </w:rPr>
            </w:pPr>
            <w:proofErr w:type="spellStart"/>
            <w:r>
              <w:rPr>
                <w:rFonts w:ascii="Arial" w:eastAsia="Calibri" w:hAnsi="Arial" w:cs="Arial"/>
                <w:sz w:val="20"/>
                <w:szCs w:val="20"/>
              </w:rPr>
              <w:t>Behvl</w:t>
            </w:r>
            <w:proofErr w:type="spellEnd"/>
          </w:p>
        </w:tc>
        <w:tc>
          <w:tcPr>
            <w:tcW w:w="1040" w:type="dxa"/>
            <w:tcBorders>
              <w:top w:val="single" w:sz="4" w:space="0" w:color="auto"/>
              <w:bottom w:val="single" w:sz="4" w:space="0" w:color="auto"/>
            </w:tcBorders>
            <w:vAlign w:val="center"/>
          </w:tcPr>
          <w:p w14:paraId="42FA68DE" w14:textId="77777777" w:rsidR="00ED1298" w:rsidRDefault="00E77581">
            <w:pPr>
              <w:jc w:val="center"/>
              <w:rPr>
                <w:rFonts w:ascii="Arial" w:eastAsia="Calibri" w:hAnsi="Arial" w:cs="Arial"/>
                <w:sz w:val="20"/>
                <w:szCs w:val="20"/>
              </w:rPr>
            </w:pPr>
            <w:r>
              <w:rPr>
                <w:rFonts w:ascii="Arial" w:eastAsia="Calibri" w:hAnsi="Arial" w:cs="Arial"/>
                <w:sz w:val="20"/>
                <w:szCs w:val="20"/>
              </w:rPr>
              <w:t>Age</w:t>
            </w:r>
          </w:p>
        </w:tc>
        <w:tc>
          <w:tcPr>
            <w:tcW w:w="1030" w:type="dxa"/>
            <w:vMerge/>
            <w:tcBorders>
              <w:bottom w:val="single" w:sz="4" w:space="0" w:color="auto"/>
            </w:tcBorders>
          </w:tcPr>
          <w:p w14:paraId="1B95E25E" w14:textId="77777777" w:rsidR="00ED1298" w:rsidRDefault="00ED1298">
            <w:pPr>
              <w:jc w:val="center"/>
              <w:rPr>
                <w:rFonts w:ascii="Arial" w:eastAsia="Calibri" w:hAnsi="Arial" w:cs="Arial"/>
                <w:sz w:val="20"/>
                <w:szCs w:val="20"/>
              </w:rPr>
            </w:pPr>
          </w:p>
        </w:tc>
      </w:tr>
      <w:tr w:rsidR="00ED1298" w14:paraId="4A49D228" w14:textId="77777777">
        <w:trPr>
          <w:trHeight w:val="288"/>
        </w:trPr>
        <w:tc>
          <w:tcPr>
            <w:tcW w:w="3240" w:type="dxa"/>
            <w:vMerge w:val="restart"/>
            <w:tcBorders>
              <w:top w:val="single" w:sz="4" w:space="0" w:color="auto"/>
            </w:tcBorders>
            <w:shd w:val="clear" w:color="auto" w:fill="auto"/>
            <w:vAlign w:val="center"/>
          </w:tcPr>
          <w:p w14:paraId="60D30E08" w14:textId="77777777" w:rsidR="00ED1298" w:rsidRDefault="00E77581">
            <w:pPr>
              <w:rPr>
                <w:rFonts w:ascii="Arial" w:eastAsia="Calibri" w:hAnsi="Arial" w:cs="Arial"/>
                <w:sz w:val="20"/>
                <w:szCs w:val="20"/>
              </w:rPr>
            </w:pPr>
            <w:r>
              <w:rPr>
                <w:rFonts w:ascii="Arial" w:hAnsi="Arial" w:cs="Arial"/>
                <w:sz w:val="20"/>
                <w:szCs w:val="20"/>
              </w:rPr>
              <w:t>Attitudes</w:t>
            </w:r>
          </w:p>
        </w:tc>
        <w:tc>
          <w:tcPr>
            <w:tcW w:w="1170" w:type="dxa"/>
            <w:tcBorders>
              <w:top w:val="single" w:sz="4" w:space="0" w:color="auto"/>
            </w:tcBorders>
            <w:vAlign w:val="bottom"/>
          </w:tcPr>
          <w:p w14:paraId="1BCE28E4" w14:textId="77777777" w:rsidR="00ED1298" w:rsidRDefault="00E77581">
            <w:pPr>
              <w:jc w:val="center"/>
              <w:rPr>
                <w:rFonts w:ascii="Arial" w:eastAsia="Calibri" w:hAnsi="Arial" w:cs="Arial"/>
                <w:sz w:val="20"/>
                <w:szCs w:val="20"/>
              </w:rPr>
            </w:pPr>
            <w:r>
              <w:rPr>
                <w:rFonts w:ascii="Arial" w:eastAsia="Calibri" w:hAnsi="Arial" w:cs="Arial"/>
                <w:sz w:val="20"/>
                <w:szCs w:val="20"/>
              </w:rPr>
              <w:t>0.533**</w:t>
            </w:r>
          </w:p>
        </w:tc>
        <w:tc>
          <w:tcPr>
            <w:tcW w:w="1080" w:type="dxa"/>
            <w:tcBorders>
              <w:top w:val="single" w:sz="4" w:space="0" w:color="auto"/>
            </w:tcBorders>
            <w:vAlign w:val="bottom"/>
          </w:tcPr>
          <w:p w14:paraId="4F038074" w14:textId="77777777" w:rsidR="00ED1298" w:rsidRDefault="00E77581">
            <w:pPr>
              <w:jc w:val="center"/>
              <w:rPr>
                <w:rFonts w:ascii="Arial" w:eastAsia="Calibri" w:hAnsi="Arial" w:cs="Arial"/>
                <w:sz w:val="20"/>
                <w:szCs w:val="20"/>
              </w:rPr>
            </w:pPr>
            <w:r>
              <w:rPr>
                <w:rFonts w:ascii="Arial" w:eastAsia="Calibri" w:hAnsi="Arial" w:cs="Arial"/>
                <w:sz w:val="20"/>
                <w:szCs w:val="20"/>
              </w:rPr>
              <w:t>0.514**</w:t>
            </w:r>
          </w:p>
        </w:tc>
        <w:tc>
          <w:tcPr>
            <w:tcW w:w="1080" w:type="dxa"/>
            <w:tcBorders>
              <w:top w:val="single" w:sz="4" w:space="0" w:color="auto"/>
            </w:tcBorders>
            <w:vAlign w:val="bottom"/>
          </w:tcPr>
          <w:p w14:paraId="5463C2DF" w14:textId="77777777" w:rsidR="00ED1298" w:rsidRDefault="00E77581">
            <w:pPr>
              <w:jc w:val="center"/>
              <w:rPr>
                <w:rFonts w:ascii="Arial" w:eastAsia="Calibri" w:hAnsi="Arial" w:cs="Arial"/>
                <w:sz w:val="20"/>
                <w:szCs w:val="20"/>
              </w:rPr>
            </w:pPr>
            <w:r>
              <w:rPr>
                <w:rFonts w:ascii="Arial" w:eastAsia="Calibri" w:hAnsi="Arial" w:cs="Arial"/>
                <w:sz w:val="20"/>
                <w:szCs w:val="20"/>
              </w:rPr>
              <w:t>0.188**</w:t>
            </w:r>
          </w:p>
        </w:tc>
        <w:tc>
          <w:tcPr>
            <w:tcW w:w="1040" w:type="dxa"/>
            <w:tcBorders>
              <w:top w:val="single" w:sz="4" w:space="0" w:color="auto"/>
            </w:tcBorders>
            <w:vAlign w:val="bottom"/>
          </w:tcPr>
          <w:p w14:paraId="1237D1F6" w14:textId="77777777" w:rsidR="00ED1298" w:rsidRDefault="00E77581">
            <w:pPr>
              <w:jc w:val="center"/>
              <w:rPr>
                <w:rFonts w:ascii="Arial" w:eastAsia="Calibri" w:hAnsi="Arial" w:cs="Arial"/>
                <w:sz w:val="20"/>
                <w:szCs w:val="20"/>
              </w:rPr>
            </w:pPr>
            <w:r>
              <w:rPr>
                <w:rFonts w:ascii="Arial" w:eastAsia="Calibri" w:hAnsi="Arial" w:cs="Arial"/>
                <w:sz w:val="20"/>
                <w:szCs w:val="20"/>
              </w:rPr>
              <w:t>0.482**</w:t>
            </w:r>
          </w:p>
        </w:tc>
        <w:tc>
          <w:tcPr>
            <w:tcW w:w="1030" w:type="dxa"/>
            <w:tcBorders>
              <w:top w:val="single" w:sz="4" w:space="0" w:color="auto"/>
            </w:tcBorders>
            <w:vAlign w:val="bottom"/>
          </w:tcPr>
          <w:p w14:paraId="027E81E5" w14:textId="77777777" w:rsidR="00ED1298" w:rsidRDefault="00E77581">
            <w:pPr>
              <w:jc w:val="center"/>
              <w:rPr>
                <w:rFonts w:ascii="Arial" w:eastAsia="Calibri" w:hAnsi="Arial" w:cs="Arial"/>
                <w:sz w:val="20"/>
                <w:szCs w:val="20"/>
              </w:rPr>
            </w:pPr>
            <w:r>
              <w:rPr>
                <w:rFonts w:ascii="Arial" w:eastAsia="Calibri" w:hAnsi="Arial" w:cs="Arial"/>
                <w:sz w:val="20"/>
                <w:szCs w:val="20"/>
              </w:rPr>
              <w:t>0.489**</w:t>
            </w:r>
          </w:p>
        </w:tc>
      </w:tr>
      <w:tr w:rsidR="00ED1298" w14:paraId="181E9E5F" w14:textId="77777777">
        <w:trPr>
          <w:trHeight w:val="288"/>
        </w:trPr>
        <w:tc>
          <w:tcPr>
            <w:tcW w:w="3240" w:type="dxa"/>
            <w:vMerge/>
            <w:shd w:val="clear" w:color="auto" w:fill="auto"/>
            <w:vAlign w:val="center"/>
          </w:tcPr>
          <w:p w14:paraId="0D102992" w14:textId="77777777" w:rsidR="00ED1298" w:rsidRDefault="00ED1298">
            <w:pPr>
              <w:rPr>
                <w:rFonts w:ascii="Arial" w:hAnsi="Arial" w:cs="Arial"/>
                <w:sz w:val="20"/>
                <w:szCs w:val="20"/>
              </w:rPr>
            </w:pPr>
          </w:p>
        </w:tc>
        <w:tc>
          <w:tcPr>
            <w:tcW w:w="1170" w:type="dxa"/>
          </w:tcPr>
          <w:p w14:paraId="401772C6" w14:textId="77777777" w:rsidR="00ED1298" w:rsidRDefault="00E77581">
            <w:pPr>
              <w:jc w:val="center"/>
              <w:rPr>
                <w:rFonts w:ascii="Arial" w:hAnsi="Arial" w:cs="Arial"/>
                <w:sz w:val="20"/>
                <w:szCs w:val="20"/>
                <w:lang w:eastAsia="en-PH"/>
              </w:rPr>
            </w:pPr>
            <w:r>
              <w:rPr>
                <w:rFonts w:ascii="Arial" w:hAnsi="Arial" w:cs="Arial"/>
                <w:sz w:val="20"/>
                <w:szCs w:val="20"/>
                <w:lang w:eastAsia="en-PH"/>
              </w:rPr>
              <w:t>&lt;.001</w:t>
            </w:r>
          </w:p>
        </w:tc>
        <w:tc>
          <w:tcPr>
            <w:tcW w:w="1080" w:type="dxa"/>
          </w:tcPr>
          <w:p w14:paraId="5E9ADA43" w14:textId="77777777" w:rsidR="00ED1298" w:rsidRDefault="00E77581">
            <w:pPr>
              <w:jc w:val="center"/>
              <w:rPr>
                <w:rFonts w:ascii="Arial" w:hAnsi="Arial" w:cs="Arial"/>
                <w:sz w:val="20"/>
                <w:szCs w:val="20"/>
                <w:lang w:eastAsia="en-PH"/>
              </w:rPr>
            </w:pPr>
            <w:r>
              <w:rPr>
                <w:rFonts w:ascii="Arial" w:hAnsi="Arial" w:cs="Arial"/>
                <w:sz w:val="20"/>
                <w:szCs w:val="20"/>
                <w:lang w:eastAsia="en-PH"/>
              </w:rPr>
              <w:t>&lt;.001</w:t>
            </w:r>
          </w:p>
        </w:tc>
        <w:tc>
          <w:tcPr>
            <w:tcW w:w="1080" w:type="dxa"/>
          </w:tcPr>
          <w:p w14:paraId="75B42F5A"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40" w:type="dxa"/>
          </w:tcPr>
          <w:p w14:paraId="1C8988EF"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30" w:type="dxa"/>
          </w:tcPr>
          <w:p w14:paraId="6356E867" w14:textId="77777777" w:rsidR="00ED1298" w:rsidRDefault="00E77581">
            <w:pPr>
              <w:jc w:val="center"/>
              <w:rPr>
                <w:rFonts w:ascii="Arial" w:eastAsia="Calibri" w:hAnsi="Arial" w:cs="Arial"/>
                <w:sz w:val="20"/>
                <w:szCs w:val="20"/>
              </w:rPr>
            </w:pPr>
            <w:r>
              <w:rPr>
                <w:rFonts w:ascii="Arial" w:hAnsi="Arial" w:cs="Arial"/>
                <w:color w:val="333333"/>
                <w:sz w:val="20"/>
                <w:szCs w:val="20"/>
                <w:lang w:eastAsia="en-PH"/>
              </w:rPr>
              <w:t>&lt;.001</w:t>
            </w:r>
          </w:p>
        </w:tc>
      </w:tr>
      <w:tr w:rsidR="00ED1298" w14:paraId="45FCAB5D" w14:textId="77777777">
        <w:trPr>
          <w:trHeight w:val="288"/>
        </w:trPr>
        <w:tc>
          <w:tcPr>
            <w:tcW w:w="3240" w:type="dxa"/>
            <w:vMerge w:val="restart"/>
            <w:shd w:val="clear" w:color="auto" w:fill="auto"/>
            <w:vAlign w:val="center"/>
          </w:tcPr>
          <w:p w14:paraId="69AE6C04" w14:textId="77777777" w:rsidR="00ED1298" w:rsidRDefault="00E77581">
            <w:pPr>
              <w:rPr>
                <w:rFonts w:ascii="Arial" w:eastAsia="Calibri" w:hAnsi="Arial" w:cs="Arial"/>
                <w:sz w:val="20"/>
                <w:szCs w:val="20"/>
              </w:rPr>
            </w:pPr>
            <w:r>
              <w:rPr>
                <w:rFonts w:ascii="Arial" w:eastAsia="Calibri" w:hAnsi="Arial" w:cs="Arial"/>
                <w:sz w:val="20"/>
                <w:szCs w:val="20"/>
              </w:rPr>
              <w:t>Knowledge</w:t>
            </w:r>
          </w:p>
        </w:tc>
        <w:tc>
          <w:tcPr>
            <w:tcW w:w="1170" w:type="dxa"/>
            <w:vAlign w:val="bottom"/>
          </w:tcPr>
          <w:p w14:paraId="6372B68F" w14:textId="77777777" w:rsidR="00ED1298" w:rsidRDefault="00E77581">
            <w:pPr>
              <w:jc w:val="center"/>
              <w:rPr>
                <w:rFonts w:ascii="Arial" w:eastAsia="Calibri" w:hAnsi="Arial" w:cs="Arial"/>
                <w:sz w:val="20"/>
                <w:szCs w:val="20"/>
              </w:rPr>
            </w:pPr>
            <w:r>
              <w:rPr>
                <w:rFonts w:ascii="Arial" w:eastAsia="Calibri" w:hAnsi="Arial" w:cs="Arial"/>
                <w:sz w:val="20"/>
                <w:szCs w:val="20"/>
              </w:rPr>
              <w:t>0.484**</w:t>
            </w:r>
          </w:p>
        </w:tc>
        <w:tc>
          <w:tcPr>
            <w:tcW w:w="1080" w:type="dxa"/>
            <w:vAlign w:val="bottom"/>
          </w:tcPr>
          <w:p w14:paraId="42D27560" w14:textId="77777777" w:rsidR="00ED1298" w:rsidRDefault="00E77581">
            <w:pPr>
              <w:jc w:val="center"/>
              <w:rPr>
                <w:rFonts w:ascii="Arial" w:eastAsia="Calibri" w:hAnsi="Arial" w:cs="Arial"/>
                <w:sz w:val="20"/>
                <w:szCs w:val="20"/>
              </w:rPr>
            </w:pPr>
            <w:r>
              <w:rPr>
                <w:rFonts w:ascii="Arial" w:eastAsia="Calibri" w:hAnsi="Arial" w:cs="Arial"/>
                <w:sz w:val="20"/>
                <w:szCs w:val="20"/>
              </w:rPr>
              <w:t>0.570**</w:t>
            </w:r>
          </w:p>
        </w:tc>
        <w:tc>
          <w:tcPr>
            <w:tcW w:w="1080" w:type="dxa"/>
            <w:vAlign w:val="bottom"/>
          </w:tcPr>
          <w:p w14:paraId="1EEDAD28" w14:textId="77777777" w:rsidR="00ED1298" w:rsidRDefault="00E77581">
            <w:pPr>
              <w:jc w:val="center"/>
              <w:rPr>
                <w:rFonts w:ascii="Arial" w:eastAsia="Calibri" w:hAnsi="Arial" w:cs="Arial"/>
                <w:sz w:val="20"/>
                <w:szCs w:val="20"/>
              </w:rPr>
            </w:pPr>
            <w:r>
              <w:rPr>
                <w:rFonts w:ascii="Arial" w:eastAsia="Calibri" w:hAnsi="Arial" w:cs="Arial"/>
                <w:sz w:val="20"/>
                <w:szCs w:val="20"/>
              </w:rPr>
              <w:t>0.244**</w:t>
            </w:r>
          </w:p>
        </w:tc>
        <w:tc>
          <w:tcPr>
            <w:tcW w:w="1040" w:type="dxa"/>
            <w:vAlign w:val="bottom"/>
          </w:tcPr>
          <w:p w14:paraId="1F18A3BC" w14:textId="77777777" w:rsidR="00ED1298" w:rsidRDefault="00E77581">
            <w:pPr>
              <w:jc w:val="center"/>
              <w:rPr>
                <w:rFonts w:ascii="Arial" w:eastAsia="Calibri" w:hAnsi="Arial" w:cs="Arial"/>
                <w:sz w:val="20"/>
                <w:szCs w:val="20"/>
              </w:rPr>
            </w:pPr>
            <w:r>
              <w:rPr>
                <w:rFonts w:ascii="Arial" w:eastAsia="Calibri" w:hAnsi="Arial" w:cs="Arial"/>
                <w:sz w:val="20"/>
                <w:szCs w:val="20"/>
              </w:rPr>
              <w:t>0.571**</w:t>
            </w:r>
          </w:p>
        </w:tc>
        <w:tc>
          <w:tcPr>
            <w:tcW w:w="1030" w:type="dxa"/>
            <w:vAlign w:val="bottom"/>
          </w:tcPr>
          <w:p w14:paraId="0F4E32B9" w14:textId="77777777" w:rsidR="00ED1298" w:rsidRDefault="00E77581">
            <w:pPr>
              <w:jc w:val="center"/>
              <w:rPr>
                <w:rFonts w:ascii="Arial" w:eastAsia="Calibri" w:hAnsi="Arial" w:cs="Arial"/>
                <w:sz w:val="20"/>
                <w:szCs w:val="20"/>
              </w:rPr>
            </w:pPr>
            <w:r>
              <w:rPr>
                <w:rFonts w:ascii="Arial" w:eastAsia="Calibri" w:hAnsi="Arial" w:cs="Arial"/>
                <w:sz w:val="20"/>
                <w:szCs w:val="20"/>
              </w:rPr>
              <w:t>0.544**</w:t>
            </w:r>
          </w:p>
        </w:tc>
      </w:tr>
      <w:tr w:rsidR="00ED1298" w14:paraId="43D5636E" w14:textId="77777777">
        <w:trPr>
          <w:trHeight w:val="288"/>
        </w:trPr>
        <w:tc>
          <w:tcPr>
            <w:tcW w:w="3240" w:type="dxa"/>
            <w:vMerge/>
            <w:shd w:val="clear" w:color="auto" w:fill="auto"/>
            <w:vAlign w:val="center"/>
          </w:tcPr>
          <w:p w14:paraId="0946E58E" w14:textId="77777777" w:rsidR="00ED1298" w:rsidRDefault="00ED1298">
            <w:pPr>
              <w:rPr>
                <w:rFonts w:ascii="Arial" w:eastAsia="Calibri" w:hAnsi="Arial" w:cs="Arial"/>
                <w:sz w:val="20"/>
                <w:szCs w:val="20"/>
              </w:rPr>
            </w:pPr>
          </w:p>
        </w:tc>
        <w:tc>
          <w:tcPr>
            <w:tcW w:w="1170" w:type="dxa"/>
          </w:tcPr>
          <w:p w14:paraId="7FE13918"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80" w:type="dxa"/>
          </w:tcPr>
          <w:p w14:paraId="7E585CFA" w14:textId="77777777" w:rsidR="00ED1298" w:rsidRDefault="00E77581">
            <w:pPr>
              <w:jc w:val="center"/>
              <w:rPr>
                <w:rFonts w:ascii="Arial" w:hAnsi="Arial" w:cs="Arial"/>
                <w:sz w:val="20"/>
                <w:szCs w:val="20"/>
                <w:lang w:eastAsia="en-PH"/>
              </w:rPr>
            </w:pPr>
            <w:r>
              <w:rPr>
                <w:rFonts w:ascii="Arial" w:hAnsi="Arial" w:cs="Arial"/>
                <w:sz w:val="20"/>
                <w:szCs w:val="20"/>
                <w:lang w:eastAsia="en-PH"/>
              </w:rPr>
              <w:t>&lt;.001</w:t>
            </w:r>
          </w:p>
        </w:tc>
        <w:tc>
          <w:tcPr>
            <w:tcW w:w="1080" w:type="dxa"/>
          </w:tcPr>
          <w:p w14:paraId="1EF3EE6A"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40" w:type="dxa"/>
          </w:tcPr>
          <w:p w14:paraId="0F0E1B46"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30" w:type="dxa"/>
          </w:tcPr>
          <w:p w14:paraId="2B38F9D6"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r>
      <w:tr w:rsidR="00ED1298" w14:paraId="0746512C" w14:textId="77777777">
        <w:trPr>
          <w:trHeight w:val="288"/>
        </w:trPr>
        <w:tc>
          <w:tcPr>
            <w:tcW w:w="3240" w:type="dxa"/>
            <w:vMerge w:val="restart"/>
            <w:shd w:val="clear" w:color="auto" w:fill="auto"/>
            <w:vAlign w:val="center"/>
          </w:tcPr>
          <w:p w14:paraId="6C5440E2" w14:textId="77777777" w:rsidR="00ED1298" w:rsidRDefault="00E77581">
            <w:pPr>
              <w:rPr>
                <w:rFonts w:ascii="Arial" w:eastAsia="Calibri" w:hAnsi="Arial" w:cs="Arial"/>
                <w:sz w:val="20"/>
                <w:szCs w:val="20"/>
              </w:rPr>
            </w:pPr>
            <w:r>
              <w:rPr>
                <w:rFonts w:ascii="Arial" w:eastAsia="Calibri" w:hAnsi="Arial" w:cs="Arial"/>
                <w:sz w:val="20"/>
                <w:szCs w:val="20"/>
              </w:rPr>
              <w:t>Behavior</w:t>
            </w:r>
          </w:p>
        </w:tc>
        <w:tc>
          <w:tcPr>
            <w:tcW w:w="1170" w:type="dxa"/>
            <w:vAlign w:val="bottom"/>
          </w:tcPr>
          <w:p w14:paraId="774A1AB4" w14:textId="77777777" w:rsidR="00ED1298" w:rsidRDefault="00E77581">
            <w:pPr>
              <w:jc w:val="center"/>
              <w:rPr>
                <w:rFonts w:ascii="Arial" w:eastAsia="Calibri" w:hAnsi="Arial" w:cs="Arial"/>
                <w:sz w:val="20"/>
                <w:szCs w:val="20"/>
              </w:rPr>
            </w:pPr>
            <w:r>
              <w:rPr>
                <w:rFonts w:ascii="Arial" w:eastAsia="Calibri" w:hAnsi="Arial" w:cs="Arial"/>
                <w:sz w:val="20"/>
                <w:szCs w:val="20"/>
              </w:rPr>
              <w:t>0.556**</w:t>
            </w:r>
          </w:p>
        </w:tc>
        <w:tc>
          <w:tcPr>
            <w:tcW w:w="1080" w:type="dxa"/>
            <w:vAlign w:val="bottom"/>
          </w:tcPr>
          <w:p w14:paraId="70EF6E4A" w14:textId="77777777" w:rsidR="00ED1298" w:rsidRDefault="00E77581">
            <w:pPr>
              <w:jc w:val="center"/>
              <w:rPr>
                <w:rFonts w:ascii="Arial" w:eastAsia="Calibri" w:hAnsi="Arial" w:cs="Arial"/>
                <w:sz w:val="20"/>
                <w:szCs w:val="20"/>
              </w:rPr>
            </w:pPr>
            <w:r>
              <w:rPr>
                <w:rFonts w:ascii="Arial" w:eastAsia="Calibri" w:hAnsi="Arial" w:cs="Arial"/>
                <w:sz w:val="20"/>
                <w:szCs w:val="20"/>
              </w:rPr>
              <w:t>0.528**</w:t>
            </w:r>
          </w:p>
        </w:tc>
        <w:tc>
          <w:tcPr>
            <w:tcW w:w="1080" w:type="dxa"/>
            <w:vAlign w:val="bottom"/>
          </w:tcPr>
          <w:p w14:paraId="2C66F350" w14:textId="77777777" w:rsidR="00ED1298" w:rsidRDefault="00E77581">
            <w:pPr>
              <w:jc w:val="center"/>
              <w:rPr>
                <w:rFonts w:ascii="Arial" w:eastAsia="Calibri" w:hAnsi="Arial" w:cs="Arial"/>
                <w:sz w:val="20"/>
                <w:szCs w:val="20"/>
              </w:rPr>
            </w:pPr>
            <w:r>
              <w:rPr>
                <w:rFonts w:ascii="Arial" w:eastAsia="Calibri" w:hAnsi="Arial" w:cs="Arial"/>
                <w:sz w:val="20"/>
                <w:szCs w:val="20"/>
              </w:rPr>
              <w:t>0.247**</w:t>
            </w:r>
          </w:p>
        </w:tc>
        <w:tc>
          <w:tcPr>
            <w:tcW w:w="1040" w:type="dxa"/>
            <w:vAlign w:val="bottom"/>
          </w:tcPr>
          <w:p w14:paraId="0491033B" w14:textId="77777777" w:rsidR="00ED1298" w:rsidRDefault="00E77581">
            <w:pPr>
              <w:jc w:val="center"/>
              <w:rPr>
                <w:rFonts w:ascii="Arial" w:eastAsia="Calibri" w:hAnsi="Arial" w:cs="Arial"/>
                <w:sz w:val="20"/>
                <w:szCs w:val="20"/>
              </w:rPr>
            </w:pPr>
            <w:r>
              <w:rPr>
                <w:rFonts w:ascii="Arial" w:eastAsia="Calibri" w:hAnsi="Arial" w:cs="Arial"/>
                <w:sz w:val="20"/>
                <w:szCs w:val="20"/>
              </w:rPr>
              <w:t>0.509**</w:t>
            </w:r>
          </w:p>
        </w:tc>
        <w:tc>
          <w:tcPr>
            <w:tcW w:w="1030" w:type="dxa"/>
            <w:vAlign w:val="bottom"/>
          </w:tcPr>
          <w:p w14:paraId="4A35A6A1" w14:textId="77777777" w:rsidR="00ED1298" w:rsidRDefault="00E77581">
            <w:pPr>
              <w:jc w:val="center"/>
              <w:rPr>
                <w:rFonts w:ascii="Arial" w:eastAsia="Calibri" w:hAnsi="Arial" w:cs="Arial"/>
                <w:sz w:val="20"/>
                <w:szCs w:val="20"/>
              </w:rPr>
            </w:pPr>
            <w:r>
              <w:rPr>
                <w:rFonts w:ascii="Arial" w:eastAsia="Calibri" w:hAnsi="Arial" w:cs="Arial"/>
                <w:sz w:val="20"/>
                <w:szCs w:val="20"/>
              </w:rPr>
              <w:t>0.533**</w:t>
            </w:r>
          </w:p>
        </w:tc>
      </w:tr>
      <w:tr w:rsidR="00ED1298" w14:paraId="488906FC" w14:textId="77777777">
        <w:trPr>
          <w:trHeight w:val="288"/>
        </w:trPr>
        <w:tc>
          <w:tcPr>
            <w:tcW w:w="3240" w:type="dxa"/>
            <w:vMerge/>
            <w:shd w:val="clear" w:color="auto" w:fill="auto"/>
            <w:vAlign w:val="center"/>
          </w:tcPr>
          <w:p w14:paraId="2FA4C0EE" w14:textId="77777777" w:rsidR="00ED1298" w:rsidRDefault="00ED1298">
            <w:pPr>
              <w:rPr>
                <w:rFonts w:ascii="Arial" w:eastAsia="Calibri" w:hAnsi="Arial" w:cs="Arial"/>
                <w:sz w:val="20"/>
                <w:szCs w:val="20"/>
              </w:rPr>
            </w:pPr>
          </w:p>
        </w:tc>
        <w:tc>
          <w:tcPr>
            <w:tcW w:w="1170" w:type="dxa"/>
          </w:tcPr>
          <w:p w14:paraId="5E8A29EC"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80" w:type="dxa"/>
          </w:tcPr>
          <w:p w14:paraId="75773D2A"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80" w:type="dxa"/>
          </w:tcPr>
          <w:p w14:paraId="7A726CD0"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40" w:type="dxa"/>
          </w:tcPr>
          <w:p w14:paraId="12C571CF"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30" w:type="dxa"/>
          </w:tcPr>
          <w:p w14:paraId="3BABCA9F"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r>
      <w:tr w:rsidR="00ED1298" w14:paraId="57F44CE1" w14:textId="77777777">
        <w:trPr>
          <w:trHeight w:val="288"/>
        </w:trPr>
        <w:tc>
          <w:tcPr>
            <w:tcW w:w="3240" w:type="dxa"/>
            <w:vMerge w:val="restart"/>
            <w:shd w:val="clear" w:color="auto" w:fill="auto"/>
            <w:vAlign w:val="center"/>
          </w:tcPr>
          <w:p w14:paraId="4BDDC77D" w14:textId="77777777" w:rsidR="00ED1298" w:rsidRDefault="00E77581">
            <w:pPr>
              <w:rPr>
                <w:rFonts w:ascii="Arial" w:eastAsia="Calibri" w:hAnsi="Arial" w:cs="Arial"/>
                <w:sz w:val="20"/>
                <w:szCs w:val="20"/>
              </w:rPr>
            </w:pPr>
            <w:r>
              <w:rPr>
                <w:rFonts w:ascii="Arial" w:hAnsi="Arial" w:cs="Arial"/>
                <w:sz w:val="20"/>
                <w:szCs w:val="20"/>
              </w:rPr>
              <w:t>Overall</w:t>
            </w:r>
          </w:p>
        </w:tc>
        <w:tc>
          <w:tcPr>
            <w:tcW w:w="1170" w:type="dxa"/>
            <w:vAlign w:val="bottom"/>
          </w:tcPr>
          <w:p w14:paraId="163AED5D" w14:textId="77777777" w:rsidR="00ED1298" w:rsidRDefault="00E77581">
            <w:pPr>
              <w:jc w:val="center"/>
              <w:rPr>
                <w:rFonts w:ascii="Arial" w:eastAsia="Calibri" w:hAnsi="Arial" w:cs="Arial"/>
                <w:sz w:val="20"/>
                <w:szCs w:val="20"/>
              </w:rPr>
            </w:pPr>
            <w:r>
              <w:rPr>
                <w:rFonts w:ascii="Arial" w:eastAsia="Calibri" w:hAnsi="Arial" w:cs="Arial"/>
                <w:sz w:val="20"/>
                <w:szCs w:val="20"/>
              </w:rPr>
              <w:t>0.582**</w:t>
            </w:r>
          </w:p>
        </w:tc>
        <w:tc>
          <w:tcPr>
            <w:tcW w:w="1080" w:type="dxa"/>
            <w:vAlign w:val="bottom"/>
          </w:tcPr>
          <w:p w14:paraId="6DB0D24A" w14:textId="77777777" w:rsidR="00ED1298" w:rsidRDefault="00E77581">
            <w:pPr>
              <w:jc w:val="center"/>
              <w:rPr>
                <w:rFonts w:ascii="Arial" w:eastAsia="Calibri" w:hAnsi="Arial" w:cs="Arial"/>
                <w:sz w:val="20"/>
                <w:szCs w:val="20"/>
              </w:rPr>
            </w:pPr>
            <w:r>
              <w:rPr>
                <w:rFonts w:ascii="Arial" w:eastAsia="Calibri" w:hAnsi="Arial" w:cs="Arial"/>
                <w:sz w:val="20"/>
                <w:szCs w:val="20"/>
              </w:rPr>
              <w:t>0.659**</w:t>
            </w:r>
          </w:p>
        </w:tc>
        <w:tc>
          <w:tcPr>
            <w:tcW w:w="1080" w:type="dxa"/>
            <w:vAlign w:val="bottom"/>
          </w:tcPr>
          <w:p w14:paraId="338041FE" w14:textId="77777777" w:rsidR="00ED1298" w:rsidRDefault="00E77581">
            <w:pPr>
              <w:jc w:val="center"/>
              <w:rPr>
                <w:rFonts w:ascii="Arial" w:eastAsia="Calibri" w:hAnsi="Arial" w:cs="Arial"/>
                <w:sz w:val="20"/>
                <w:szCs w:val="20"/>
              </w:rPr>
            </w:pPr>
            <w:r>
              <w:rPr>
                <w:rFonts w:ascii="Arial" w:eastAsia="Calibri" w:hAnsi="Arial" w:cs="Arial"/>
                <w:sz w:val="20"/>
                <w:szCs w:val="20"/>
              </w:rPr>
              <w:t>0.228**</w:t>
            </w:r>
          </w:p>
        </w:tc>
        <w:tc>
          <w:tcPr>
            <w:tcW w:w="1040" w:type="dxa"/>
            <w:vAlign w:val="bottom"/>
          </w:tcPr>
          <w:p w14:paraId="5A707055" w14:textId="77777777" w:rsidR="00ED1298" w:rsidRDefault="00E77581">
            <w:pPr>
              <w:jc w:val="center"/>
              <w:rPr>
                <w:rFonts w:ascii="Arial" w:eastAsia="Calibri" w:hAnsi="Arial" w:cs="Arial"/>
                <w:sz w:val="20"/>
                <w:szCs w:val="20"/>
              </w:rPr>
            </w:pPr>
            <w:r>
              <w:rPr>
                <w:rFonts w:ascii="Arial" w:eastAsia="Calibri" w:hAnsi="Arial" w:cs="Arial"/>
                <w:sz w:val="20"/>
                <w:szCs w:val="20"/>
              </w:rPr>
              <w:t>0.586**</w:t>
            </w:r>
          </w:p>
        </w:tc>
        <w:tc>
          <w:tcPr>
            <w:tcW w:w="1030" w:type="dxa"/>
            <w:vAlign w:val="bottom"/>
          </w:tcPr>
          <w:p w14:paraId="26925C86" w14:textId="77777777" w:rsidR="00ED1298" w:rsidRDefault="00E77581">
            <w:pPr>
              <w:jc w:val="center"/>
              <w:rPr>
                <w:rFonts w:ascii="Arial" w:eastAsia="Calibri" w:hAnsi="Arial" w:cs="Arial"/>
                <w:sz w:val="20"/>
                <w:szCs w:val="20"/>
              </w:rPr>
            </w:pPr>
            <w:r>
              <w:rPr>
                <w:rFonts w:ascii="Arial" w:eastAsia="Calibri" w:hAnsi="Arial" w:cs="Arial"/>
                <w:sz w:val="20"/>
                <w:szCs w:val="20"/>
              </w:rPr>
              <w:t>0.588**</w:t>
            </w:r>
          </w:p>
        </w:tc>
      </w:tr>
      <w:tr w:rsidR="00ED1298" w14:paraId="198C1F34" w14:textId="77777777">
        <w:trPr>
          <w:trHeight w:val="288"/>
        </w:trPr>
        <w:tc>
          <w:tcPr>
            <w:tcW w:w="3240" w:type="dxa"/>
            <w:vMerge/>
            <w:tcBorders>
              <w:bottom w:val="single" w:sz="12" w:space="0" w:color="auto"/>
            </w:tcBorders>
            <w:shd w:val="clear" w:color="auto" w:fill="auto"/>
            <w:vAlign w:val="center"/>
          </w:tcPr>
          <w:p w14:paraId="52364986" w14:textId="77777777" w:rsidR="00ED1298" w:rsidRDefault="00ED1298">
            <w:pPr>
              <w:rPr>
                <w:rFonts w:ascii="Arial" w:hAnsi="Arial" w:cs="Arial"/>
                <w:sz w:val="20"/>
                <w:szCs w:val="20"/>
              </w:rPr>
            </w:pPr>
          </w:p>
        </w:tc>
        <w:tc>
          <w:tcPr>
            <w:tcW w:w="1170" w:type="dxa"/>
            <w:tcBorders>
              <w:bottom w:val="single" w:sz="12" w:space="0" w:color="auto"/>
            </w:tcBorders>
          </w:tcPr>
          <w:p w14:paraId="07AF8834"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80" w:type="dxa"/>
            <w:tcBorders>
              <w:bottom w:val="single" w:sz="12" w:space="0" w:color="auto"/>
            </w:tcBorders>
          </w:tcPr>
          <w:p w14:paraId="7408E34B" w14:textId="77777777" w:rsidR="00ED1298" w:rsidRDefault="00E77581">
            <w:pPr>
              <w:jc w:val="center"/>
              <w:rPr>
                <w:rFonts w:ascii="Arial" w:hAnsi="Arial" w:cs="Arial"/>
                <w:sz w:val="20"/>
                <w:szCs w:val="20"/>
                <w:lang w:eastAsia="en-PH"/>
              </w:rPr>
            </w:pPr>
            <w:r>
              <w:rPr>
                <w:rFonts w:ascii="Arial" w:hAnsi="Arial" w:cs="Arial"/>
                <w:sz w:val="20"/>
                <w:szCs w:val="20"/>
                <w:lang w:eastAsia="en-PH"/>
              </w:rPr>
              <w:t>&lt;.001</w:t>
            </w:r>
          </w:p>
        </w:tc>
        <w:tc>
          <w:tcPr>
            <w:tcW w:w="1080" w:type="dxa"/>
            <w:tcBorders>
              <w:bottom w:val="single" w:sz="12" w:space="0" w:color="auto"/>
            </w:tcBorders>
          </w:tcPr>
          <w:p w14:paraId="14049B20"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40" w:type="dxa"/>
            <w:tcBorders>
              <w:bottom w:val="single" w:sz="12" w:space="0" w:color="auto"/>
            </w:tcBorders>
          </w:tcPr>
          <w:p w14:paraId="0FBFDD3D"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c>
          <w:tcPr>
            <w:tcW w:w="1030" w:type="dxa"/>
            <w:tcBorders>
              <w:bottom w:val="single" w:sz="12" w:space="0" w:color="auto"/>
            </w:tcBorders>
          </w:tcPr>
          <w:p w14:paraId="4E9732FE" w14:textId="77777777" w:rsidR="00ED1298" w:rsidRDefault="00E77581">
            <w:pPr>
              <w:jc w:val="center"/>
              <w:rPr>
                <w:rFonts w:ascii="Arial" w:eastAsia="Calibri" w:hAnsi="Arial" w:cs="Arial"/>
                <w:sz w:val="20"/>
                <w:szCs w:val="20"/>
              </w:rPr>
            </w:pPr>
            <w:r>
              <w:rPr>
                <w:rFonts w:ascii="Arial" w:hAnsi="Arial" w:cs="Arial"/>
                <w:sz w:val="20"/>
                <w:szCs w:val="20"/>
                <w:lang w:eastAsia="en-PH"/>
              </w:rPr>
              <w:t>&lt;.001</w:t>
            </w:r>
          </w:p>
        </w:tc>
      </w:tr>
    </w:tbl>
    <w:p w14:paraId="2F95DB11" w14:textId="77777777" w:rsidR="00ED1298" w:rsidRDefault="00E77581">
      <w:pPr>
        <w:tabs>
          <w:tab w:val="left" w:pos="2595"/>
        </w:tabs>
        <w:suppressAutoHyphens/>
        <w:rPr>
          <w:rFonts w:ascii="Arial" w:hAnsi="Arial" w:cs="Arial"/>
          <w:i/>
          <w:iCs/>
          <w:sz w:val="16"/>
          <w:szCs w:val="16"/>
          <w:lang w:eastAsia="ar-SA"/>
        </w:rPr>
      </w:pPr>
      <w:r>
        <w:rPr>
          <w:rFonts w:ascii="Arial" w:hAnsi="Arial" w:cs="Arial"/>
          <w:i/>
          <w:iCs/>
          <w:sz w:val="16"/>
          <w:szCs w:val="16"/>
          <w:lang w:eastAsia="ar-SA"/>
        </w:rPr>
        <w:t>Legend:</w:t>
      </w:r>
    </w:p>
    <w:p w14:paraId="2301F877" w14:textId="77777777" w:rsidR="00ED1298" w:rsidRDefault="00E77581">
      <w:pPr>
        <w:pStyle w:val="Default"/>
        <w:ind w:firstLine="432"/>
        <w:jc w:val="both"/>
        <w:rPr>
          <w:rFonts w:ascii="Arial" w:eastAsia="TimesNewRomanPSMT" w:hAnsi="Arial" w:cs="Arial"/>
          <w:color w:val="auto"/>
          <w:sz w:val="16"/>
          <w:szCs w:val="16"/>
          <w:lang w:eastAsia="zh-CN" w:bidi="ar"/>
        </w:rPr>
      </w:pPr>
      <w:r>
        <w:rPr>
          <w:rFonts w:ascii="Arial" w:eastAsia="Times New Roman" w:hAnsi="Arial" w:cs="Arial"/>
          <w:i/>
          <w:iCs/>
          <w:sz w:val="16"/>
          <w:szCs w:val="16"/>
          <w:lang w:eastAsia="ar-SA"/>
        </w:rPr>
        <w:t>Cog – Cognitive</w:t>
      </w:r>
      <w:r>
        <w:rPr>
          <w:rFonts w:ascii="Arial" w:eastAsia="Times New Roman" w:hAnsi="Arial" w:cs="Arial"/>
          <w:i/>
          <w:iCs/>
          <w:sz w:val="16"/>
          <w:szCs w:val="16"/>
          <w:lang w:eastAsia="ar-SA"/>
        </w:rPr>
        <w:tab/>
      </w:r>
      <w:r>
        <w:rPr>
          <w:rFonts w:ascii="Arial" w:eastAsia="Times New Roman" w:hAnsi="Arial" w:cs="Arial"/>
          <w:i/>
          <w:iCs/>
          <w:sz w:val="16"/>
          <w:szCs w:val="16"/>
          <w:lang w:eastAsia="ar-SA"/>
        </w:rPr>
        <w:tab/>
        <w:t xml:space="preserve"> </w:t>
      </w:r>
      <w:r>
        <w:rPr>
          <w:rFonts w:ascii="Arial" w:eastAsia="Times New Roman" w:hAnsi="Arial" w:cs="Arial"/>
          <w:i/>
          <w:iCs/>
          <w:sz w:val="16"/>
          <w:szCs w:val="16"/>
          <w:lang w:eastAsia="ar-SA"/>
        </w:rPr>
        <w:tab/>
        <w:t xml:space="preserve">             </w:t>
      </w:r>
      <w:r>
        <w:rPr>
          <w:rFonts w:ascii="Arial" w:eastAsia="TimesNewRomanPSMT" w:hAnsi="Arial" w:cs="Arial"/>
          <w:color w:val="auto"/>
          <w:sz w:val="16"/>
          <w:szCs w:val="16"/>
          <w:lang w:eastAsia="zh-CN" w:bidi="ar"/>
        </w:rPr>
        <w:t xml:space="preserve">*p-value &lt; 0.05 – </w:t>
      </w:r>
      <w:proofErr w:type="spellStart"/>
      <w:r>
        <w:rPr>
          <w:rFonts w:ascii="Arial" w:eastAsia="TimesNewRomanPSMT" w:hAnsi="Arial" w:cs="Arial"/>
          <w:color w:val="auto"/>
          <w:sz w:val="16"/>
          <w:szCs w:val="16"/>
          <w:lang w:eastAsia="zh-CN" w:bidi="ar"/>
        </w:rPr>
        <w:t>signficant</w:t>
      </w:r>
      <w:proofErr w:type="spellEnd"/>
    </w:p>
    <w:p w14:paraId="1DA5A62E" w14:textId="77777777" w:rsidR="00ED1298" w:rsidRDefault="00E77581">
      <w:pPr>
        <w:tabs>
          <w:tab w:val="left" w:pos="2595"/>
        </w:tabs>
        <w:suppressAutoHyphens/>
        <w:ind w:firstLine="432"/>
        <w:rPr>
          <w:rFonts w:ascii="Arial" w:hAnsi="Arial" w:cs="Arial"/>
          <w:i/>
          <w:iCs/>
          <w:sz w:val="16"/>
          <w:szCs w:val="16"/>
          <w:lang w:eastAsia="ar-SA"/>
        </w:rPr>
      </w:pPr>
      <w:proofErr w:type="spellStart"/>
      <w:r>
        <w:rPr>
          <w:rFonts w:ascii="Arial" w:hAnsi="Arial" w:cs="Arial"/>
          <w:i/>
          <w:iCs/>
          <w:sz w:val="16"/>
          <w:szCs w:val="16"/>
          <w:lang w:eastAsia="ar-SA"/>
        </w:rPr>
        <w:t>Aff</w:t>
      </w:r>
      <w:proofErr w:type="spellEnd"/>
      <w:r>
        <w:rPr>
          <w:rFonts w:ascii="Arial" w:hAnsi="Arial" w:cs="Arial"/>
          <w:i/>
          <w:iCs/>
          <w:sz w:val="16"/>
          <w:szCs w:val="16"/>
          <w:lang w:eastAsia="ar-SA"/>
        </w:rPr>
        <w:t xml:space="preserve"> – Affective</w:t>
      </w:r>
      <w:r>
        <w:rPr>
          <w:rFonts w:ascii="Arial" w:hAnsi="Arial" w:cs="Arial"/>
          <w:i/>
          <w:iCs/>
          <w:sz w:val="16"/>
          <w:szCs w:val="16"/>
          <w:lang w:eastAsia="ar-SA"/>
        </w:rPr>
        <w:tab/>
      </w:r>
      <w:r>
        <w:rPr>
          <w:rFonts w:ascii="Arial" w:hAnsi="Arial" w:cs="Arial"/>
          <w:i/>
          <w:iCs/>
          <w:sz w:val="16"/>
          <w:szCs w:val="16"/>
          <w:lang w:eastAsia="ar-SA"/>
        </w:rPr>
        <w:tab/>
        <w:t xml:space="preserve">                       </w:t>
      </w:r>
      <w:r>
        <w:rPr>
          <w:rFonts w:ascii="Arial" w:hAnsi="Arial" w:cs="Arial"/>
          <w:i/>
          <w:iCs/>
          <w:sz w:val="16"/>
          <w:szCs w:val="16"/>
          <w:lang w:eastAsia="ar-SA"/>
        </w:rPr>
        <w:tab/>
      </w:r>
      <w:r>
        <w:rPr>
          <w:rFonts w:ascii="Arial" w:eastAsia="Calibri" w:hAnsi="Arial" w:cs="Arial"/>
          <w:bCs/>
          <w:sz w:val="16"/>
          <w:szCs w:val="16"/>
        </w:rPr>
        <w:t>**</w:t>
      </w:r>
      <w:r>
        <w:rPr>
          <w:rFonts w:ascii="Arial" w:hAnsi="Arial" w:cs="Arial"/>
          <w:sz w:val="16"/>
          <w:szCs w:val="16"/>
          <w:lang w:eastAsia="ar-SA"/>
        </w:rPr>
        <w:t>p-value &lt; 0.001 – highly significant</w:t>
      </w:r>
    </w:p>
    <w:p w14:paraId="76E4E7FB" w14:textId="77777777" w:rsidR="00ED1298" w:rsidRDefault="00E77581">
      <w:pPr>
        <w:tabs>
          <w:tab w:val="left" w:pos="2595"/>
        </w:tabs>
        <w:suppressAutoHyphens/>
        <w:rPr>
          <w:rFonts w:ascii="Arial" w:hAnsi="Arial" w:cs="Arial"/>
          <w:i/>
          <w:iCs/>
          <w:sz w:val="16"/>
          <w:szCs w:val="16"/>
          <w:lang w:eastAsia="ar-SA"/>
        </w:rPr>
      </w:pPr>
      <w:r>
        <w:rPr>
          <w:rFonts w:ascii="Arial" w:hAnsi="Arial" w:cs="Arial"/>
          <w:i/>
          <w:iCs/>
          <w:sz w:val="16"/>
          <w:szCs w:val="16"/>
          <w:lang w:eastAsia="ar-SA"/>
        </w:rPr>
        <w:t xml:space="preserve">       </w:t>
      </w:r>
      <w:proofErr w:type="spellStart"/>
      <w:r>
        <w:rPr>
          <w:rFonts w:ascii="Arial" w:hAnsi="Arial" w:cs="Arial"/>
          <w:i/>
          <w:iCs/>
          <w:sz w:val="16"/>
          <w:szCs w:val="16"/>
          <w:lang w:eastAsia="ar-SA"/>
        </w:rPr>
        <w:t>Behvl</w:t>
      </w:r>
      <w:proofErr w:type="spellEnd"/>
      <w:r>
        <w:rPr>
          <w:rFonts w:ascii="Arial" w:hAnsi="Arial" w:cs="Arial"/>
          <w:i/>
          <w:iCs/>
          <w:sz w:val="16"/>
          <w:szCs w:val="16"/>
          <w:lang w:eastAsia="ar-SA"/>
        </w:rPr>
        <w:t xml:space="preserve"> – Behavioral</w:t>
      </w:r>
    </w:p>
    <w:p w14:paraId="46A48E01" w14:textId="77777777" w:rsidR="00ED1298" w:rsidRDefault="00E77581">
      <w:pPr>
        <w:tabs>
          <w:tab w:val="left" w:pos="2595"/>
        </w:tabs>
        <w:suppressAutoHyphens/>
        <w:rPr>
          <w:rFonts w:ascii="Arial" w:hAnsi="Arial" w:cs="Arial"/>
          <w:i/>
          <w:iCs/>
          <w:sz w:val="16"/>
          <w:szCs w:val="16"/>
          <w:lang w:eastAsia="ar-SA"/>
        </w:rPr>
      </w:pPr>
      <w:r>
        <w:rPr>
          <w:rFonts w:ascii="Arial" w:hAnsi="Arial" w:cs="Arial"/>
          <w:i/>
          <w:iCs/>
          <w:sz w:val="16"/>
          <w:szCs w:val="16"/>
          <w:lang w:eastAsia="ar-SA"/>
        </w:rPr>
        <w:t xml:space="preserve">       Age – Agency</w:t>
      </w:r>
    </w:p>
    <w:p w14:paraId="31E8A617" w14:textId="77777777" w:rsidR="00ED1298" w:rsidRDefault="00ED1298">
      <w:pPr>
        <w:tabs>
          <w:tab w:val="left" w:pos="2595"/>
        </w:tabs>
        <w:suppressAutoHyphens/>
        <w:ind w:firstLine="720"/>
        <w:rPr>
          <w:rFonts w:ascii="Arial" w:hAnsi="Arial" w:cs="Arial"/>
          <w:i/>
          <w:iCs/>
          <w:lang w:eastAsia="ar-SA"/>
        </w:rPr>
      </w:pPr>
    </w:p>
    <w:p w14:paraId="45387F25" w14:textId="77777777" w:rsidR="00ED1298" w:rsidRDefault="00E77581">
      <w:pPr>
        <w:jc w:val="both"/>
        <w:rPr>
          <w:rFonts w:ascii="Arial" w:eastAsia="Calibri" w:hAnsi="Arial" w:cs="Arial"/>
          <w:bCs/>
        </w:rPr>
      </w:pPr>
      <w:r>
        <w:rPr>
          <w:rFonts w:ascii="Arial" w:eastAsia="Calibri" w:hAnsi="Arial" w:cs="Arial"/>
          <w:bCs/>
        </w:rPr>
        <w:t>The p-value of less than 0.001 for the indicators of environmental l</w:t>
      </w:r>
      <w:r>
        <w:rPr>
          <w:rFonts w:ascii="Arial" w:eastAsia="Calibri" w:hAnsi="Arial" w:cs="Arial"/>
          <w:bCs/>
        </w:rPr>
        <w:t>iteracy is lower than the 0.05 level of significance,</w:t>
      </w:r>
      <w:r>
        <w:rPr>
          <w:rFonts w:ascii="Arial" w:hAnsi="Arial" w:cs="Arial"/>
        </w:rPr>
        <w:t xml:space="preserve"> </w:t>
      </w:r>
      <w:r>
        <w:rPr>
          <w:rFonts w:ascii="Arial" w:eastAsia="Calibri" w:hAnsi="Arial" w:cs="Arial"/>
          <w:bCs/>
        </w:rPr>
        <w:t xml:space="preserve">indicating that environmental literacy is positively correlated with student engagement in science. Furthermore, the overall </w:t>
      </w:r>
      <w:proofErr w:type="spellStart"/>
      <w:r>
        <w:rPr>
          <w:rFonts w:ascii="Arial" w:eastAsia="Calibri" w:hAnsi="Arial" w:cs="Arial"/>
          <w:bCs/>
        </w:rPr>
        <w:t>r-value</w:t>
      </w:r>
      <w:proofErr w:type="spellEnd"/>
      <w:r>
        <w:rPr>
          <w:rFonts w:ascii="Arial" w:eastAsia="Calibri" w:hAnsi="Arial" w:cs="Arial"/>
          <w:bCs/>
        </w:rPr>
        <w:t xml:space="preserve"> for the indicators—</w:t>
      </w:r>
      <w:r>
        <w:rPr>
          <w:rFonts w:ascii="Arial" w:eastAsia="Calibri" w:hAnsi="Arial" w:cs="Arial"/>
          <w:bCs/>
          <w:i/>
          <w:iCs/>
        </w:rPr>
        <w:t>attitudes</w:t>
      </w:r>
      <w:r>
        <w:rPr>
          <w:rFonts w:ascii="Arial" w:eastAsia="Calibri" w:hAnsi="Arial" w:cs="Arial"/>
          <w:bCs/>
        </w:rPr>
        <w:t xml:space="preserve">, </w:t>
      </w:r>
      <w:r>
        <w:rPr>
          <w:rFonts w:ascii="Arial" w:eastAsia="Calibri" w:hAnsi="Arial" w:cs="Arial"/>
          <w:bCs/>
          <w:i/>
          <w:iCs/>
        </w:rPr>
        <w:t>knowledge</w:t>
      </w:r>
      <w:r>
        <w:rPr>
          <w:rFonts w:ascii="Arial" w:eastAsia="Calibri" w:hAnsi="Arial" w:cs="Arial"/>
          <w:bCs/>
        </w:rPr>
        <w:t xml:space="preserve">, and </w:t>
      </w:r>
      <w:r>
        <w:rPr>
          <w:rFonts w:ascii="Arial" w:eastAsia="Calibri" w:hAnsi="Arial" w:cs="Arial"/>
          <w:bCs/>
          <w:i/>
          <w:iCs/>
        </w:rPr>
        <w:t>behavior</w:t>
      </w:r>
      <w:r>
        <w:rPr>
          <w:rFonts w:ascii="Arial" w:eastAsia="Calibri" w:hAnsi="Arial" w:cs="Arial"/>
          <w:bCs/>
        </w:rPr>
        <w:t>—is 0.489, 0.544</w:t>
      </w:r>
      <w:r>
        <w:rPr>
          <w:rFonts w:ascii="Arial" w:eastAsia="Calibri" w:hAnsi="Arial" w:cs="Arial"/>
          <w:bCs/>
        </w:rPr>
        <w:t xml:space="preserve">, and 0.533, respectively. Also, the data revealed that student engagement is significantly correlated with environmental literacy since the obtained p-value is less than 0.001, and the overall </w:t>
      </w:r>
      <w:proofErr w:type="spellStart"/>
      <w:r>
        <w:rPr>
          <w:rFonts w:ascii="Arial" w:eastAsia="Calibri" w:hAnsi="Arial" w:cs="Arial"/>
          <w:bCs/>
        </w:rPr>
        <w:t>r-value</w:t>
      </w:r>
      <w:proofErr w:type="spellEnd"/>
      <w:r>
        <w:rPr>
          <w:rFonts w:ascii="Arial" w:eastAsia="Calibri" w:hAnsi="Arial" w:cs="Arial"/>
          <w:bCs/>
        </w:rPr>
        <w:t xml:space="preserve"> for the indicators </w:t>
      </w:r>
      <w:r>
        <w:rPr>
          <w:rFonts w:ascii="Arial" w:eastAsia="Calibri" w:hAnsi="Arial" w:cs="Arial"/>
          <w:bCs/>
          <w:i/>
          <w:iCs/>
        </w:rPr>
        <w:t>cognitive</w:t>
      </w:r>
      <w:r>
        <w:rPr>
          <w:rFonts w:ascii="Arial" w:eastAsia="Calibri" w:hAnsi="Arial" w:cs="Arial"/>
          <w:bCs/>
        </w:rPr>
        <w:t xml:space="preserve">, </w:t>
      </w:r>
      <w:r>
        <w:rPr>
          <w:rFonts w:ascii="Arial" w:eastAsia="Calibri" w:hAnsi="Arial" w:cs="Arial"/>
          <w:bCs/>
          <w:i/>
          <w:iCs/>
        </w:rPr>
        <w:t>affective</w:t>
      </w:r>
      <w:r>
        <w:rPr>
          <w:rFonts w:ascii="Arial" w:eastAsia="Calibri" w:hAnsi="Arial" w:cs="Arial"/>
          <w:bCs/>
        </w:rPr>
        <w:t xml:space="preserve">, </w:t>
      </w:r>
      <w:r>
        <w:rPr>
          <w:rFonts w:ascii="Arial" w:eastAsia="Calibri" w:hAnsi="Arial" w:cs="Arial"/>
          <w:bCs/>
          <w:i/>
          <w:iCs/>
        </w:rPr>
        <w:t>behavioral</w:t>
      </w:r>
      <w:r>
        <w:rPr>
          <w:rFonts w:ascii="Arial" w:eastAsia="Calibri" w:hAnsi="Arial" w:cs="Arial"/>
          <w:bCs/>
        </w:rPr>
        <w:t xml:space="preserve"> and </w:t>
      </w:r>
      <w:r>
        <w:rPr>
          <w:rFonts w:ascii="Arial" w:eastAsia="Calibri" w:hAnsi="Arial" w:cs="Arial"/>
          <w:bCs/>
          <w:i/>
          <w:iCs/>
        </w:rPr>
        <w:t>agency</w:t>
      </w:r>
      <w:r>
        <w:rPr>
          <w:rFonts w:ascii="Arial" w:eastAsia="Calibri" w:hAnsi="Arial" w:cs="Arial"/>
          <w:bCs/>
        </w:rPr>
        <w:t xml:space="preserve"> is 0.582, 0.659, 0.228, and 0.586, respectively. The correlation between measures of environmental literacy and student engagement revealed a significant relationship. </w:t>
      </w:r>
    </w:p>
    <w:p w14:paraId="23729086" w14:textId="77777777" w:rsidR="00ED1298" w:rsidRDefault="00ED1298">
      <w:pPr>
        <w:jc w:val="both"/>
        <w:rPr>
          <w:rFonts w:ascii="Arial" w:eastAsia="Calibri" w:hAnsi="Arial" w:cs="Arial"/>
          <w:bCs/>
        </w:rPr>
      </w:pPr>
    </w:p>
    <w:p w14:paraId="7D1F3599" w14:textId="77777777" w:rsidR="00ED1298" w:rsidRDefault="00E77581">
      <w:pPr>
        <w:jc w:val="both"/>
        <w:rPr>
          <w:rFonts w:ascii="Arial" w:eastAsia="Calibri" w:hAnsi="Arial" w:cs="Arial"/>
          <w:bCs/>
        </w:rPr>
      </w:pPr>
      <w:r>
        <w:rPr>
          <w:rFonts w:ascii="Arial" w:eastAsia="Calibri" w:hAnsi="Arial" w:cs="Arial"/>
          <w:bCs/>
        </w:rPr>
        <w:t>This result examined the connection between environmental literacy and stu</w:t>
      </w:r>
      <w:r>
        <w:rPr>
          <w:rFonts w:ascii="Arial" w:eastAsia="Calibri" w:hAnsi="Arial" w:cs="Arial"/>
          <w:bCs/>
        </w:rPr>
        <w:t>dent engagement using the socio-ecological systems (SES) framework. The SES framework highlighted the complexity of human-environment interactions and supported an interdisciplinary, systems-based approach to addressing environmental challenges. Environmen</w:t>
      </w:r>
      <w:r>
        <w:rPr>
          <w:rFonts w:ascii="Arial" w:eastAsia="Calibri" w:hAnsi="Arial" w:cs="Arial"/>
          <w:bCs/>
        </w:rPr>
        <w:t>tal literacy, as outlined by this framework, involved understanding the interconnections among social, economic, and ecological systems and the effects of human activities on these systems. Previous research demonstrated a positive correlation between envi</w:t>
      </w:r>
      <w:r>
        <w:rPr>
          <w:rFonts w:ascii="Arial" w:eastAsia="Calibri" w:hAnsi="Arial" w:cs="Arial"/>
          <w:bCs/>
        </w:rPr>
        <w:t xml:space="preserve">ronmental literacy and student engagement, showing that students with a strong grasp of socio-ecological systems were more likely to engage in science and environmental problem-solving </w:t>
      </w:r>
      <w:r>
        <w:rPr>
          <w:rFonts w:ascii="Arial" w:eastAsia="Calibri" w:hAnsi="Arial" w:cs="Arial"/>
          <w:bCs/>
          <w:color w:val="0070C0"/>
        </w:rPr>
        <w:t>(</w:t>
      </w:r>
      <w:proofErr w:type="spellStart"/>
      <w:r>
        <w:rPr>
          <w:rFonts w:ascii="Arial" w:eastAsia="Calibri" w:hAnsi="Arial" w:cs="Arial"/>
          <w:bCs/>
          <w:color w:val="0070C0"/>
        </w:rPr>
        <w:t>Manyani</w:t>
      </w:r>
      <w:proofErr w:type="spellEnd"/>
      <w:r>
        <w:rPr>
          <w:rFonts w:ascii="Arial" w:eastAsia="Calibri" w:hAnsi="Arial" w:cs="Arial"/>
          <w:bCs/>
          <w:color w:val="0070C0"/>
        </w:rPr>
        <w:t xml:space="preserve"> et al., 2024) [53]</w:t>
      </w:r>
      <w:r>
        <w:rPr>
          <w:rFonts w:ascii="Arial" w:eastAsia="Calibri" w:hAnsi="Arial" w:cs="Arial"/>
          <w:bCs/>
        </w:rPr>
        <w:t xml:space="preserve">. </w:t>
      </w:r>
    </w:p>
    <w:p w14:paraId="31583561" w14:textId="77777777" w:rsidR="00ED1298" w:rsidRDefault="00ED1298">
      <w:pPr>
        <w:jc w:val="both"/>
        <w:rPr>
          <w:rFonts w:ascii="Arial" w:eastAsia="Calibri" w:hAnsi="Arial" w:cs="Arial"/>
          <w:bCs/>
        </w:rPr>
      </w:pPr>
    </w:p>
    <w:p w14:paraId="20049B63" w14:textId="77777777" w:rsidR="00ED1298" w:rsidRDefault="00E77581">
      <w:pPr>
        <w:jc w:val="both"/>
        <w:rPr>
          <w:rFonts w:ascii="Arial" w:eastAsia="Calibri" w:hAnsi="Arial" w:cs="Arial"/>
          <w:b/>
        </w:rPr>
      </w:pPr>
      <w:r>
        <w:rPr>
          <w:rFonts w:ascii="Arial" w:eastAsia="Calibri" w:hAnsi="Arial" w:cs="Arial"/>
          <w:b/>
        </w:rPr>
        <w:lastRenderedPageBreak/>
        <w:t>Mediation Analysis of the Three Variable</w:t>
      </w:r>
      <w:r>
        <w:rPr>
          <w:rFonts w:ascii="Arial" w:eastAsia="Calibri" w:hAnsi="Arial" w:cs="Arial"/>
          <w:b/>
        </w:rPr>
        <w:t>s</w:t>
      </w:r>
    </w:p>
    <w:p w14:paraId="6BC9F3F0" w14:textId="77777777" w:rsidR="00ED1298" w:rsidRDefault="00ED1298">
      <w:pPr>
        <w:jc w:val="both"/>
        <w:rPr>
          <w:rFonts w:ascii="Arial" w:eastAsia="Calibri" w:hAnsi="Arial" w:cs="Arial"/>
          <w:bCs/>
        </w:rPr>
      </w:pPr>
    </w:p>
    <w:p w14:paraId="3DA02943" w14:textId="1CB4ACCA" w:rsidR="00ED1298" w:rsidRDefault="00E77581">
      <w:pPr>
        <w:jc w:val="both"/>
        <w:rPr>
          <w:rFonts w:ascii="Arial" w:eastAsia="Calibri" w:hAnsi="Arial" w:cs="Arial"/>
          <w:bCs/>
        </w:rPr>
      </w:pPr>
      <w:r>
        <w:rPr>
          <w:rFonts w:ascii="Arial" w:eastAsia="Calibri" w:hAnsi="Arial" w:cs="Arial"/>
          <w:bCs/>
        </w:rPr>
        <w:t xml:space="preserve">The regression analysis result of the variables in the criteria of the presence of a mediating effect of environmental literacy on the relationship between factors of academic performance and student engagement in science was shown in Table </w:t>
      </w:r>
      <w:r w:rsidR="00CB2442">
        <w:rPr>
          <w:rFonts w:ascii="Arial" w:eastAsia="Calibri" w:hAnsi="Arial" w:cs="Arial"/>
          <w:bCs/>
        </w:rPr>
        <w:t>7</w:t>
      </w:r>
      <w:r>
        <w:rPr>
          <w:rFonts w:ascii="Arial" w:eastAsia="Calibri" w:hAnsi="Arial" w:cs="Arial"/>
          <w:bCs/>
        </w:rPr>
        <w:t xml:space="preserve">. Data were analyzed with the linear regression method as input to the med graph. Mediation analysis developed by </w:t>
      </w:r>
      <w:r>
        <w:rPr>
          <w:rFonts w:ascii="Arial" w:eastAsia="Calibri" w:hAnsi="Arial" w:cs="Arial"/>
          <w:bCs/>
          <w:color w:val="FF0000"/>
        </w:rPr>
        <w:t>Baron and Kenny (1986) [54]</w:t>
      </w:r>
      <w:r>
        <w:rPr>
          <w:rFonts w:ascii="Arial" w:eastAsia="Calibri" w:hAnsi="Arial" w:cs="Arial"/>
          <w:bCs/>
        </w:rPr>
        <w:t xml:space="preserve"> is the mediating effect of a third variable in the relationship between two variables. There were three steps to b</w:t>
      </w:r>
      <w:r>
        <w:rPr>
          <w:rFonts w:ascii="Arial" w:eastAsia="Calibri" w:hAnsi="Arial" w:cs="Arial"/>
          <w:bCs/>
        </w:rPr>
        <w:t xml:space="preserve">e met for a third variable to be acting as a mediator. In Table </w:t>
      </w:r>
      <w:r w:rsidR="00CB2442">
        <w:rPr>
          <w:rFonts w:ascii="Arial" w:eastAsia="Calibri" w:hAnsi="Arial" w:cs="Arial"/>
          <w:bCs/>
        </w:rPr>
        <w:t>7</w:t>
      </w:r>
      <w:r>
        <w:rPr>
          <w:rFonts w:ascii="Arial" w:eastAsia="Calibri" w:hAnsi="Arial" w:cs="Arial"/>
          <w:bCs/>
        </w:rPr>
        <w:t>, these are categorized as Steps 1 to 3. In step 1, factors of academic performance as the independent variable (IV) significantly predicts student engagement, which is the dependent variable</w:t>
      </w:r>
      <w:r>
        <w:rPr>
          <w:rFonts w:ascii="Arial" w:eastAsia="Calibri" w:hAnsi="Arial" w:cs="Arial"/>
          <w:bCs/>
        </w:rPr>
        <w:t xml:space="preserve"> (DV) of the study. In step 2, factors of academic performance significantly predict environmental literacy, the mediating variable (MV). In step 3, environmental literacy significantly predicts student engagement.</w:t>
      </w:r>
      <w:r>
        <w:rPr>
          <w:rFonts w:ascii="Arial" w:hAnsi="Arial" w:cs="Arial"/>
        </w:rPr>
        <w:t xml:space="preserve"> </w:t>
      </w:r>
    </w:p>
    <w:p w14:paraId="445BB88B" w14:textId="77777777" w:rsidR="00ED1298" w:rsidRDefault="00ED1298">
      <w:pPr>
        <w:jc w:val="both"/>
        <w:rPr>
          <w:rFonts w:ascii="Arial" w:eastAsia="Calibri" w:hAnsi="Arial" w:cs="Arial"/>
          <w:b/>
        </w:rPr>
      </w:pPr>
    </w:p>
    <w:p w14:paraId="0DC39819" w14:textId="060AC295" w:rsidR="00ED1298" w:rsidRDefault="00E77581">
      <w:pPr>
        <w:jc w:val="both"/>
        <w:rPr>
          <w:rFonts w:ascii="Arial" w:eastAsia="Calibri" w:hAnsi="Arial" w:cs="Arial"/>
          <w:bCs/>
        </w:rPr>
      </w:pPr>
      <w:r>
        <w:rPr>
          <w:rFonts w:ascii="Arial" w:eastAsia="Calibri" w:hAnsi="Arial" w:cs="Arial"/>
          <w:bCs/>
        </w:rPr>
        <w:t xml:space="preserve">Table </w:t>
      </w:r>
      <w:r w:rsidR="00CB2442">
        <w:rPr>
          <w:rFonts w:ascii="Arial" w:eastAsia="Calibri" w:hAnsi="Arial" w:cs="Arial"/>
          <w:bCs/>
        </w:rPr>
        <w:t>7</w:t>
      </w:r>
      <w:r>
        <w:rPr>
          <w:rFonts w:ascii="Arial" w:eastAsia="Calibri" w:hAnsi="Arial" w:cs="Arial"/>
          <w:bCs/>
        </w:rPr>
        <w:t xml:space="preserve">. Regression Analysis Result of </w:t>
      </w:r>
      <w:r>
        <w:rPr>
          <w:rFonts w:ascii="Arial" w:eastAsia="Calibri" w:hAnsi="Arial" w:cs="Arial"/>
          <w:bCs/>
        </w:rPr>
        <w:t>the Variables in the Criteria of the Presence of Mediating Effect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879"/>
        <w:gridCol w:w="995"/>
        <w:gridCol w:w="901"/>
        <w:gridCol w:w="888"/>
        <w:gridCol w:w="888"/>
        <w:gridCol w:w="871"/>
        <w:gridCol w:w="870"/>
        <w:gridCol w:w="882"/>
      </w:tblGrid>
      <w:tr w:rsidR="00ED1298" w14:paraId="7DE08C7B" w14:textId="77777777">
        <w:tc>
          <w:tcPr>
            <w:tcW w:w="8424" w:type="dxa"/>
            <w:gridSpan w:val="9"/>
          </w:tcPr>
          <w:p w14:paraId="23AEA444" w14:textId="77777777" w:rsidR="00ED1298" w:rsidRDefault="00E77581">
            <w:pPr>
              <w:jc w:val="both"/>
              <w:rPr>
                <w:rFonts w:ascii="Arial" w:eastAsia="Calibri" w:hAnsi="Arial" w:cs="Arial"/>
                <w:bCs/>
                <w:sz w:val="20"/>
                <w:szCs w:val="20"/>
              </w:rPr>
            </w:pPr>
            <w:r>
              <w:rPr>
                <w:rFonts w:ascii="Arial" w:eastAsia="Calibri" w:hAnsi="Arial" w:cs="Arial"/>
                <w:bCs/>
                <w:sz w:val="20"/>
                <w:szCs w:val="20"/>
              </w:rPr>
              <w:t>Indirect and Total Effects</w:t>
            </w:r>
          </w:p>
        </w:tc>
      </w:tr>
      <w:tr w:rsidR="00ED1298" w14:paraId="143B5525" w14:textId="77777777">
        <w:tc>
          <w:tcPr>
            <w:tcW w:w="3785" w:type="dxa"/>
            <w:gridSpan w:val="4"/>
          </w:tcPr>
          <w:p w14:paraId="2A7A4B56" w14:textId="77777777" w:rsidR="00ED1298" w:rsidRDefault="00ED1298">
            <w:pPr>
              <w:jc w:val="both"/>
              <w:rPr>
                <w:rFonts w:ascii="Arial" w:eastAsia="Calibri" w:hAnsi="Arial" w:cs="Arial"/>
                <w:bCs/>
                <w:sz w:val="20"/>
                <w:szCs w:val="20"/>
              </w:rPr>
            </w:pPr>
          </w:p>
        </w:tc>
        <w:tc>
          <w:tcPr>
            <w:tcW w:w="1866" w:type="dxa"/>
            <w:gridSpan w:val="2"/>
          </w:tcPr>
          <w:p w14:paraId="30A8F770" w14:textId="77777777" w:rsidR="00ED1298" w:rsidRDefault="00E77581">
            <w:pPr>
              <w:jc w:val="both"/>
              <w:rPr>
                <w:rFonts w:ascii="Arial" w:eastAsia="Calibri" w:hAnsi="Arial" w:cs="Arial"/>
                <w:bCs/>
                <w:sz w:val="20"/>
                <w:szCs w:val="20"/>
              </w:rPr>
            </w:pPr>
            <w:r>
              <w:rPr>
                <w:rFonts w:ascii="Arial" w:eastAsia="Calibri" w:hAnsi="Arial" w:cs="Arial"/>
                <w:bCs/>
                <w:sz w:val="20"/>
                <w:szCs w:val="20"/>
              </w:rPr>
              <w:t>95% C.I. (a)</w:t>
            </w:r>
          </w:p>
        </w:tc>
        <w:tc>
          <w:tcPr>
            <w:tcW w:w="2773" w:type="dxa"/>
            <w:gridSpan w:val="3"/>
          </w:tcPr>
          <w:p w14:paraId="5D294B51" w14:textId="77777777" w:rsidR="00ED1298" w:rsidRDefault="00ED1298">
            <w:pPr>
              <w:jc w:val="both"/>
              <w:rPr>
                <w:rFonts w:ascii="Arial" w:eastAsia="Calibri" w:hAnsi="Arial" w:cs="Arial"/>
                <w:bCs/>
                <w:sz w:val="20"/>
                <w:szCs w:val="20"/>
              </w:rPr>
            </w:pPr>
          </w:p>
        </w:tc>
      </w:tr>
      <w:tr w:rsidR="00ED1298" w14:paraId="1E1AFCC5" w14:textId="77777777">
        <w:tc>
          <w:tcPr>
            <w:tcW w:w="931" w:type="dxa"/>
          </w:tcPr>
          <w:p w14:paraId="433E237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Type</w:t>
            </w:r>
          </w:p>
        </w:tc>
        <w:tc>
          <w:tcPr>
            <w:tcW w:w="932" w:type="dxa"/>
          </w:tcPr>
          <w:p w14:paraId="41E265F7"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Effect</w:t>
            </w:r>
          </w:p>
        </w:tc>
        <w:tc>
          <w:tcPr>
            <w:tcW w:w="995" w:type="dxa"/>
          </w:tcPr>
          <w:p w14:paraId="256E8C4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Estimate</w:t>
            </w:r>
          </w:p>
        </w:tc>
        <w:tc>
          <w:tcPr>
            <w:tcW w:w="927" w:type="dxa"/>
          </w:tcPr>
          <w:p w14:paraId="1D072CB9"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SE</w:t>
            </w:r>
          </w:p>
        </w:tc>
        <w:tc>
          <w:tcPr>
            <w:tcW w:w="933" w:type="dxa"/>
          </w:tcPr>
          <w:p w14:paraId="374B74E6"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Lower</w:t>
            </w:r>
          </w:p>
        </w:tc>
        <w:tc>
          <w:tcPr>
            <w:tcW w:w="933" w:type="dxa"/>
          </w:tcPr>
          <w:p w14:paraId="64D05E2A"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Upper</w:t>
            </w:r>
          </w:p>
        </w:tc>
        <w:tc>
          <w:tcPr>
            <w:tcW w:w="925" w:type="dxa"/>
          </w:tcPr>
          <w:p w14:paraId="28B95D75"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β</w:t>
            </w:r>
          </w:p>
        </w:tc>
        <w:tc>
          <w:tcPr>
            <w:tcW w:w="924" w:type="dxa"/>
          </w:tcPr>
          <w:p w14:paraId="6A431011"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z</w:t>
            </w:r>
          </w:p>
        </w:tc>
        <w:tc>
          <w:tcPr>
            <w:tcW w:w="924" w:type="dxa"/>
          </w:tcPr>
          <w:p w14:paraId="29CC4FB8"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p</w:t>
            </w:r>
          </w:p>
        </w:tc>
      </w:tr>
      <w:tr w:rsidR="00ED1298" w14:paraId="4AACA4A8" w14:textId="77777777">
        <w:tc>
          <w:tcPr>
            <w:tcW w:w="931" w:type="dxa"/>
          </w:tcPr>
          <w:p w14:paraId="0C5FCA84" w14:textId="77777777" w:rsidR="00ED1298" w:rsidRDefault="00E77581">
            <w:pPr>
              <w:jc w:val="both"/>
              <w:rPr>
                <w:rFonts w:ascii="Arial" w:eastAsia="Calibri" w:hAnsi="Arial" w:cs="Arial"/>
                <w:bCs/>
                <w:sz w:val="20"/>
                <w:szCs w:val="20"/>
              </w:rPr>
            </w:pPr>
            <w:r>
              <w:rPr>
                <w:rFonts w:ascii="Arial" w:eastAsia="Calibri" w:hAnsi="Arial" w:cs="Arial"/>
                <w:bCs/>
                <w:sz w:val="20"/>
                <w:szCs w:val="20"/>
              </w:rPr>
              <w:t>Indirect</w:t>
            </w:r>
          </w:p>
        </w:tc>
        <w:tc>
          <w:tcPr>
            <w:tcW w:w="932" w:type="dxa"/>
            <w:vAlign w:val="center"/>
          </w:tcPr>
          <w:p w14:paraId="51E8DF3A" w14:textId="77777777" w:rsidR="00ED1298" w:rsidRDefault="00E77581">
            <w:pPr>
              <w:jc w:val="both"/>
              <w:rPr>
                <w:rFonts w:ascii="Arial" w:eastAsia="Calibri" w:hAnsi="Arial" w:cs="Arial"/>
                <w:bCs/>
                <w:sz w:val="20"/>
                <w:szCs w:val="20"/>
              </w:rPr>
            </w:pPr>
            <w:r>
              <w:rPr>
                <w:rFonts w:ascii="Arial" w:hAnsi="Arial" w:cs="Arial"/>
                <w:color w:val="333333"/>
                <w:sz w:val="20"/>
                <w:szCs w:val="20"/>
                <w:lang w:eastAsia="en-PH"/>
              </w:rPr>
              <w:t>FAP ⇒ EL ⇒ SE</w:t>
            </w:r>
          </w:p>
        </w:tc>
        <w:tc>
          <w:tcPr>
            <w:tcW w:w="995" w:type="dxa"/>
            <w:vAlign w:val="center"/>
          </w:tcPr>
          <w:p w14:paraId="6DC89387"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0.243</w:t>
            </w:r>
          </w:p>
        </w:tc>
        <w:tc>
          <w:tcPr>
            <w:tcW w:w="927" w:type="dxa"/>
            <w:vAlign w:val="center"/>
          </w:tcPr>
          <w:p w14:paraId="42D08B9E"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0.0491</w:t>
            </w:r>
          </w:p>
        </w:tc>
        <w:tc>
          <w:tcPr>
            <w:tcW w:w="933" w:type="dxa"/>
            <w:vAlign w:val="center"/>
          </w:tcPr>
          <w:p w14:paraId="558903B0"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0.147</w:t>
            </w:r>
          </w:p>
        </w:tc>
        <w:tc>
          <w:tcPr>
            <w:tcW w:w="933" w:type="dxa"/>
            <w:vAlign w:val="center"/>
          </w:tcPr>
          <w:p w14:paraId="045F683C" w14:textId="77777777" w:rsidR="00ED1298" w:rsidRDefault="00E77581">
            <w:pPr>
              <w:jc w:val="center"/>
              <w:rPr>
                <w:rFonts w:ascii="Arial" w:eastAsia="Calibri" w:hAnsi="Arial" w:cs="Arial"/>
                <w:bCs/>
                <w:sz w:val="20"/>
                <w:szCs w:val="20"/>
              </w:rPr>
            </w:pPr>
            <w:r>
              <w:rPr>
                <w:rFonts w:ascii="Arial" w:eastAsia="Calibri" w:hAnsi="Arial" w:cs="Arial"/>
                <w:bCs/>
                <w:sz w:val="20"/>
                <w:szCs w:val="20"/>
              </w:rPr>
              <w:t>0.339</w:t>
            </w:r>
          </w:p>
        </w:tc>
        <w:tc>
          <w:tcPr>
            <w:tcW w:w="925" w:type="dxa"/>
            <w:vAlign w:val="center"/>
          </w:tcPr>
          <w:p w14:paraId="5B2E6B7C"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0.196</w:t>
            </w:r>
          </w:p>
        </w:tc>
        <w:tc>
          <w:tcPr>
            <w:tcW w:w="924" w:type="dxa"/>
            <w:vAlign w:val="center"/>
          </w:tcPr>
          <w:p w14:paraId="1EDE5BE6"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4.95</w:t>
            </w:r>
          </w:p>
        </w:tc>
        <w:tc>
          <w:tcPr>
            <w:tcW w:w="924" w:type="dxa"/>
            <w:vAlign w:val="center"/>
          </w:tcPr>
          <w:p w14:paraId="537856F4"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&lt; .001</w:t>
            </w:r>
          </w:p>
        </w:tc>
      </w:tr>
      <w:tr w:rsidR="00ED1298" w14:paraId="082E6AFA" w14:textId="77777777">
        <w:tc>
          <w:tcPr>
            <w:tcW w:w="931" w:type="dxa"/>
          </w:tcPr>
          <w:p w14:paraId="5C35AEF3" w14:textId="77777777" w:rsidR="00ED1298" w:rsidRDefault="00E77581">
            <w:pPr>
              <w:jc w:val="both"/>
              <w:rPr>
                <w:rFonts w:ascii="Arial" w:eastAsia="Calibri" w:hAnsi="Arial" w:cs="Arial"/>
                <w:bCs/>
                <w:sz w:val="20"/>
                <w:szCs w:val="20"/>
              </w:rPr>
            </w:pPr>
            <w:r>
              <w:rPr>
                <w:rFonts w:ascii="Arial" w:eastAsia="Calibri" w:hAnsi="Arial" w:cs="Arial"/>
                <w:bCs/>
                <w:sz w:val="20"/>
                <w:szCs w:val="20"/>
              </w:rPr>
              <w:t>Component</w:t>
            </w:r>
          </w:p>
        </w:tc>
        <w:tc>
          <w:tcPr>
            <w:tcW w:w="932" w:type="dxa"/>
            <w:vAlign w:val="center"/>
          </w:tcPr>
          <w:p w14:paraId="12858C07" w14:textId="77777777" w:rsidR="00ED1298" w:rsidRDefault="00E77581">
            <w:pPr>
              <w:jc w:val="both"/>
              <w:rPr>
                <w:rFonts w:ascii="Arial" w:eastAsia="Calibri" w:hAnsi="Arial" w:cs="Arial"/>
                <w:bCs/>
                <w:sz w:val="20"/>
                <w:szCs w:val="20"/>
              </w:rPr>
            </w:pPr>
            <w:r>
              <w:rPr>
                <w:rFonts w:ascii="Arial" w:hAnsi="Arial" w:cs="Arial"/>
                <w:color w:val="333333"/>
                <w:sz w:val="20"/>
                <w:szCs w:val="20"/>
                <w:lang w:eastAsia="en-PH"/>
              </w:rPr>
              <w:t>FAP ⇒ EL</w:t>
            </w:r>
          </w:p>
        </w:tc>
        <w:tc>
          <w:tcPr>
            <w:tcW w:w="995" w:type="dxa"/>
            <w:vAlign w:val="center"/>
          </w:tcPr>
          <w:p w14:paraId="2859A3AA"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0.467</w:t>
            </w:r>
          </w:p>
        </w:tc>
        <w:tc>
          <w:tcPr>
            <w:tcW w:w="927" w:type="dxa"/>
            <w:vAlign w:val="center"/>
          </w:tcPr>
          <w:p w14:paraId="11E8704D"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0.0376</w:t>
            </w:r>
          </w:p>
        </w:tc>
        <w:tc>
          <w:tcPr>
            <w:tcW w:w="933" w:type="dxa"/>
            <w:vAlign w:val="center"/>
          </w:tcPr>
          <w:p w14:paraId="1D28EEA6"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0.393</w:t>
            </w:r>
          </w:p>
        </w:tc>
        <w:tc>
          <w:tcPr>
            <w:tcW w:w="933" w:type="dxa"/>
            <w:vAlign w:val="center"/>
          </w:tcPr>
          <w:p w14:paraId="46582461"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0.541</w:t>
            </w:r>
          </w:p>
        </w:tc>
        <w:tc>
          <w:tcPr>
            <w:tcW w:w="925" w:type="dxa"/>
            <w:vAlign w:val="center"/>
          </w:tcPr>
          <w:p w14:paraId="3E78816B"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0.609</w:t>
            </w:r>
          </w:p>
        </w:tc>
        <w:tc>
          <w:tcPr>
            <w:tcW w:w="924" w:type="dxa"/>
            <w:vAlign w:val="center"/>
          </w:tcPr>
          <w:p w14:paraId="3009BA17"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12.42</w:t>
            </w:r>
          </w:p>
        </w:tc>
        <w:tc>
          <w:tcPr>
            <w:tcW w:w="924" w:type="dxa"/>
            <w:vAlign w:val="center"/>
          </w:tcPr>
          <w:p w14:paraId="0034E47E"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&lt; .001</w:t>
            </w:r>
          </w:p>
        </w:tc>
      </w:tr>
      <w:tr w:rsidR="00ED1298" w14:paraId="4A4F98EF" w14:textId="77777777">
        <w:tc>
          <w:tcPr>
            <w:tcW w:w="931" w:type="dxa"/>
          </w:tcPr>
          <w:p w14:paraId="77CAAAF2" w14:textId="77777777" w:rsidR="00ED1298" w:rsidRDefault="00ED1298">
            <w:pPr>
              <w:jc w:val="both"/>
              <w:rPr>
                <w:rFonts w:ascii="Arial" w:eastAsia="Calibri" w:hAnsi="Arial" w:cs="Arial"/>
                <w:bCs/>
                <w:sz w:val="20"/>
                <w:szCs w:val="20"/>
              </w:rPr>
            </w:pPr>
          </w:p>
        </w:tc>
        <w:tc>
          <w:tcPr>
            <w:tcW w:w="932" w:type="dxa"/>
            <w:vAlign w:val="center"/>
          </w:tcPr>
          <w:p w14:paraId="350D01FD" w14:textId="77777777" w:rsidR="00ED1298" w:rsidRDefault="00E77581">
            <w:pPr>
              <w:jc w:val="both"/>
              <w:rPr>
                <w:rFonts w:ascii="Arial" w:hAnsi="Arial" w:cs="Arial"/>
                <w:color w:val="333333"/>
                <w:sz w:val="20"/>
                <w:szCs w:val="20"/>
                <w:lang w:eastAsia="en-PH"/>
              </w:rPr>
            </w:pPr>
            <w:r>
              <w:rPr>
                <w:rFonts w:ascii="Arial" w:hAnsi="Arial" w:cs="Arial"/>
                <w:color w:val="333333"/>
                <w:sz w:val="20"/>
                <w:szCs w:val="20"/>
                <w:lang w:eastAsia="en-PH"/>
              </w:rPr>
              <w:t>EL ⇒ SE</w:t>
            </w:r>
          </w:p>
        </w:tc>
        <w:tc>
          <w:tcPr>
            <w:tcW w:w="995" w:type="dxa"/>
            <w:vAlign w:val="center"/>
          </w:tcPr>
          <w:p w14:paraId="4F1209D2"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0.520</w:t>
            </w:r>
          </w:p>
        </w:tc>
        <w:tc>
          <w:tcPr>
            <w:tcW w:w="927" w:type="dxa"/>
            <w:vAlign w:val="center"/>
          </w:tcPr>
          <w:p w14:paraId="020F9F00"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0.0965</w:t>
            </w:r>
          </w:p>
        </w:tc>
        <w:tc>
          <w:tcPr>
            <w:tcW w:w="933" w:type="dxa"/>
            <w:vAlign w:val="center"/>
          </w:tcPr>
          <w:p w14:paraId="2C537115"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0.331</w:t>
            </w:r>
          </w:p>
        </w:tc>
        <w:tc>
          <w:tcPr>
            <w:tcW w:w="933" w:type="dxa"/>
            <w:vAlign w:val="center"/>
          </w:tcPr>
          <w:p w14:paraId="1826014F"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0.709</w:t>
            </w:r>
          </w:p>
        </w:tc>
        <w:tc>
          <w:tcPr>
            <w:tcW w:w="925" w:type="dxa"/>
            <w:vAlign w:val="center"/>
          </w:tcPr>
          <w:p w14:paraId="050CF38B"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0.322</w:t>
            </w:r>
          </w:p>
        </w:tc>
        <w:tc>
          <w:tcPr>
            <w:tcW w:w="924" w:type="dxa"/>
            <w:vAlign w:val="center"/>
          </w:tcPr>
          <w:p w14:paraId="5CE7C5AE"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5.39</w:t>
            </w:r>
          </w:p>
        </w:tc>
        <w:tc>
          <w:tcPr>
            <w:tcW w:w="924" w:type="dxa"/>
            <w:vAlign w:val="center"/>
          </w:tcPr>
          <w:p w14:paraId="4297882A"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&lt; .001</w:t>
            </w:r>
          </w:p>
        </w:tc>
      </w:tr>
      <w:tr w:rsidR="00ED1298" w14:paraId="00C2EE57" w14:textId="77777777">
        <w:tc>
          <w:tcPr>
            <w:tcW w:w="931" w:type="dxa"/>
          </w:tcPr>
          <w:p w14:paraId="6AAAF551" w14:textId="77777777" w:rsidR="00ED1298" w:rsidRDefault="00E77581">
            <w:pPr>
              <w:jc w:val="both"/>
              <w:rPr>
                <w:rFonts w:ascii="Arial" w:eastAsia="Calibri" w:hAnsi="Arial" w:cs="Arial"/>
                <w:bCs/>
                <w:sz w:val="20"/>
                <w:szCs w:val="20"/>
              </w:rPr>
            </w:pPr>
            <w:r>
              <w:rPr>
                <w:rFonts w:ascii="Arial" w:eastAsia="Calibri" w:hAnsi="Arial" w:cs="Arial"/>
                <w:bCs/>
                <w:sz w:val="20"/>
                <w:szCs w:val="20"/>
              </w:rPr>
              <w:t>Direct</w:t>
            </w:r>
          </w:p>
        </w:tc>
        <w:tc>
          <w:tcPr>
            <w:tcW w:w="932" w:type="dxa"/>
            <w:vAlign w:val="center"/>
          </w:tcPr>
          <w:p w14:paraId="3B92253A" w14:textId="77777777" w:rsidR="00ED1298" w:rsidRDefault="00E77581">
            <w:pPr>
              <w:jc w:val="both"/>
              <w:rPr>
                <w:rFonts w:ascii="Arial" w:eastAsia="Calibri" w:hAnsi="Arial" w:cs="Arial"/>
                <w:bCs/>
                <w:sz w:val="20"/>
                <w:szCs w:val="20"/>
              </w:rPr>
            </w:pPr>
            <w:r>
              <w:rPr>
                <w:rFonts w:ascii="Arial" w:hAnsi="Arial" w:cs="Arial"/>
                <w:color w:val="333333"/>
                <w:sz w:val="20"/>
                <w:szCs w:val="20"/>
                <w:lang w:eastAsia="en-PH"/>
              </w:rPr>
              <w:t>FAP ⇒ SE</w:t>
            </w:r>
          </w:p>
        </w:tc>
        <w:tc>
          <w:tcPr>
            <w:tcW w:w="995" w:type="dxa"/>
            <w:vAlign w:val="center"/>
          </w:tcPr>
          <w:p w14:paraId="70AB051F"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0.485</w:t>
            </w:r>
          </w:p>
        </w:tc>
        <w:tc>
          <w:tcPr>
            <w:tcW w:w="927" w:type="dxa"/>
            <w:vAlign w:val="center"/>
          </w:tcPr>
          <w:p w14:paraId="6BF07B68"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0.0741</w:t>
            </w:r>
          </w:p>
        </w:tc>
        <w:tc>
          <w:tcPr>
            <w:tcW w:w="933" w:type="dxa"/>
            <w:vAlign w:val="center"/>
          </w:tcPr>
          <w:p w14:paraId="03BB3C72"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0.340</w:t>
            </w:r>
          </w:p>
        </w:tc>
        <w:tc>
          <w:tcPr>
            <w:tcW w:w="933" w:type="dxa"/>
            <w:vAlign w:val="center"/>
          </w:tcPr>
          <w:p w14:paraId="410A9809"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0.630</w:t>
            </w:r>
          </w:p>
        </w:tc>
        <w:tc>
          <w:tcPr>
            <w:tcW w:w="925" w:type="dxa"/>
            <w:vAlign w:val="center"/>
          </w:tcPr>
          <w:p w14:paraId="4E777B11"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0.391</w:t>
            </w:r>
          </w:p>
        </w:tc>
        <w:tc>
          <w:tcPr>
            <w:tcW w:w="924" w:type="dxa"/>
            <w:vAlign w:val="center"/>
          </w:tcPr>
          <w:p w14:paraId="58B9274C"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6.55</w:t>
            </w:r>
          </w:p>
        </w:tc>
        <w:tc>
          <w:tcPr>
            <w:tcW w:w="924" w:type="dxa"/>
            <w:vAlign w:val="center"/>
          </w:tcPr>
          <w:p w14:paraId="52256C92"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&lt; .001</w:t>
            </w:r>
          </w:p>
        </w:tc>
      </w:tr>
      <w:tr w:rsidR="00ED1298" w14:paraId="110AD6A9" w14:textId="77777777">
        <w:tc>
          <w:tcPr>
            <w:tcW w:w="931" w:type="dxa"/>
          </w:tcPr>
          <w:p w14:paraId="513E3627" w14:textId="77777777" w:rsidR="00ED1298" w:rsidRDefault="00E77581">
            <w:pPr>
              <w:jc w:val="both"/>
              <w:rPr>
                <w:rFonts w:ascii="Arial" w:eastAsia="Calibri" w:hAnsi="Arial" w:cs="Arial"/>
                <w:bCs/>
                <w:sz w:val="20"/>
                <w:szCs w:val="20"/>
              </w:rPr>
            </w:pPr>
            <w:r>
              <w:rPr>
                <w:rFonts w:ascii="Arial" w:eastAsia="Calibri" w:hAnsi="Arial" w:cs="Arial"/>
                <w:bCs/>
                <w:sz w:val="20"/>
                <w:szCs w:val="20"/>
              </w:rPr>
              <w:t>Total</w:t>
            </w:r>
          </w:p>
        </w:tc>
        <w:tc>
          <w:tcPr>
            <w:tcW w:w="932" w:type="dxa"/>
            <w:vAlign w:val="center"/>
          </w:tcPr>
          <w:p w14:paraId="5AB05900" w14:textId="77777777" w:rsidR="00ED1298" w:rsidRDefault="00E77581">
            <w:pPr>
              <w:jc w:val="both"/>
              <w:rPr>
                <w:rFonts w:ascii="Arial" w:eastAsia="Calibri" w:hAnsi="Arial" w:cs="Arial"/>
                <w:bCs/>
                <w:sz w:val="20"/>
                <w:szCs w:val="20"/>
              </w:rPr>
            </w:pPr>
            <w:r>
              <w:rPr>
                <w:rFonts w:ascii="Arial" w:hAnsi="Arial" w:cs="Arial"/>
                <w:color w:val="333333"/>
                <w:sz w:val="20"/>
                <w:szCs w:val="20"/>
                <w:lang w:eastAsia="en-PH"/>
              </w:rPr>
              <w:t>FAP ⇒ SE</w:t>
            </w:r>
          </w:p>
        </w:tc>
        <w:tc>
          <w:tcPr>
            <w:tcW w:w="995" w:type="dxa"/>
            <w:vAlign w:val="center"/>
          </w:tcPr>
          <w:p w14:paraId="3A532A58"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0.728</w:t>
            </w:r>
          </w:p>
        </w:tc>
        <w:tc>
          <w:tcPr>
            <w:tcW w:w="927" w:type="dxa"/>
            <w:vAlign w:val="center"/>
          </w:tcPr>
          <w:p w14:paraId="238C478A"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0.0620</w:t>
            </w:r>
          </w:p>
        </w:tc>
        <w:tc>
          <w:tcPr>
            <w:tcW w:w="933" w:type="dxa"/>
            <w:vAlign w:val="center"/>
          </w:tcPr>
          <w:p w14:paraId="57A13D3E"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0.606</w:t>
            </w:r>
          </w:p>
        </w:tc>
        <w:tc>
          <w:tcPr>
            <w:tcW w:w="933" w:type="dxa"/>
            <w:vAlign w:val="center"/>
          </w:tcPr>
          <w:p w14:paraId="5FB751A2"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0.849</w:t>
            </w:r>
          </w:p>
        </w:tc>
        <w:tc>
          <w:tcPr>
            <w:tcW w:w="925" w:type="dxa"/>
            <w:vAlign w:val="center"/>
          </w:tcPr>
          <w:p w14:paraId="16C39317"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0.588</w:t>
            </w:r>
          </w:p>
        </w:tc>
        <w:tc>
          <w:tcPr>
            <w:tcW w:w="924" w:type="dxa"/>
            <w:vAlign w:val="center"/>
          </w:tcPr>
          <w:p w14:paraId="67EE87A9" w14:textId="77777777" w:rsidR="00ED1298" w:rsidRDefault="00E77581">
            <w:pPr>
              <w:jc w:val="center"/>
              <w:rPr>
                <w:rFonts w:ascii="Arial" w:hAnsi="Arial" w:cs="Arial"/>
                <w:color w:val="333333"/>
                <w:sz w:val="20"/>
                <w:szCs w:val="20"/>
                <w:lang w:eastAsia="en-PH"/>
              </w:rPr>
            </w:pPr>
            <w:r>
              <w:rPr>
                <w:rFonts w:ascii="Arial" w:hAnsi="Arial" w:cs="Arial"/>
                <w:color w:val="333333"/>
                <w:sz w:val="20"/>
                <w:szCs w:val="20"/>
                <w:lang w:eastAsia="en-PH"/>
              </w:rPr>
              <w:t>11.73</w:t>
            </w:r>
          </w:p>
        </w:tc>
        <w:tc>
          <w:tcPr>
            <w:tcW w:w="924" w:type="dxa"/>
            <w:vAlign w:val="center"/>
          </w:tcPr>
          <w:p w14:paraId="44D741F9" w14:textId="77777777" w:rsidR="00ED1298" w:rsidRDefault="00E77581">
            <w:pPr>
              <w:jc w:val="center"/>
              <w:rPr>
                <w:rFonts w:ascii="Arial" w:eastAsia="Calibri" w:hAnsi="Arial" w:cs="Arial"/>
                <w:bCs/>
                <w:sz w:val="20"/>
                <w:szCs w:val="20"/>
              </w:rPr>
            </w:pPr>
            <w:r>
              <w:rPr>
                <w:rFonts w:ascii="Arial" w:hAnsi="Arial" w:cs="Arial"/>
                <w:color w:val="333333"/>
                <w:sz w:val="20"/>
                <w:szCs w:val="20"/>
                <w:lang w:eastAsia="en-PH"/>
              </w:rPr>
              <w:t>&lt; .001</w:t>
            </w:r>
          </w:p>
        </w:tc>
      </w:tr>
    </w:tbl>
    <w:p w14:paraId="67D9C5C4" w14:textId="77777777" w:rsidR="00ED1298" w:rsidRDefault="00ED1298">
      <w:pPr>
        <w:tabs>
          <w:tab w:val="left" w:pos="2340"/>
        </w:tabs>
        <w:jc w:val="both"/>
        <w:rPr>
          <w:rFonts w:ascii="Arial" w:eastAsia="Calibri" w:hAnsi="Arial" w:cs="Arial"/>
          <w:bCs/>
        </w:rPr>
      </w:pPr>
    </w:p>
    <w:p w14:paraId="2884EF22" w14:textId="77777777" w:rsidR="00ED1298" w:rsidRDefault="00E77581">
      <w:pPr>
        <w:tabs>
          <w:tab w:val="left" w:pos="2340"/>
        </w:tabs>
        <w:jc w:val="both"/>
        <w:rPr>
          <w:rFonts w:ascii="Arial" w:eastAsia="Calibri" w:hAnsi="Arial" w:cs="Arial"/>
          <w:bCs/>
        </w:rPr>
      </w:pPr>
      <w:r>
        <w:rPr>
          <w:rFonts w:ascii="Arial" w:eastAsia="Calibri" w:hAnsi="Arial" w:cs="Arial"/>
          <w:bCs/>
        </w:rPr>
        <w:t xml:space="preserve">Furthermore, because the three steps (paths a, b </w:t>
      </w:r>
      <w:r>
        <w:rPr>
          <w:rFonts w:ascii="Arial" w:eastAsia="Calibri" w:hAnsi="Arial" w:cs="Arial"/>
          <w:bCs/>
        </w:rPr>
        <w:t xml:space="preserve">and c) are significant, further mediation analysis through </w:t>
      </w:r>
      <w:proofErr w:type="spellStart"/>
      <w:r>
        <w:rPr>
          <w:rFonts w:ascii="Arial" w:eastAsia="Calibri" w:hAnsi="Arial" w:cs="Arial"/>
          <w:bCs/>
        </w:rPr>
        <w:t>medgraph</w:t>
      </w:r>
      <w:proofErr w:type="spellEnd"/>
      <w:r>
        <w:rPr>
          <w:rFonts w:ascii="Arial" w:eastAsia="Calibri" w:hAnsi="Arial" w:cs="Arial"/>
          <w:bCs/>
        </w:rPr>
        <w:t xml:space="preserve"> is necessary, including the Sobel z test</w:t>
      </w:r>
      <w:r>
        <w:rPr>
          <w:rFonts w:ascii="Arial" w:hAnsi="Arial" w:cs="Arial"/>
        </w:rPr>
        <w:t xml:space="preserve"> </w:t>
      </w:r>
      <w:r>
        <w:rPr>
          <w:rFonts w:ascii="Arial" w:eastAsia="Calibri" w:hAnsi="Arial" w:cs="Arial"/>
          <w:bCs/>
        </w:rPr>
        <w:t>to assess the significance of mediation effect. To further understand the mediating effect of environmental literacy on the relationship between fa</w:t>
      </w:r>
      <w:r>
        <w:rPr>
          <w:rFonts w:ascii="Arial" w:eastAsia="Calibri" w:hAnsi="Arial" w:cs="Arial"/>
          <w:bCs/>
        </w:rPr>
        <w:t xml:space="preserve">ctors of academic performance and </w:t>
      </w:r>
      <w:bookmarkStart w:id="8" w:name="_Hlk170852451"/>
      <w:r>
        <w:rPr>
          <w:rFonts w:ascii="Arial" w:eastAsia="Calibri" w:hAnsi="Arial" w:cs="Arial"/>
          <w:bCs/>
        </w:rPr>
        <w:t>student engagement</w:t>
      </w:r>
      <w:bookmarkEnd w:id="8"/>
      <w:r>
        <w:rPr>
          <w:rFonts w:ascii="Arial" w:eastAsia="Calibri" w:hAnsi="Arial" w:cs="Arial"/>
          <w:bCs/>
        </w:rPr>
        <w:t>, whether full mediation, partial mediation, or no mediation. If the direct effect of factors of academic performance becomes non-significant</w:t>
      </w:r>
      <w:r>
        <w:rPr>
          <w:rFonts w:ascii="Arial" w:hAnsi="Arial" w:cs="Arial"/>
        </w:rPr>
        <w:t xml:space="preserve"> </w:t>
      </w:r>
      <w:r>
        <w:rPr>
          <w:rFonts w:ascii="Arial" w:eastAsia="Calibri" w:hAnsi="Arial" w:cs="Arial"/>
          <w:bCs/>
        </w:rPr>
        <w:t>when the mediator - environmental literacy, is included in the</w:t>
      </w:r>
      <w:r>
        <w:rPr>
          <w:rFonts w:ascii="Arial" w:eastAsia="Calibri" w:hAnsi="Arial" w:cs="Arial"/>
          <w:bCs/>
        </w:rPr>
        <w:t xml:space="preserve"> model, full mediation will be attained. It means that the mediator variable mediates all the effects. Moreover, partial mediation occurs if the direct effect of factors of academic performance on student engagement remains significant even when the mediat</w:t>
      </w:r>
      <w:r>
        <w:rPr>
          <w:rFonts w:ascii="Arial" w:eastAsia="Calibri" w:hAnsi="Arial" w:cs="Arial"/>
          <w:bCs/>
        </w:rPr>
        <w:t>or is included in the model, indicating that both direct and indirect paths are contributing to the total effect. Given that the direct effect of factors of academic performance on student engagement (B = 0.485, p &lt; .001) remains significant even after acc</w:t>
      </w:r>
      <w:r>
        <w:rPr>
          <w:rFonts w:ascii="Arial" w:eastAsia="Calibri" w:hAnsi="Arial" w:cs="Arial"/>
          <w:bCs/>
        </w:rPr>
        <w:t xml:space="preserve">ounting for the indirect effect through environmental literacy, therefore partial mediation is attained. </w:t>
      </w:r>
    </w:p>
    <w:p w14:paraId="0ED6B9A8" w14:textId="77777777" w:rsidR="00ED1298" w:rsidRDefault="00ED1298">
      <w:pPr>
        <w:tabs>
          <w:tab w:val="left" w:pos="2340"/>
        </w:tabs>
        <w:jc w:val="both"/>
        <w:rPr>
          <w:rFonts w:ascii="Arial" w:eastAsia="Calibri" w:hAnsi="Arial" w:cs="Arial"/>
          <w:bCs/>
        </w:rPr>
      </w:pPr>
    </w:p>
    <w:p w14:paraId="5E9D0E63" w14:textId="77777777" w:rsidR="00ED1298" w:rsidRDefault="00E77581">
      <w:pPr>
        <w:tabs>
          <w:tab w:val="left" w:pos="2340"/>
        </w:tabs>
        <w:jc w:val="both"/>
        <w:rPr>
          <w:rFonts w:ascii="Arial" w:eastAsia="Calibri" w:hAnsi="Arial" w:cs="Arial"/>
          <w:bCs/>
          <w:color w:val="FF0000"/>
        </w:rPr>
      </w:pPr>
      <w:r>
        <w:rPr>
          <w:rFonts w:ascii="Arial" w:eastAsia="Calibri" w:hAnsi="Arial" w:cs="Arial"/>
          <w:bCs/>
        </w:rPr>
        <w:t>Furthermore, Figure 2 reveals the result of the computation of mediating effects. The Sobel test resulted to a z-value of 11.73 with a p-value of 0.0</w:t>
      </w:r>
      <w:r>
        <w:rPr>
          <w:rFonts w:ascii="Arial" w:eastAsia="Calibri" w:hAnsi="Arial" w:cs="Arial"/>
          <w:bCs/>
        </w:rPr>
        <w:t>01, which is significant at 0.05 level. This implies that there is a partial mediating effect, as it is likely that the original direct effect of factors of academic performance on student engagement in science has been reduced upon the addition of environ</w:t>
      </w:r>
      <w:r>
        <w:rPr>
          <w:rFonts w:ascii="Arial" w:eastAsia="Calibri" w:hAnsi="Arial" w:cs="Arial"/>
          <w:bCs/>
        </w:rPr>
        <w:t xml:space="preserve">mental literacy. The Sobel z-value indicates that the addition of environmental literacy reduces the effect of factors of academic performance on student engagement in science. </w:t>
      </w:r>
    </w:p>
    <w:p w14:paraId="4A3DDA2F" w14:textId="77777777" w:rsidR="00ED1298" w:rsidRDefault="00E77581">
      <w:pPr>
        <w:tabs>
          <w:tab w:val="left" w:pos="2340"/>
        </w:tabs>
        <w:ind w:firstLine="720"/>
        <w:jc w:val="both"/>
        <w:rPr>
          <w:rFonts w:ascii="Arial" w:eastAsia="Calibri" w:hAnsi="Arial" w:cs="Arial"/>
          <w:bCs/>
        </w:rPr>
      </w:pPr>
      <w:r>
        <w:rPr>
          <w:rFonts w:ascii="Arial" w:hAnsi="Arial" w:cs="Arial"/>
          <w:noProof/>
          <w:color w:val="333333"/>
        </w:rPr>
        <w:drawing>
          <wp:anchor distT="0" distB="0" distL="114300" distR="114300" simplePos="0" relativeHeight="251672576" behindDoc="1" locked="0" layoutInCell="1" allowOverlap="1" wp14:anchorId="11E50DF7" wp14:editId="494C6E28">
            <wp:simplePos x="0" y="0"/>
            <wp:positionH relativeFrom="margin">
              <wp:posOffset>1525270</wp:posOffset>
            </wp:positionH>
            <wp:positionV relativeFrom="paragraph">
              <wp:posOffset>22860</wp:posOffset>
            </wp:positionV>
            <wp:extent cx="1861185" cy="1450340"/>
            <wp:effectExtent l="0" t="0" r="13335" b="12700"/>
            <wp:wrapNone/>
            <wp:docPr id="78378562"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8562" name="Picture 1" descr="A diagram of a triangle&#10;&#10;Description automatically generated"/>
                    <pic:cNvPicPr>
                      <a:picLocks noChangeAspect="1" noChangeArrowheads="1"/>
                    </pic:cNvPicPr>
                  </pic:nvPicPr>
                  <pic:blipFill>
                    <a:blip r:embed="rId15" cstate="print">
                      <a:extLst>
                        <a:ext uri="{BEBA8EAE-BF5A-486C-A8C5-ECC9F3942E4B}">
                          <a14:imgProps xmlns:a14="http://schemas.microsoft.com/office/drawing/2010/main">
                            <a14:imgLayer r:embed="rId16">
                              <a14:imgEffect>
                                <a14:artisticPhotocopy detail="2"/>
                              </a14:imgEffect>
                              <a14:imgEffect>
                                <a14:saturation sat="0"/>
                              </a14:imgEffect>
                            </a14:imgLayer>
                          </a14:imgProps>
                        </a:ext>
                        <a:ext uri="{28A0092B-C50C-407E-A947-70E740481C1C}">
                          <a14:useLocalDpi xmlns:a14="http://schemas.microsoft.com/office/drawing/2010/main" val="0"/>
                        </a:ext>
                      </a:extLst>
                    </a:blip>
                    <a:srcRect l="9124" t="11689" r="9479" b="11509"/>
                    <a:stretch>
                      <a:fillRect/>
                    </a:stretch>
                  </pic:blipFill>
                  <pic:spPr>
                    <a:xfrm>
                      <a:off x="0" y="0"/>
                      <a:ext cx="1861185" cy="1450340"/>
                    </a:xfrm>
                    <a:prstGeom prst="rect">
                      <a:avLst/>
                    </a:prstGeom>
                    <a:noFill/>
                    <a:ln>
                      <a:noFill/>
                    </a:ln>
                  </pic:spPr>
                </pic:pic>
              </a:graphicData>
            </a:graphic>
          </wp:anchor>
        </w:drawing>
      </w:r>
    </w:p>
    <w:p w14:paraId="41E81E55" w14:textId="77777777" w:rsidR="00ED1298" w:rsidRDefault="00ED1298">
      <w:pPr>
        <w:tabs>
          <w:tab w:val="left" w:pos="2340"/>
        </w:tabs>
        <w:ind w:firstLine="720"/>
        <w:jc w:val="both"/>
        <w:rPr>
          <w:rFonts w:ascii="Arial" w:eastAsia="Calibri" w:hAnsi="Arial" w:cs="Arial"/>
          <w:bCs/>
        </w:rPr>
      </w:pPr>
    </w:p>
    <w:p w14:paraId="00E073E1" w14:textId="77777777" w:rsidR="00ED1298" w:rsidRDefault="00ED1298">
      <w:pPr>
        <w:tabs>
          <w:tab w:val="left" w:pos="2340"/>
        </w:tabs>
        <w:ind w:firstLine="720"/>
        <w:jc w:val="both"/>
        <w:rPr>
          <w:rFonts w:ascii="Arial" w:eastAsia="Calibri" w:hAnsi="Arial" w:cs="Arial"/>
          <w:bCs/>
        </w:rPr>
      </w:pPr>
    </w:p>
    <w:p w14:paraId="3DCA3FC7" w14:textId="77777777" w:rsidR="00ED1298" w:rsidRDefault="00ED1298">
      <w:pPr>
        <w:tabs>
          <w:tab w:val="left" w:pos="2340"/>
        </w:tabs>
        <w:ind w:firstLine="720"/>
        <w:jc w:val="both"/>
        <w:rPr>
          <w:rFonts w:ascii="Arial" w:eastAsia="Calibri" w:hAnsi="Arial" w:cs="Arial"/>
          <w:bCs/>
        </w:rPr>
      </w:pPr>
    </w:p>
    <w:p w14:paraId="12FD8240" w14:textId="77777777" w:rsidR="00ED1298" w:rsidRDefault="00ED1298">
      <w:pPr>
        <w:tabs>
          <w:tab w:val="left" w:pos="2340"/>
        </w:tabs>
        <w:jc w:val="both"/>
        <w:rPr>
          <w:rFonts w:ascii="Arial" w:eastAsia="Calibri" w:hAnsi="Arial" w:cs="Arial"/>
          <w:bCs/>
          <w:i/>
          <w:iCs/>
        </w:rPr>
      </w:pPr>
    </w:p>
    <w:p w14:paraId="227A7EBC" w14:textId="77777777" w:rsidR="00ED1298" w:rsidRDefault="00ED1298">
      <w:pPr>
        <w:tabs>
          <w:tab w:val="left" w:pos="2340"/>
        </w:tabs>
        <w:jc w:val="both"/>
        <w:rPr>
          <w:rFonts w:ascii="Arial" w:eastAsia="Calibri" w:hAnsi="Arial" w:cs="Arial"/>
          <w:bCs/>
          <w:i/>
          <w:iCs/>
        </w:rPr>
      </w:pPr>
    </w:p>
    <w:p w14:paraId="505CAF96" w14:textId="77777777" w:rsidR="00ED1298" w:rsidRDefault="00ED1298">
      <w:pPr>
        <w:tabs>
          <w:tab w:val="left" w:pos="2340"/>
        </w:tabs>
        <w:jc w:val="both"/>
        <w:rPr>
          <w:rFonts w:ascii="Arial" w:eastAsia="Calibri" w:hAnsi="Arial" w:cs="Arial"/>
          <w:bCs/>
          <w:i/>
          <w:iCs/>
        </w:rPr>
      </w:pPr>
    </w:p>
    <w:p w14:paraId="0EC8FDAA" w14:textId="77777777" w:rsidR="00ED1298" w:rsidRDefault="00ED1298">
      <w:pPr>
        <w:tabs>
          <w:tab w:val="left" w:pos="2340"/>
        </w:tabs>
        <w:jc w:val="both"/>
        <w:rPr>
          <w:rFonts w:ascii="Arial" w:eastAsia="Calibri" w:hAnsi="Arial" w:cs="Arial"/>
          <w:bCs/>
          <w:i/>
          <w:iCs/>
        </w:rPr>
      </w:pPr>
    </w:p>
    <w:p w14:paraId="4FB81303" w14:textId="77777777" w:rsidR="00ED1298" w:rsidRDefault="00ED1298">
      <w:pPr>
        <w:tabs>
          <w:tab w:val="left" w:pos="2340"/>
        </w:tabs>
        <w:jc w:val="both"/>
        <w:rPr>
          <w:rFonts w:ascii="Arial" w:eastAsia="Calibri" w:hAnsi="Arial" w:cs="Arial"/>
          <w:bCs/>
          <w:i/>
          <w:iCs/>
        </w:rPr>
      </w:pPr>
    </w:p>
    <w:p w14:paraId="63BE3307" w14:textId="77777777" w:rsidR="00ED1298" w:rsidRDefault="00ED1298">
      <w:pPr>
        <w:tabs>
          <w:tab w:val="left" w:pos="2340"/>
        </w:tabs>
        <w:jc w:val="both"/>
        <w:rPr>
          <w:rFonts w:ascii="Arial" w:eastAsia="Calibri" w:hAnsi="Arial" w:cs="Arial"/>
          <w:bCs/>
          <w:i/>
          <w:iCs/>
        </w:rPr>
      </w:pPr>
    </w:p>
    <w:p w14:paraId="12B884B0" w14:textId="77777777" w:rsidR="00ED1298" w:rsidRDefault="00E77581">
      <w:pPr>
        <w:tabs>
          <w:tab w:val="left" w:pos="2340"/>
        </w:tabs>
        <w:jc w:val="center"/>
        <w:rPr>
          <w:rFonts w:ascii="Arial" w:eastAsia="Calibri" w:hAnsi="Arial" w:cs="Arial"/>
          <w:bCs/>
        </w:rPr>
      </w:pPr>
      <w:r>
        <w:rPr>
          <w:rFonts w:ascii="Arial" w:eastAsia="Calibri" w:hAnsi="Arial" w:cs="Arial"/>
          <w:bCs/>
          <w:i/>
          <w:iCs/>
        </w:rPr>
        <w:t xml:space="preserve">Figure 2. </w:t>
      </w:r>
      <w:r>
        <w:rPr>
          <w:rFonts w:ascii="Arial" w:eastAsia="Calibri" w:hAnsi="Arial" w:cs="Arial"/>
          <w:bCs/>
        </w:rPr>
        <w:t>Med Graph showing the Variables of the Study</w:t>
      </w:r>
    </w:p>
    <w:p w14:paraId="4BC7120D" w14:textId="77777777" w:rsidR="00ED1298" w:rsidRDefault="00ED1298">
      <w:pPr>
        <w:jc w:val="both"/>
        <w:rPr>
          <w:rFonts w:ascii="Arial" w:eastAsia="Calibri" w:hAnsi="Arial" w:cs="Arial"/>
          <w:bCs/>
        </w:rPr>
      </w:pPr>
    </w:p>
    <w:p w14:paraId="2F0C6CD1" w14:textId="77777777" w:rsidR="00ED1298" w:rsidRDefault="00E77581">
      <w:pPr>
        <w:jc w:val="both"/>
        <w:rPr>
          <w:rFonts w:ascii="Arial" w:eastAsia="Calibri" w:hAnsi="Arial" w:cs="Arial"/>
          <w:bCs/>
        </w:rPr>
      </w:pPr>
      <w:r>
        <w:rPr>
          <w:rFonts w:ascii="Arial" w:eastAsia="Calibri" w:hAnsi="Arial" w:cs="Arial"/>
          <w:bCs/>
        </w:rPr>
        <w:t xml:space="preserve">Moreover, the figure also indicates the results of the computation of the effect size in the mediation test conducted between the three variables. The effect size measures how much of the effect of factors of academic performance on student engagement can </w:t>
      </w:r>
      <w:r>
        <w:rPr>
          <w:rFonts w:ascii="Arial" w:eastAsia="Calibri" w:hAnsi="Arial" w:cs="Arial"/>
          <w:bCs/>
        </w:rPr>
        <w:t xml:space="preserve">be attributed to the indirect path. The indirect effect value of 0.196 is the beta of </w:t>
      </w:r>
      <w:bookmarkStart w:id="9" w:name="_Hlk188385112"/>
      <w:r>
        <w:rPr>
          <w:rFonts w:ascii="Arial" w:eastAsia="Calibri" w:hAnsi="Arial" w:cs="Arial"/>
          <w:bCs/>
        </w:rPr>
        <w:t xml:space="preserve">factors of academic performance </w:t>
      </w:r>
      <w:bookmarkEnd w:id="9"/>
      <w:r>
        <w:rPr>
          <w:rFonts w:ascii="Arial" w:eastAsia="Calibri" w:hAnsi="Arial" w:cs="Arial"/>
          <w:bCs/>
        </w:rPr>
        <w:t>towards student engagement. The direct effect value of 0.391 is the beta of factors of academic performance towards student engagement wit</w:t>
      </w:r>
      <w:r>
        <w:rPr>
          <w:rFonts w:ascii="Arial" w:eastAsia="Calibri" w:hAnsi="Arial" w:cs="Arial"/>
          <w:bCs/>
        </w:rPr>
        <w:t xml:space="preserve">h environmental literacy included in the regression. The total effect value of 0.588 is the amount of the original beta between factors of academic performance and student engagement that now goes through environmental literacy (a * b, where “a” refers to </w:t>
      </w:r>
      <w:r>
        <w:rPr>
          <w:rFonts w:ascii="Arial" w:eastAsia="Calibri" w:hAnsi="Arial" w:cs="Arial"/>
          <w:bCs/>
        </w:rPr>
        <w:t xml:space="preserve">the path between Factors of Academic Performance </w:t>
      </w:r>
      <w:bookmarkStart w:id="10" w:name="_Hlk188385260"/>
      <w:r>
        <w:rPr>
          <w:rFonts w:ascii="Arial" w:eastAsia="Calibri" w:hAnsi="Arial" w:cs="Arial"/>
          <w:bCs/>
        </w:rPr>
        <w:t xml:space="preserve">⇒ </w:t>
      </w:r>
      <w:bookmarkEnd w:id="10"/>
      <w:r>
        <w:rPr>
          <w:rFonts w:ascii="Arial" w:eastAsia="Calibri" w:hAnsi="Arial" w:cs="Arial"/>
          <w:bCs/>
        </w:rPr>
        <w:t>Student Engagement and “b” refers to the path between Environmental Literacy ⇒ Student Engagement). The ratio index is computed by dividing the indirect effect by the total effect; in this case, 0.196 over</w:t>
      </w:r>
      <w:r>
        <w:rPr>
          <w:rFonts w:ascii="Arial" w:eastAsia="Calibri" w:hAnsi="Arial" w:cs="Arial"/>
          <w:bCs/>
        </w:rPr>
        <w:t xml:space="preserve"> 0.588 equals 0.333. It seems that about 33.4 percent of the total effect of factors of academic performance on student engagement goes through environmental literacy, and about 66.6% of the total effect is either direct or mediated by other variables not </w:t>
      </w:r>
      <w:r>
        <w:rPr>
          <w:rFonts w:ascii="Arial" w:eastAsia="Calibri" w:hAnsi="Arial" w:cs="Arial"/>
          <w:bCs/>
        </w:rPr>
        <w:t>included in the model.</w:t>
      </w:r>
    </w:p>
    <w:p w14:paraId="0AB75D94" w14:textId="77777777" w:rsidR="00ED1298" w:rsidRDefault="00ED1298">
      <w:pPr>
        <w:jc w:val="both"/>
        <w:rPr>
          <w:rFonts w:ascii="Arial" w:eastAsia="Calibri" w:hAnsi="Arial" w:cs="Arial"/>
          <w:bCs/>
        </w:rPr>
      </w:pPr>
    </w:p>
    <w:p w14:paraId="378DAD77" w14:textId="77777777" w:rsidR="00ED1298" w:rsidRDefault="00E77581">
      <w:pPr>
        <w:jc w:val="both"/>
        <w:rPr>
          <w:rFonts w:ascii="Arial" w:hAnsi="Arial" w:cs="Arial"/>
        </w:rPr>
      </w:pPr>
      <w:r>
        <w:rPr>
          <w:rFonts w:ascii="Arial" w:eastAsia="Calibri" w:hAnsi="Arial" w:cs="Arial"/>
          <w:bCs/>
        </w:rPr>
        <w:t>Moreover, this study sought to evaluate the significance of students’ environmental literacy as a mediating factor in the relationship between factors of academic performance and student engagement in science among junior high schoo</w:t>
      </w:r>
      <w:r>
        <w:rPr>
          <w:rFonts w:ascii="Arial" w:eastAsia="Calibri" w:hAnsi="Arial" w:cs="Arial"/>
          <w:bCs/>
        </w:rPr>
        <w:t>l students. The mediation analysis comprised the path between factors of academic performance and environmental literacy, path between factors of academic performance student engagement, and path between environmental literacy and student engagement. The r</w:t>
      </w:r>
      <w:r>
        <w:rPr>
          <w:rFonts w:ascii="Arial" w:eastAsia="Calibri" w:hAnsi="Arial" w:cs="Arial"/>
          <w:bCs/>
        </w:rPr>
        <w:t>esults reveal partial mediation and significant direct effects, offering insights for existing and future research on factors influencing academic performance and student engagement. This indicates that environmental literacy partially mediates the relatio</w:t>
      </w:r>
      <w:r>
        <w:rPr>
          <w:rFonts w:ascii="Arial" w:eastAsia="Calibri" w:hAnsi="Arial" w:cs="Arial"/>
          <w:bCs/>
        </w:rPr>
        <w:t>nship between academic performance factors and student engagement, and that the factors of academic performance have both a direct effect on student engagement and an indirect effect through environmental literacy. It implies that while environmental liter</w:t>
      </w:r>
      <w:r>
        <w:rPr>
          <w:rFonts w:ascii="Arial" w:eastAsia="Calibri" w:hAnsi="Arial" w:cs="Arial"/>
          <w:bCs/>
        </w:rPr>
        <w:t>acy is important for increasing engagement through diverse and relevant learning experiences, the various factors of academic performance also have a direct and crucial role in encouraging student engagement.</w:t>
      </w:r>
      <w:r>
        <w:rPr>
          <w:rFonts w:ascii="Arial" w:hAnsi="Arial" w:cs="Arial"/>
        </w:rPr>
        <w:t xml:space="preserve"> Additionally, factors like access to educationa</w:t>
      </w:r>
      <w:r>
        <w:rPr>
          <w:rFonts w:ascii="Arial" w:hAnsi="Arial" w:cs="Arial"/>
        </w:rPr>
        <w:t>l resources, teacher quality, and student motivation were found to significantly influence both academic performance and student engagement in science.</w:t>
      </w:r>
    </w:p>
    <w:p w14:paraId="514478A2" w14:textId="77777777" w:rsidR="00ED1298" w:rsidRDefault="00ED1298">
      <w:pPr>
        <w:ind w:firstLine="720"/>
        <w:jc w:val="both"/>
        <w:rPr>
          <w:rFonts w:ascii="Arial" w:hAnsi="Arial" w:cs="Arial"/>
        </w:rPr>
      </w:pPr>
    </w:p>
    <w:p w14:paraId="4AD4C6DA" w14:textId="77777777" w:rsidR="00ED1298" w:rsidRDefault="00E77581">
      <w:pPr>
        <w:numPr>
          <w:ilvl w:val="0"/>
          <w:numId w:val="5"/>
        </w:numPr>
        <w:jc w:val="both"/>
        <w:rPr>
          <w:rFonts w:ascii="Arial" w:eastAsia="Calibri" w:hAnsi="Arial" w:cs="Arial"/>
          <w:b/>
          <w:color w:val="000000"/>
        </w:rPr>
      </w:pPr>
      <w:r>
        <w:rPr>
          <w:rFonts w:ascii="Arial" w:eastAsia="Calibri" w:hAnsi="Arial" w:cs="Arial"/>
          <w:b/>
          <w:color w:val="000000"/>
          <w:sz w:val="22"/>
          <w:szCs w:val="22"/>
        </w:rPr>
        <w:t>CONCLUSION</w:t>
      </w:r>
      <w:r>
        <w:rPr>
          <w:rFonts w:ascii="Arial" w:eastAsia="Calibri" w:hAnsi="Arial" w:cs="Arial"/>
          <w:b/>
          <w:color w:val="000000"/>
        </w:rPr>
        <w:t xml:space="preserve"> AND RECOMMENDATION</w:t>
      </w:r>
    </w:p>
    <w:p w14:paraId="5FDD7787" w14:textId="77777777" w:rsidR="00ED1298" w:rsidRDefault="00ED1298">
      <w:pPr>
        <w:jc w:val="both"/>
        <w:rPr>
          <w:rFonts w:ascii="Arial" w:eastAsia="Calibri" w:hAnsi="Arial" w:cs="Arial"/>
          <w:b/>
          <w:color w:val="000000"/>
        </w:rPr>
      </w:pPr>
    </w:p>
    <w:p w14:paraId="4E3F6A2E" w14:textId="77777777" w:rsidR="00ED1298" w:rsidRDefault="00E77581">
      <w:pPr>
        <w:jc w:val="both"/>
        <w:rPr>
          <w:rFonts w:ascii="Arial" w:hAnsi="Arial" w:cs="Arial"/>
        </w:rPr>
      </w:pPr>
      <w:r>
        <w:rPr>
          <w:rFonts w:ascii="Arial" w:eastAsia="SimSun" w:hAnsi="Arial" w:cs="Arial"/>
        </w:rPr>
        <w:t>This study examined the mediating role of student environmental literacy</w:t>
      </w:r>
      <w:r>
        <w:rPr>
          <w:rFonts w:ascii="Arial" w:eastAsia="SimSun" w:hAnsi="Arial" w:cs="Arial"/>
        </w:rPr>
        <w:t xml:space="preserve"> in the relationship between academic performance factors and student engagement. Results showed high levels of all three variables and significant relationships between academic performance factors and both student engagement and environmental literacy, a</w:t>
      </w:r>
      <w:r>
        <w:rPr>
          <w:rFonts w:ascii="Arial" w:eastAsia="SimSun" w:hAnsi="Arial" w:cs="Arial"/>
        </w:rPr>
        <w:t>s well as between environmental literacy and student engagement. Crucially, the study found partial mediation, meaning academic performance factors influence student engagement both directly and indirectly through environmental literacy. Therefore, all nul</w:t>
      </w:r>
      <w:r>
        <w:rPr>
          <w:rFonts w:ascii="Arial" w:eastAsia="SimSun" w:hAnsi="Arial" w:cs="Arial"/>
        </w:rPr>
        <w:t xml:space="preserve">l hypotheses were rejected. These </w:t>
      </w:r>
      <w:r>
        <w:rPr>
          <w:rFonts w:ascii="Arial" w:eastAsia="SimSun" w:hAnsi="Arial" w:cs="Arial"/>
        </w:rPr>
        <w:lastRenderedPageBreak/>
        <w:t>findings highlight the importance of fostering environmental literacy, as it directly boosts student engagement and acts as a key pathway for academic performance factors to influence engagement. This supports Environmenta</w:t>
      </w:r>
      <w:r>
        <w:rPr>
          <w:rFonts w:ascii="Arial" w:eastAsia="SimSun" w:hAnsi="Arial" w:cs="Arial"/>
        </w:rPr>
        <w:t>l Education Theory (EET), which emphasizes using the environment as a learning context to enhance environmental literacy and improve academic outcomes.</w:t>
      </w:r>
    </w:p>
    <w:p w14:paraId="71D95561" w14:textId="77777777" w:rsidR="00ED1298" w:rsidRDefault="00ED1298">
      <w:pPr>
        <w:jc w:val="both"/>
        <w:rPr>
          <w:rFonts w:ascii="Arial" w:eastAsia="Calibri" w:hAnsi="Arial" w:cs="Arial"/>
          <w:b/>
          <w:color w:val="000000"/>
        </w:rPr>
      </w:pPr>
    </w:p>
    <w:p w14:paraId="39AD4EF1" w14:textId="77777777" w:rsidR="00ED1298" w:rsidRDefault="00E77581">
      <w:pPr>
        <w:jc w:val="both"/>
        <w:rPr>
          <w:rFonts w:ascii="Arial" w:hAnsi="Arial" w:cs="Arial"/>
          <w:b/>
          <w:color w:val="000000"/>
        </w:rPr>
      </w:pPr>
      <w:r>
        <w:rPr>
          <w:rFonts w:ascii="Arial" w:eastAsia="Calibri" w:hAnsi="Arial" w:cs="Arial"/>
          <w:b/>
          <w:color w:val="000000"/>
        </w:rPr>
        <w:t>Recommendation</w:t>
      </w:r>
    </w:p>
    <w:p w14:paraId="48BA522F" w14:textId="77777777" w:rsidR="00ED1298" w:rsidRDefault="00ED1298">
      <w:pPr>
        <w:jc w:val="both"/>
        <w:rPr>
          <w:rFonts w:ascii="Arial" w:hAnsi="Arial" w:cs="Arial"/>
        </w:rPr>
      </w:pPr>
    </w:p>
    <w:p w14:paraId="2EEFBEB9" w14:textId="77777777" w:rsidR="00ED1298" w:rsidRDefault="00E77581">
      <w:pPr>
        <w:jc w:val="both"/>
        <w:rPr>
          <w:rFonts w:ascii="Arial" w:hAnsi="Arial" w:cs="Arial"/>
        </w:rPr>
      </w:pPr>
      <w:r>
        <w:rPr>
          <w:rFonts w:ascii="Arial" w:hAnsi="Arial" w:cs="Arial"/>
        </w:rPr>
        <w:t>Based on the study's results and conclusions, the researcher provided several recommend</w:t>
      </w:r>
      <w:r>
        <w:rPr>
          <w:rFonts w:ascii="Arial" w:hAnsi="Arial" w:cs="Arial"/>
        </w:rPr>
        <w:t>ations to improve student engagement, learning habits, and environmental literacy. The Department of Education (DepEd) should address low behavioral engagement and academic interaction by promoting active learning strategies such as inquiry-based and proje</w:t>
      </w:r>
      <w:r>
        <w:rPr>
          <w:rFonts w:ascii="Arial" w:hAnsi="Arial" w:cs="Arial"/>
        </w:rPr>
        <w:t>ct-based learning, which can reduce disruptive behaviors like class disturbances and absenteeism, which scored low in the behavioral engagement. Additionally, enhancing environmental literacy through real-world case studies and integrated interdisciplinary</w:t>
      </w:r>
      <w:r>
        <w:rPr>
          <w:rFonts w:ascii="Arial" w:hAnsi="Arial" w:cs="Arial"/>
        </w:rPr>
        <w:t xml:space="preserve"> lessons is crucial. DepEd should also focus on fostering personalized learning approaches and improving teacher development to strengthen student-teacher interactions, especially outside the classroom. </w:t>
      </w:r>
    </w:p>
    <w:p w14:paraId="3E749D64" w14:textId="77777777" w:rsidR="00ED1298" w:rsidRDefault="00ED1298">
      <w:pPr>
        <w:jc w:val="both"/>
        <w:rPr>
          <w:rFonts w:ascii="Arial" w:hAnsi="Arial" w:cs="Arial"/>
        </w:rPr>
      </w:pPr>
    </w:p>
    <w:p w14:paraId="1AC6EB88" w14:textId="77777777" w:rsidR="00ED1298" w:rsidRDefault="00E77581">
      <w:pPr>
        <w:jc w:val="both"/>
        <w:rPr>
          <w:rFonts w:ascii="Arial" w:hAnsi="Arial" w:cs="Arial"/>
        </w:rPr>
      </w:pPr>
      <w:r>
        <w:rPr>
          <w:rFonts w:ascii="Arial" w:hAnsi="Arial" w:cs="Arial"/>
        </w:rPr>
        <w:t>For school heads, it is recommended to encourage pe</w:t>
      </w:r>
      <w:r>
        <w:rPr>
          <w:rFonts w:ascii="Arial" w:hAnsi="Arial" w:cs="Arial"/>
        </w:rPr>
        <w:t>er collaboration through group activities, projects, and peer tutoring to enhance academic interaction. Establishing formal teacher-student interaction opportunities outside the classroom, such as advisory periods and mentorship programs, will also help. S</w:t>
      </w:r>
      <w:r>
        <w:rPr>
          <w:rFonts w:ascii="Arial" w:hAnsi="Arial" w:cs="Arial"/>
        </w:rPr>
        <w:t>trengthening the connection between home and school by initiating parent engagement programs will further support students' study habits and time management skills. Schools should also adopt integrated interdisciplinary teaching approaches that combine aca</w:t>
      </w:r>
      <w:r>
        <w:rPr>
          <w:rFonts w:ascii="Arial" w:hAnsi="Arial" w:cs="Arial"/>
        </w:rPr>
        <w:t>demic performance factors with environmental literacy, such as integrating environmental issues into mathematics or economics lessons which can show students the broader applications of their learning. This can also enhance critical thinking skills as stud</w:t>
      </w:r>
      <w:r>
        <w:rPr>
          <w:rFonts w:ascii="Arial" w:hAnsi="Arial" w:cs="Arial"/>
        </w:rPr>
        <w:t>ents make connections across different subjects.</w:t>
      </w:r>
    </w:p>
    <w:p w14:paraId="5C4690F4" w14:textId="77777777" w:rsidR="00ED1298" w:rsidRDefault="00ED1298">
      <w:pPr>
        <w:jc w:val="both"/>
        <w:rPr>
          <w:rFonts w:ascii="Arial" w:hAnsi="Arial" w:cs="Arial"/>
        </w:rPr>
      </w:pPr>
    </w:p>
    <w:p w14:paraId="1A33C499" w14:textId="77777777" w:rsidR="00ED1298" w:rsidRDefault="00E77581">
      <w:pPr>
        <w:jc w:val="both"/>
        <w:rPr>
          <w:rFonts w:ascii="Arial" w:hAnsi="Arial" w:cs="Arial"/>
        </w:rPr>
      </w:pPr>
      <w:r>
        <w:rPr>
          <w:rFonts w:ascii="Arial" w:hAnsi="Arial" w:cs="Arial"/>
        </w:rPr>
        <w:t>For teachers, encouraging critical thinking, curiosity, and self-advocacy in the classroom will help students develop cognitive skills and agency. Collaborative and inquiry-based learning environments can e</w:t>
      </w:r>
      <w:r>
        <w:rPr>
          <w:rFonts w:ascii="Arial" w:hAnsi="Arial" w:cs="Arial"/>
        </w:rPr>
        <w:t>nhance students' understanding of global environmental issues.</w:t>
      </w:r>
    </w:p>
    <w:p w14:paraId="4F09E0E5" w14:textId="77777777" w:rsidR="00ED1298" w:rsidRDefault="00ED1298">
      <w:pPr>
        <w:jc w:val="both"/>
        <w:rPr>
          <w:rFonts w:ascii="Arial" w:hAnsi="Arial" w:cs="Arial"/>
        </w:rPr>
      </w:pPr>
    </w:p>
    <w:p w14:paraId="49059DB0" w14:textId="77777777" w:rsidR="00ED1298" w:rsidRDefault="00E77581">
      <w:pPr>
        <w:jc w:val="both"/>
        <w:rPr>
          <w:rFonts w:ascii="Arial" w:hAnsi="Arial" w:cs="Arial"/>
        </w:rPr>
      </w:pPr>
      <w:r>
        <w:rPr>
          <w:rFonts w:ascii="Arial" w:hAnsi="Arial" w:cs="Arial"/>
        </w:rPr>
        <w:t>For students, developing positive classroom behavior and engaging in environmental actions are essential. Schools and parents should work together to reinforce the importance of attendance and</w:t>
      </w:r>
      <w:r>
        <w:rPr>
          <w:rFonts w:ascii="Arial" w:hAnsi="Arial" w:cs="Arial"/>
        </w:rPr>
        <w:t xml:space="preserve"> participation, and students should be encouraged to take ownership of their behavior through student-led agreements. </w:t>
      </w:r>
    </w:p>
    <w:p w14:paraId="777F435F" w14:textId="77777777" w:rsidR="00ED1298" w:rsidRDefault="00ED1298"/>
    <w:p w14:paraId="7EAB5A44" w14:textId="77777777" w:rsidR="00ED1298" w:rsidRDefault="00ED1298">
      <w:pPr>
        <w:pStyle w:val="ReferHead"/>
        <w:spacing w:after="0"/>
        <w:jc w:val="both"/>
        <w:rPr>
          <w:rFonts w:ascii="Arial" w:hAnsi="Arial" w:cs="Arial"/>
          <w:b w:val="0"/>
          <w:caps w:val="0"/>
          <w:sz w:val="20"/>
        </w:rPr>
      </w:pPr>
    </w:p>
    <w:p w14:paraId="0EB2D57F" w14:textId="77777777" w:rsidR="00ED1298" w:rsidRDefault="00E77581">
      <w:pPr>
        <w:pStyle w:val="ReferHead"/>
        <w:spacing w:after="0"/>
        <w:jc w:val="both"/>
        <w:rPr>
          <w:rFonts w:ascii="Arial" w:hAnsi="Arial" w:cs="Arial"/>
          <w:bCs/>
        </w:rPr>
      </w:pPr>
      <w:r>
        <w:rPr>
          <w:rFonts w:ascii="Arial" w:hAnsi="Arial" w:cs="Arial"/>
          <w:bCs/>
        </w:rPr>
        <w:t>Consent</w:t>
      </w:r>
    </w:p>
    <w:p w14:paraId="7DB52719" w14:textId="77777777" w:rsidR="00ED1298" w:rsidRDefault="00ED1298">
      <w:pPr>
        <w:pStyle w:val="ReferHead"/>
        <w:spacing w:after="0"/>
        <w:jc w:val="both"/>
        <w:rPr>
          <w:rFonts w:ascii="Arial" w:hAnsi="Arial" w:cs="Arial"/>
          <w:bCs/>
        </w:rPr>
      </w:pPr>
    </w:p>
    <w:p w14:paraId="29A9F29A" w14:textId="77777777" w:rsidR="00ED1298" w:rsidRDefault="00E77581">
      <w:pPr>
        <w:pStyle w:val="ReferHead"/>
        <w:spacing w:after="0"/>
        <w:jc w:val="both"/>
        <w:rPr>
          <w:rFonts w:ascii="Arial" w:hAnsi="Arial" w:cs="Arial"/>
          <w:b w:val="0"/>
          <w:caps w:val="0"/>
          <w:sz w:val="20"/>
        </w:rPr>
      </w:pPr>
      <w:r>
        <w:rPr>
          <w:rFonts w:ascii="Arial" w:hAnsi="Arial" w:cs="Arial"/>
          <w:b w:val="0"/>
          <w:caps w:val="0"/>
          <w:sz w:val="20"/>
        </w:rPr>
        <w:t xml:space="preserve">Ethical consideration was part of the study. </w:t>
      </w:r>
    </w:p>
    <w:p w14:paraId="77CCD5FC" w14:textId="77777777" w:rsidR="00ED1298" w:rsidRDefault="00ED1298">
      <w:pPr>
        <w:pStyle w:val="ReferHead"/>
        <w:spacing w:after="0"/>
        <w:jc w:val="both"/>
        <w:rPr>
          <w:rFonts w:ascii="Arial" w:hAnsi="Arial" w:cs="Arial"/>
        </w:rPr>
      </w:pPr>
    </w:p>
    <w:p w14:paraId="083A0ECD" w14:textId="77777777" w:rsidR="00ED1298" w:rsidRDefault="00E77581">
      <w:pPr>
        <w:pStyle w:val="ReferHead"/>
        <w:spacing w:after="0"/>
        <w:jc w:val="both"/>
        <w:rPr>
          <w:rFonts w:ascii="Arial" w:hAnsi="Arial" w:cs="Arial"/>
        </w:rPr>
      </w:pPr>
      <w:r>
        <w:rPr>
          <w:rFonts w:ascii="Arial" w:hAnsi="Arial" w:cs="Arial"/>
        </w:rPr>
        <w:t>References</w:t>
      </w:r>
    </w:p>
    <w:p w14:paraId="36567177" w14:textId="77777777" w:rsidR="00ED1298" w:rsidRDefault="00ED1298">
      <w:pPr>
        <w:pStyle w:val="Body"/>
        <w:spacing w:after="0"/>
      </w:pPr>
    </w:p>
    <w:p w14:paraId="2D4BB567"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 OECD. (2020). PISA 2018 results (Volume VI): Are students ready to thrive in an interconnected world? Paris: OECD Publishi</w:t>
      </w:r>
      <w:r>
        <w:rPr>
          <w:rFonts w:ascii="Arial" w:hAnsi="Arial" w:cs="Arial"/>
          <w:sz w:val="20"/>
          <w:szCs w:val="20"/>
        </w:rPr>
        <w:t>ng.</w:t>
      </w:r>
    </w:p>
    <w:p w14:paraId="4C7AFBB8"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Department of Education. (2019). Statement on the Philippines’ ranking in the 2018 PISA results | Department of Education. Department of Education. </w:t>
      </w:r>
      <w:hyperlink r:id="rId17" w:history="1">
        <w:r w:rsidR="00ED1298">
          <w:rPr>
            <w:rStyle w:val="Hyperlink"/>
            <w:rFonts w:ascii="Arial" w:hAnsi="Arial" w:cs="Arial"/>
            <w:color w:val="auto"/>
            <w:sz w:val="20"/>
            <w:szCs w:val="20"/>
            <w:u w:val="none"/>
          </w:rPr>
          <w:t>https://www.deped.gov.ph/2019/12/04/statement-on-the-philippines-ranking-in-the-2018-pisa-results/</w:t>
        </w:r>
      </w:hyperlink>
    </w:p>
    <w:p w14:paraId="2517B0BD"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lastRenderedPageBreak/>
        <w:t xml:space="preserve">‌Chi, C. (2023). Philippines still lags behind world in math, reading and science — PISA 2022. Philstar.com. </w:t>
      </w:r>
      <w:hyperlink r:id="rId18" w:history="1">
        <w:r w:rsidR="00ED1298">
          <w:rPr>
            <w:rStyle w:val="Hyperlink"/>
            <w:rFonts w:ascii="Arial" w:hAnsi="Arial" w:cs="Arial"/>
            <w:color w:val="auto"/>
            <w:sz w:val="20"/>
            <w:szCs w:val="20"/>
            <w:u w:val="none"/>
          </w:rPr>
          <w:t>https://www.philstar.com/headlines/2023/12/06/2316732/philippines-still-lags-behind-world-math-reading-and-science-pisa-2022</w:t>
        </w:r>
      </w:hyperlink>
    </w:p>
    <w:p w14:paraId="18E415E8"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Education GPS - OECD. (n.d.</w:t>
      </w:r>
      <w:r>
        <w:rPr>
          <w:rFonts w:ascii="Arial" w:hAnsi="Arial" w:cs="Arial"/>
          <w:sz w:val="20"/>
          <w:szCs w:val="20"/>
        </w:rPr>
        <w:t xml:space="preserve">). Gpseducation.oecd.org. </w:t>
      </w:r>
      <w:hyperlink r:id="rId19" w:history="1">
        <w:r w:rsidR="00ED1298">
          <w:rPr>
            <w:rStyle w:val="Hyperlink"/>
            <w:rFonts w:ascii="Arial" w:hAnsi="Arial" w:cs="Arial"/>
            <w:color w:val="auto"/>
            <w:sz w:val="20"/>
            <w:szCs w:val="20"/>
            <w:u w:val="none"/>
          </w:rPr>
          <w:t>https://gpseducation.oecd.org/</w:t>
        </w:r>
      </w:hyperlink>
    </w:p>
    <w:p w14:paraId="0129378F"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proofErr w:type="spellStart"/>
      <w:r>
        <w:rPr>
          <w:rFonts w:ascii="Arial" w:hAnsi="Arial" w:cs="Arial"/>
          <w:sz w:val="20"/>
          <w:szCs w:val="20"/>
        </w:rPr>
        <w:t>Mangaluz</w:t>
      </w:r>
      <w:proofErr w:type="spellEnd"/>
      <w:r>
        <w:rPr>
          <w:rFonts w:ascii="Arial" w:hAnsi="Arial" w:cs="Arial"/>
          <w:sz w:val="20"/>
          <w:szCs w:val="20"/>
        </w:rPr>
        <w:t xml:space="preserve">, J. (2023). Poor PISA ranking a wake-up call – DepEd. INQUIRER.net. </w:t>
      </w:r>
      <w:hyperlink r:id="rId20" w:history="1">
        <w:r w:rsidR="00ED1298">
          <w:rPr>
            <w:rStyle w:val="Hyperlink"/>
            <w:rFonts w:ascii="Arial" w:hAnsi="Arial" w:cs="Arial"/>
            <w:color w:val="auto"/>
            <w:sz w:val="20"/>
            <w:szCs w:val="20"/>
            <w:u w:val="none"/>
          </w:rPr>
          <w:t>https://newsinfo.inquirer.net/1871748/fwd-duterte-on-pisa-results</w:t>
        </w:r>
      </w:hyperlink>
    </w:p>
    <w:p w14:paraId="254506FF"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proofErr w:type="spellStart"/>
      <w:r>
        <w:rPr>
          <w:rFonts w:ascii="Arial" w:hAnsi="Arial" w:cs="Arial"/>
          <w:sz w:val="20"/>
          <w:szCs w:val="20"/>
        </w:rPr>
        <w:t>Collantes</w:t>
      </w:r>
      <w:proofErr w:type="spellEnd"/>
      <w:r>
        <w:rPr>
          <w:rFonts w:ascii="Arial" w:hAnsi="Arial" w:cs="Arial"/>
          <w:sz w:val="20"/>
          <w:szCs w:val="20"/>
        </w:rPr>
        <w:t xml:space="preserve">, L., Torres, J., </w:t>
      </w:r>
      <w:proofErr w:type="spellStart"/>
      <w:r>
        <w:rPr>
          <w:rFonts w:ascii="Arial" w:hAnsi="Arial" w:cs="Arial"/>
          <w:sz w:val="20"/>
          <w:szCs w:val="20"/>
        </w:rPr>
        <w:t>Astrero</w:t>
      </w:r>
      <w:proofErr w:type="spellEnd"/>
      <w:r>
        <w:rPr>
          <w:rFonts w:ascii="Arial" w:hAnsi="Arial" w:cs="Arial"/>
          <w:sz w:val="20"/>
          <w:szCs w:val="20"/>
        </w:rPr>
        <w:t xml:space="preserve">., </w:t>
      </w:r>
      <w:proofErr w:type="spellStart"/>
      <w:r>
        <w:rPr>
          <w:rFonts w:ascii="Arial" w:hAnsi="Arial" w:cs="Arial"/>
          <w:sz w:val="20"/>
          <w:szCs w:val="20"/>
        </w:rPr>
        <w:t>Gaboy</w:t>
      </w:r>
      <w:proofErr w:type="spellEnd"/>
      <w:r>
        <w:rPr>
          <w:rFonts w:ascii="Arial" w:hAnsi="Arial" w:cs="Arial"/>
          <w:sz w:val="20"/>
          <w:szCs w:val="20"/>
        </w:rPr>
        <w:t xml:space="preserve">, R., Castillo, M. E. G., &amp; </w:t>
      </w:r>
      <w:proofErr w:type="spellStart"/>
      <w:r>
        <w:rPr>
          <w:rFonts w:ascii="Arial" w:hAnsi="Arial" w:cs="Arial"/>
          <w:sz w:val="20"/>
          <w:szCs w:val="20"/>
        </w:rPr>
        <w:t>Mukminin</w:t>
      </w:r>
      <w:proofErr w:type="spellEnd"/>
      <w:r>
        <w:rPr>
          <w:rFonts w:ascii="Arial" w:hAnsi="Arial" w:cs="Arial"/>
          <w:sz w:val="20"/>
          <w:szCs w:val="20"/>
        </w:rPr>
        <w:t>, A. (2022). Perspectives, Challenges, and Opportunities: The Pandemic Teaching experiences in science co</w:t>
      </w:r>
      <w:r>
        <w:rPr>
          <w:rFonts w:ascii="Arial" w:hAnsi="Arial" w:cs="Arial"/>
          <w:sz w:val="20"/>
          <w:szCs w:val="20"/>
        </w:rPr>
        <w:t xml:space="preserve">urses. Journal of Higher Education Theory and Practice, 22(4). </w:t>
      </w:r>
      <w:hyperlink r:id="rId21" w:history="1">
        <w:r w:rsidR="00ED1298">
          <w:rPr>
            <w:rStyle w:val="Hyperlink"/>
            <w:rFonts w:ascii="Arial" w:hAnsi="Arial" w:cs="Arial"/>
            <w:color w:val="auto"/>
            <w:sz w:val="20"/>
            <w:szCs w:val="20"/>
            <w:u w:val="none"/>
          </w:rPr>
          <w:t>https://doi.org/10.33423/jhetp.v22i4.5131</w:t>
        </w:r>
      </w:hyperlink>
    </w:p>
    <w:p w14:paraId="642A384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Bernardo, A. B. I., </w:t>
      </w:r>
      <w:proofErr w:type="spellStart"/>
      <w:r>
        <w:rPr>
          <w:rFonts w:ascii="Arial" w:hAnsi="Arial" w:cs="Arial"/>
          <w:sz w:val="20"/>
          <w:szCs w:val="20"/>
        </w:rPr>
        <w:t>Cordel</w:t>
      </w:r>
      <w:proofErr w:type="spellEnd"/>
      <w:r>
        <w:rPr>
          <w:rFonts w:ascii="Arial" w:hAnsi="Arial" w:cs="Arial"/>
          <w:sz w:val="20"/>
          <w:szCs w:val="20"/>
        </w:rPr>
        <w:t xml:space="preserve">, M. O., Calleja, M. O., </w:t>
      </w:r>
      <w:proofErr w:type="spellStart"/>
      <w:r>
        <w:rPr>
          <w:rFonts w:ascii="Arial" w:hAnsi="Arial" w:cs="Arial"/>
          <w:sz w:val="20"/>
          <w:szCs w:val="20"/>
        </w:rPr>
        <w:t>Teves</w:t>
      </w:r>
      <w:proofErr w:type="spellEnd"/>
      <w:r>
        <w:rPr>
          <w:rFonts w:ascii="Arial" w:hAnsi="Arial" w:cs="Arial"/>
          <w:sz w:val="20"/>
          <w:szCs w:val="20"/>
        </w:rPr>
        <w:t>, J. M. M., Yap, S. A., &amp; Chua, U. C.</w:t>
      </w:r>
      <w:r>
        <w:rPr>
          <w:rFonts w:ascii="Arial" w:hAnsi="Arial" w:cs="Arial"/>
          <w:sz w:val="20"/>
          <w:szCs w:val="20"/>
        </w:rPr>
        <w:t xml:space="preserve"> (2023). Profiling low-proficiency science students in the Philippines using machine learning. Humanities and Social Sciences Communications, 10(1). </w:t>
      </w:r>
      <w:hyperlink r:id="rId22" w:history="1">
        <w:r w:rsidR="00ED1298">
          <w:rPr>
            <w:rStyle w:val="Hyperlink"/>
            <w:rFonts w:ascii="Arial" w:hAnsi="Arial" w:cs="Arial"/>
            <w:color w:val="auto"/>
            <w:sz w:val="20"/>
            <w:szCs w:val="20"/>
            <w:u w:val="none"/>
          </w:rPr>
          <w:t>https://doi.org/10.1057/s41599-023-01705-y</w:t>
        </w:r>
      </w:hyperlink>
    </w:p>
    <w:p w14:paraId="42BD163A" w14:textId="77777777" w:rsidR="00ED1298" w:rsidRDefault="00E77581">
      <w:pPr>
        <w:pStyle w:val="NoSpacing"/>
        <w:numPr>
          <w:ilvl w:val="0"/>
          <w:numId w:val="6"/>
        </w:numPr>
        <w:spacing w:afterLines="30" w:after="72"/>
        <w:ind w:left="400" w:hangingChars="200" w:hanging="400"/>
        <w:jc w:val="both"/>
        <w:rPr>
          <w:rStyle w:val="Hyperlink"/>
          <w:rFonts w:ascii="Arial" w:hAnsi="Arial" w:cs="Arial"/>
          <w:color w:val="auto"/>
          <w:sz w:val="20"/>
          <w:szCs w:val="20"/>
          <w:u w:val="none"/>
        </w:rPr>
      </w:pPr>
      <w:r>
        <w:rPr>
          <w:rFonts w:ascii="Arial" w:hAnsi="Arial" w:cs="Arial"/>
          <w:sz w:val="20"/>
          <w:szCs w:val="20"/>
        </w:rPr>
        <w:t xml:space="preserve">Arrieta, G. S., </w:t>
      </w:r>
      <w:proofErr w:type="spellStart"/>
      <w:r>
        <w:rPr>
          <w:rFonts w:ascii="Arial" w:hAnsi="Arial" w:cs="Arial"/>
          <w:sz w:val="20"/>
          <w:szCs w:val="20"/>
        </w:rPr>
        <w:t>Dancel</w:t>
      </w:r>
      <w:proofErr w:type="spellEnd"/>
      <w:r>
        <w:rPr>
          <w:rFonts w:ascii="Arial" w:hAnsi="Arial" w:cs="Arial"/>
          <w:sz w:val="20"/>
          <w:szCs w:val="20"/>
        </w:rPr>
        <w:t xml:space="preserve">, J. C., &amp; </w:t>
      </w:r>
      <w:proofErr w:type="spellStart"/>
      <w:r>
        <w:rPr>
          <w:rFonts w:ascii="Arial" w:hAnsi="Arial" w:cs="Arial"/>
          <w:sz w:val="20"/>
          <w:szCs w:val="20"/>
        </w:rPr>
        <w:t>Agbisit</w:t>
      </w:r>
      <w:proofErr w:type="spellEnd"/>
      <w:r>
        <w:rPr>
          <w:rFonts w:ascii="Arial" w:hAnsi="Arial" w:cs="Arial"/>
          <w:sz w:val="20"/>
          <w:szCs w:val="20"/>
        </w:rPr>
        <w:t xml:space="preserve">, M. J. (2020). Teaching science in the new normal: Understanding the experiences of Junior High School Science Teachers. </w:t>
      </w:r>
      <w:proofErr w:type="spellStart"/>
      <w:r>
        <w:rPr>
          <w:rFonts w:ascii="Arial" w:hAnsi="Arial" w:cs="Arial"/>
          <w:sz w:val="20"/>
          <w:szCs w:val="20"/>
        </w:rPr>
        <w:t>Jurnal</w:t>
      </w:r>
      <w:proofErr w:type="spellEnd"/>
      <w:r>
        <w:rPr>
          <w:rFonts w:ascii="Arial" w:hAnsi="Arial" w:cs="Arial"/>
          <w:sz w:val="20"/>
          <w:szCs w:val="20"/>
        </w:rPr>
        <w:t xml:space="preserve"> Pendidikan MIPA, 21(2), 146-162. doi:10.23960/</w:t>
      </w:r>
      <w:proofErr w:type="spellStart"/>
      <w:r>
        <w:rPr>
          <w:rFonts w:ascii="Arial" w:hAnsi="Arial" w:cs="Arial"/>
          <w:sz w:val="20"/>
          <w:szCs w:val="20"/>
        </w:rPr>
        <w:t>jpmipa</w:t>
      </w:r>
      <w:proofErr w:type="spellEnd"/>
      <w:r>
        <w:rPr>
          <w:rFonts w:ascii="Arial" w:hAnsi="Arial" w:cs="Arial"/>
          <w:sz w:val="20"/>
          <w:szCs w:val="20"/>
        </w:rPr>
        <w:t>/v21i2.pp146-162.</w:t>
      </w:r>
    </w:p>
    <w:p w14:paraId="6B0A93EC"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Adaro, G., De Leo</w:t>
      </w:r>
      <w:r>
        <w:rPr>
          <w:rFonts w:ascii="Arial" w:hAnsi="Arial" w:cs="Arial"/>
          <w:sz w:val="20"/>
          <w:szCs w:val="20"/>
        </w:rPr>
        <w:t xml:space="preserve">n, M. M., &amp; </w:t>
      </w:r>
      <w:proofErr w:type="spellStart"/>
      <w:r>
        <w:rPr>
          <w:rFonts w:ascii="Arial" w:hAnsi="Arial" w:cs="Arial"/>
          <w:sz w:val="20"/>
          <w:szCs w:val="20"/>
        </w:rPr>
        <w:t>Favis</w:t>
      </w:r>
      <w:proofErr w:type="spellEnd"/>
      <w:r>
        <w:rPr>
          <w:rFonts w:ascii="Arial" w:hAnsi="Arial" w:cs="Arial"/>
          <w:sz w:val="20"/>
          <w:szCs w:val="20"/>
        </w:rPr>
        <w:t xml:space="preserve">, A. M. T. (2022). Exploring students’ attitudes toward science and course engagement as predictors of science literacy. Journal on Systemics, Cybernetics and Informatics, 20(4), 8–14. </w:t>
      </w:r>
      <w:hyperlink r:id="rId23" w:history="1">
        <w:r w:rsidR="00ED1298">
          <w:rPr>
            <w:rStyle w:val="Hyperlink"/>
            <w:rFonts w:ascii="Arial" w:hAnsi="Arial" w:cs="Arial"/>
            <w:color w:val="auto"/>
            <w:sz w:val="20"/>
            <w:szCs w:val="20"/>
            <w:u w:val="none"/>
          </w:rPr>
          <w:t>https://doi.org/10.54808/jsci.20.04.8</w:t>
        </w:r>
      </w:hyperlink>
      <w:r>
        <w:rPr>
          <w:rFonts w:ascii="Arial" w:hAnsi="Arial" w:cs="Arial"/>
          <w:sz w:val="20"/>
          <w:szCs w:val="20"/>
        </w:rPr>
        <w:t xml:space="preserve"> </w:t>
      </w:r>
    </w:p>
    <w:p w14:paraId="0FD9B14F"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proofErr w:type="spellStart"/>
      <w:r>
        <w:rPr>
          <w:rFonts w:ascii="Arial" w:hAnsi="Arial" w:cs="Arial"/>
          <w:sz w:val="20"/>
          <w:szCs w:val="20"/>
        </w:rPr>
        <w:t>Panjaitan</w:t>
      </w:r>
      <w:proofErr w:type="spellEnd"/>
      <w:r>
        <w:rPr>
          <w:rFonts w:ascii="Arial" w:hAnsi="Arial" w:cs="Arial"/>
          <w:sz w:val="20"/>
          <w:szCs w:val="20"/>
        </w:rPr>
        <w:t xml:space="preserve">, M. H., </w:t>
      </w:r>
      <w:proofErr w:type="spellStart"/>
      <w:r>
        <w:rPr>
          <w:rFonts w:ascii="Arial" w:hAnsi="Arial" w:cs="Arial"/>
          <w:sz w:val="20"/>
          <w:szCs w:val="20"/>
        </w:rPr>
        <w:t>Aznam</w:t>
      </w:r>
      <w:proofErr w:type="spellEnd"/>
      <w:r>
        <w:rPr>
          <w:rFonts w:ascii="Arial" w:hAnsi="Arial" w:cs="Arial"/>
          <w:sz w:val="20"/>
          <w:szCs w:val="20"/>
        </w:rPr>
        <w:t xml:space="preserve">, N., P., </w:t>
      </w:r>
      <w:proofErr w:type="spellStart"/>
      <w:r>
        <w:rPr>
          <w:rFonts w:ascii="Arial" w:hAnsi="Arial" w:cs="Arial"/>
          <w:sz w:val="20"/>
          <w:szCs w:val="20"/>
        </w:rPr>
        <w:t>Erlini</w:t>
      </w:r>
      <w:proofErr w:type="spellEnd"/>
      <w:r>
        <w:rPr>
          <w:rFonts w:ascii="Arial" w:hAnsi="Arial" w:cs="Arial"/>
          <w:sz w:val="20"/>
          <w:szCs w:val="20"/>
        </w:rPr>
        <w:t xml:space="preserve">, N., &amp; Din </w:t>
      </w:r>
      <w:proofErr w:type="spellStart"/>
      <w:r>
        <w:rPr>
          <w:rFonts w:ascii="Arial" w:hAnsi="Arial" w:cs="Arial"/>
          <w:sz w:val="20"/>
          <w:szCs w:val="20"/>
        </w:rPr>
        <w:t>Illahaqi</w:t>
      </w:r>
      <w:proofErr w:type="spellEnd"/>
      <w:r>
        <w:rPr>
          <w:rFonts w:ascii="Arial" w:hAnsi="Arial" w:cs="Arial"/>
          <w:sz w:val="20"/>
          <w:szCs w:val="20"/>
        </w:rPr>
        <w:t xml:space="preserve">, A. A. (2021). </w:t>
      </w:r>
      <w:r>
        <w:rPr>
          <w:rFonts w:ascii="Arial" w:hAnsi="Arial" w:cs="Arial"/>
          <w:i/>
          <w:iCs/>
          <w:sz w:val="20"/>
          <w:szCs w:val="20"/>
        </w:rPr>
        <w:t>Students’ Environmental Literacy Understanding in Science Learning: A Preliminary Study | Atlantis Press</w:t>
      </w:r>
      <w:r>
        <w:rPr>
          <w:rFonts w:ascii="Arial" w:hAnsi="Arial" w:cs="Arial"/>
          <w:sz w:val="20"/>
          <w:szCs w:val="20"/>
        </w:rPr>
        <w:t>. Students’ Environmental Literacy Und</w:t>
      </w:r>
      <w:r>
        <w:rPr>
          <w:rFonts w:ascii="Arial" w:hAnsi="Arial" w:cs="Arial"/>
          <w:sz w:val="20"/>
          <w:szCs w:val="20"/>
        </w:rPr>
        <w:t xml:space="preserve">erstanding in Science Learning: A Preliminary Study | Atlantis Press. </w:t>
      </w:r>
      <w:hyperlink r:id="rId24" w:history="1">
        <w:r w:rsidR="00ED1298">
          <w:rPr>
            <w:rStyle w:val="Hyperlink"/>
            <w:rFonts w:ascii="Arial" w:hAnsi="Arial" w:cs="Arial"/>
            <w:color w:val="auto"/>
            <w:sz w:val="20"/>
            <w:szCs w:val="20"/>
            <w:u w:val="none"/>
          </w:rPr>
          <w:t>https://doi.org/10.2991/assehr.k.210326.110</w:t>
        </w:r>
      </w:hyperlink>
    </w:p>
    <w:p w14:paraId="2D73DED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Yeh, F. Y., Tran, N. H., Hung, S. H., &amp; Huang, C. F. (2021). </w:t>
      </w:r>
      <w:r>
        <w:rPr>
          <w:rFonts w:ascii="Arial" w:hAnsi="Arial" w:cs="Arial"/>
          <w:i/>
          <w:iCs/>
          <w:sz w:val="20"/>
          <w:szCs w:val="20"/>
        </w:rPr>
        <w:t>A Study of Environmen</w:t>
      </w:r>
      <w:r>
        <w:rPr>
          <w:rFonts w:ascii="Arial" w:hAnsi="Arial" w:cs="Arial"/>
          <w:i/>
          <w:iCs/>
          <w:sz w:val="20"/>
          <w:szCs w:val="20"/>
        </w:rPr>
        <w:t>tal Literacy, Scientific Performance, and Environmental Problem-Solving - International Journal of Science and Mathematics Education</w:t>
      </w:r>
      <w:r>
        <w:rPr>
          <w:rFonts w:ascii="Arial" w:hAnsi="Arial" w:cs="Arial"/>
          <w:sz w:val="20"/>
          <w:szCs w:val="20"/>
        </w:rPr>
        <w:t xml:space="preserve">. SpringerLink. </w:t>
      </w:r>
      <w:hyperlink r:id="rId25" w:history="1">
        <w:r w:rsidR="00ED1298">
          <w:rPr>
            <w:rStyle w:val="Hyperlink"/>
            <w:rFonts w:ascii="Arial" w:hAnsi="Arial" w:cs="Arial"/>
            <w:color w:val="auto"/>
            <w:sz w:val="20"/>
            <w:szCs w:val="20"/>
            <w:u w:val="none"/>
          </w:rPr>
          <w:t>https://doi.org/10.1007/s10763-021-10223-9</w:t>
        </w:r>
      </w:hyperlink>
    </w:p>
    <w:p w14:paraId="5137DDD4"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Reeve, J., </w:t>
      </w:r>
      <w:proofErr w:type="spellStart"/>
      <w:r>
        <w:rPr>
          <w:rFonts w:ascii="Arial" w:hAnsi="Arial" w:cs="Arial"/>
          <w:sz w:val="20"/>
          <w:szCs w:val="20"/>
        </w:rPr>
        <w:t>Cheon</w:t>
      </w:r>
      <w:proofErr w:type="spellEnd"/>
      <w:r>
        <w:rPr>
          <w:rFonts w:ascii="Arial" w:hAnsi="Arial" w:cs="Arial"/>
          <w:sz w:val="20"/>
          <w:szCs w:val="20"/>
        </w:rPr>
        <w:t xml:space="preserve">, S. H., &amp; Jang, H. (2020). How and why students make academic progress: Reconceptualizing the student engagement construct to increase its explanatory power. Contemporary Educational Psychology, 62, 101899. </w:t>
      </w:r>
      <w:hyperlink r:id="rId26" w:history="1">
        <w:r w:rsidR="00ED1298">
          <w:rPr>
            <w:rStyle w:val="Hyperlink"/>
            <w:rFonts w:ascii="Arial" w:hAnsi="Arial" w:cs="Arial"/>
            <w:color w:val="auto"/>
            <w:sz w:val="20"/>
            <w:szCs w:val="20"/>
            <w:u w:val="none"/>
          </w:rPr>
          <w:t>https://doi.org/10.1016/j.cedpsych.2020.101899</w:t>
        </w:r>
      </w:hyperlink>
    </w:p>
    <w:p w14:paraId="6745E90D"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proofErr w:type="spellStart"/>
      <w:r>
        <w:rPr>
          <w:rFonts w:ascii="Arial" w:eastAsia="SimSun" w:hAnsi="Arial" w:cs="Arial"/>
          <w:color w:val="222222"/>
          <w:sz w:val="20"/>
          <w:szCs w:val="20"/>
          <w:shd w:val="clear" w:color="auto" w:fill="FFFFFF"/>
        </w:rPr>
        <w:t>Gheith</w:t>
      </w:r>
      <w:proofErr w:type="spellEnd"/>
      <w:r>
        <w:rPr>
          <w:rFonts w:ascii="Arial" w:eastAsia="SimSun" w:hAnsi="Arial" w:cs="Arial"/>
          <w:color w:val="222222"/>
          <w:sz w:val="20"/>
          <w:szCs w:val="20"/>
          <w:shd w:val="clear" w:color="auto" w:fill="FFFFFF"/>
        </w:rPr>
        <w:t>, E. M. (2019). Environmental literacy among prospective classroom teachers in Jordan. International Journal of Learning, Teaching and Educational Research, 18(12), 258-279</w:t>
      </w:r>
      <w:r>
        <w:rPr>
          <w:rFonts w:ascii="Arial" w:eastAsia="SimSun" w:hAnsi="Arial" w:cs="Arial"/>
          <w:color w:val="222222"/>
          <w:sz w:val="20"/>
          <w:szCs w:val="20"/>
          <w:shd w:val="clear" w:color="auto" w:fill="FFFFFF"/>
        </w:rPr>
        <w:t>.</w:t>
      </w:r>
    </w:p>
    <w:p w14:paraId="000A8C2A"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proofErr w:type="spellStart"/>
      <w:r>
        <w:rPr>
          <w:rFonts w:ascii="Arial" w:eastAsia="SimSun" w:hAnsi="Arial" w:cs="Arial"/>
          <w:color w:val="222222"/>
          <w:sz w:val="20"/>
          <w:szCs w:val="20"/>
          <w:shd w:val="clear" w:color="auto" w:fill="FFFFFF"/>
        </w:rPr>
        <w:t>Veiga</w:t>
      </w:r>
      <w:proofErr w:type="spellEnd"/>
      <w:r>
        <w:rPr>
          <w:rFonts w:ascii="Arial" w:eastAsia="SimSun" w:hAnsi="Arial" w:cs="Arial"/>
          <w:color w:val="222222"/>
          <w:sz w:val="20"/>
          <w:szCs w:val="20"/>
          <w:shd w:val="clear" w:color="auto" w:fill="FFFFFF"/>
        </w:rPr>
        <w:t>, F. H. (2016). Assessing student Engagement in School: Development and validation of a four-dimensional scale. Procedia-Social and Behavioral Sciences, 217, 813-819.</w:t>
      </w:r>
    </w:p>
    <w:p w14:paraId="2FAFE513"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proofErr w:type="spellStart"/>
      <w:r>
        <w:rPr>
          <w:rFonts w:ascii="Arial" w:eastAsia="SimSun" w:hAnsi="Arial" w:cs="Arial"/>
          <w:color w:val="222222"/>
          <w:sz w:val="20"/>
          <w:szCs w:val="20"/>
          <w:shd w:val="clear" w:color="auto" w:fill="FFFFFF"/>
        </w:rPr>
        <w:t>Shahzadi</w:t>
      </w:r>
      <w:proofErr w:type="spellEnd"/>
      <w:r>
        <w:rPr>
          <w:rFonts w:ascii="Arial" w:eastAsia="SimSun" w:hAnsi="Arial" w:cs="Arial"/>
          <w:color w:val="222222"/>
          <w:sz w:val="20"/>
          <w:szCs w:val="20"/>
          <w:shd w:val="clear" w:color="auto" w:fill="FFFFFF"/>
        </w:rPr>
        <w:t>, E., &amp; Ahmad, Z. (2011). A study on academic performance of university st</w:t>
      </w:r>
      <w:r>
        <w:rPr>
          <w:rFonts w:ascii="Arial" w:eastAsia="SimSun" w:hAnsi="Arial" w:cs="Arial"/>
          <w:color w:val="222222"/>
          <w:sz w:val="20"/>
          <w:szCs w:val="20"/>
          <w:shd w:val="clear" w:color="auto" w:fill="FFFFFF"/>
        </w:rPr>
        <w:t>udents. Recent Advances in Statistics, 255, 67.</w:t>
      </w:r>
    </w:p>
    <w:p w14:paraId="09F3DE20"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eastAsia="SimSun" w:hAnsi="Arial" w:cs="Arial"/>
          <w:color w:val="222222"/>
          <w:sz w:val="20"/>
          <w:szCs w:val="20"/>
          <w:shd w:val="clear" w:color="auto" w:fill="FFFFFF"/>
        </w:rPr>
        <w:t>Creswell, J. W., &amp; Hirose, M. (2019). Mixed methods and survey research in family medicine and community health. Family medicine and community health, 7(2).</w:t>
      </w:r>
    </w:p>
    <w:p w14:paraId="6B9D3908"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eastAsia="SimSun" w:hAnsi="Arial" w:cs="Arial"/>
          <w:color w:val="222222"/>
          <w:sz w:val="20"/>
          <w:szCs w:val="20"/>
          <w:shd w:val="clear" w:color="auto" w:fill="FFFFFF"/>
        </w:rPr>
        <w:t xml:space="preserve">Field, A. (2013). Discovering statistics using IBM </w:t>
      </w:r>
      <w:r>
        <w:rPr>
          <w:rFonts w:ascii="Arial" w:eastAsia="SimSun" w:hAnsi="Arial" w:cs="Arial"/>
          <w:color w:val="222222"/>
          <w:sz w:val="20"/>
          <w:szCs w:val="20"/>
          <w:shd w:val="clear" w:color="auto" w:fill="FFFFFF"/>
        </w:rPr>
        <w:t>SPSS statistics.</w:t>
      </w:r>
    </w:p>
    <w:p w14:paraId="09A1C5B8"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eastAsia="SimSun" w:hAnsi="Arial" w:cs="Arial"/>
          <w:color w:val="222222"/>
          <w:sz w:val="20"/>
          <w:szCs w:val="20"/>
          <w:shd w:val="clear" w:color="auto" w:fill="FFFFFF"/>
        </w:rPr>
        <w:t xml:space="preserve">Hayes, A. F. (2018). Partial, conditional, and moderated </w:t>
      </w:r>
      <w:proofErr w:type="spellStart"/>
      <w:r>
        <w:rPr>
          <w:rFonts w:ascii="Arial" w:eastAsia="SimSun" w:hAnsi="Arial" w:cs="Arial"/>
          <w:color w:val="222222"/>
          <w:sz w:val="20"/>
          <w:szCs w:val="20"/>
          <w:shd w:val="clear" w:color="auto" w:fill="FFFFFF"/>
        </w:rPr>
        <w:t>moderated</w:t>
      </w:r>
      <w:proofErr w:type="spellEnd"/>
      <w:r>
        <w:rPr>
          <w:rFonts w:ascii="Arial" w:eastAsia="SimSun" w:hAnsi="Arial" w:cs="Arial"/>
          <w:color w:val="222222"/>
          <w:sz w:val="20"/>
          <w:szCs w:val="20"/>
          <w:shd w:val="clear" w:color="auto" w:fill="FFFFFF"/>
        </w:rPr>
        <w:t xml:space="preserve"> mediation: Quantification, inference, and interpretation. Communication monographs, 85(1), 4-40.</w:t>
      </w:r>
    </w:p>
    <w:p w14:paraId="1E2AE735"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Wager &amp; Kleinert, 2011) </w:t>
      </w:r>
      <w:r>
        <w:rPr>
          <w:rFonts w:ascii="Arial" w:eastAsia="SimSun" w:hAnsi="Arial" w:cs="Arial"/>
          <w:color w:val="222222"/>
          <w:sz w:val="20"/>
          <w:szCs w:val="20"/>
          <w:shd w:val="clear" w:color="auto" w:fill="FFFFFF"/>
        </w:rPr>
        <w:t>Wager, E., &amp; Kleinert, S. (2011). Responsible resea</w:t>
      </w:r>
      <w:r>
        <w:rPr>
          <w:rFonts w:ascii="Arial" w:eastAsia="SimSun" w:hAnsi="Arial" w:cs="Arial"/>
          <w:color w:val="222222"/>
          <w:sz w:val="20"/>
          <w:szCs w:val="20"/>
          <w:shd w:val="clear" w:color="auto" w:fill="FFFFFF"/>
        </w:rPr>
        <w:t>rch publication position statements. Promoting Research Integrity in a Global Environment. Singapore: World Scientific Publishing.</w:t>
      </w:r>
    </w:p>
    <w:p w14:paraId="6EF49B0B"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lastRenderedPageBreak/>
        <w:t xml:space="preserve">Fuentes, J., </w:t>
      </w:r>
      <w:r>
        <w:rPr>
          <w:rFonts w:ascii="Arial" w:hAnsi="Arial" w:cs="Arial"/>
          <w:sz w:val="20"/>
          <w:szCs w:val="20"/>
        </w:rPr>
        <w:t xml:space="preserve">&amp; </w:t>
      </w:r>
      <w:r>
        <w:rPr>
          <w:rFonts w:ascii="Arial" w:hAnsi="Arial" w:cs="Arial"/>
          <w:sz w:val="20"/>
          <w:szCs w:val="20"/>
          <w:lang w:val="en-PH"/>
        </w:rPr>
        <w:t xml:space="preserve">Victoria, V., (2024). Correlation of Home Environment in the Academic Performance of Elementary Learners in </w:t>
      </w:r>
      <w:proofErr w:type="spellStart"/>
      <w:r>
        <w:rPr>
          <w:rFonts w:ascii="Arial" w:hAnsi="Arial" w:cs="Arial"/>
          <w:sz w:val="20"/>
          <w:szCs w:val="20"/>
          <w:lang w:val="en-PH"/>
        </w:rPr>
        <w:t>Ca</w:t>
      </w:r>
      <w:r>
        <w:rPr>
          <w:rFonts w:ascii="Arial" w:hAnsi="Arial" w:cs="Arial"/>
          <w:sz w:val="20"/>
          <w:szCs w:val="20"/>
          <w:lang w:val="en-PH"/>
        </w:rPr>
        <w:t>tanauan</w:t>
      </w:r>
      <w:proofErr w:type="spellEnd"/>
      <w:r>
        <w:rPr>
          <w:rFonts w:ascii="Arial" w:hAnsi="Arial" w:cs="Arial"/>
          <w:sz w:val="20"/>
          <w:szCs w:val="20"/>
          <w:lang w:val="en-PH"/>
        </w:rPr>
        <w:t xml:space="preserve"> District, Division of Quezon. </w:t>
      </w:r>
      <w:r>
        <w:rPr>
          <w:rFonts w:ascii="Arial" w:hAnsi="Arial" w:cs="Arial"/>
          <w:i/>
          <w:iCs/>
          <w:sz w:val="20"/>
          <w:szCs w:val="20"/>
          <w:lang w:val="en-PH"/>
        </w:rPr>
        <w:t>Psychology and Education: A Multidisciplinary Journal, 20</w:t>
      </w:r>
      <w:r>
        <w:rPr>
          <w:rFonts w:ascii="Arial" w:hAnsi="Arial" w:cs="Arial"/>
          <w:sz w:val="20"/>
          <w:szCs w:val="20"/>
          <w:lang w:val="en-PH"/>
        </w:rPr>
        <w:t xml:space="preserve">(7), 945-957. </w:t>
      </w:r>
      <w:hyperlink r:id="rId27" w:history="1">
        <w:r w:rsidR="00ED1298">
          <w:rPr>
            <w:rStyle w:val="Hyperlink"/>
            <w:rFonts w:ascii="Arial" w:hAnsi="Arial" w:cs="Arial"/>
            <w:color w:val="auto"/>
            <w:sz w:val="20"/>
            <w:szCs w:val="20"/>
            <w:u w:val="none"/>
            <w:lang w:val="en-PH"/>
          </w:rPr>
          <w:t>https://doi.org/10.5281/zenodo.11584229</w:t>
        </w:r>
      </w:hyperlink>
    </w:p>
    <w:p w14:paraId="38ECD714"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Nair, R. T., &amp; Kulkarni, U. K. (2020). Study Habits</w:t>
      </w:r>
      <w:r>
        <w:rPr>
          <w:rFonts w:ascii="Arial" w:hAnsi="Arial" w:cs="Arial"/>
          <w:sz w:val="20"/>
          <w:szCs w:val="20"/>
        </w:rPr>
        <w:t xml:space="preserve"> and its Impact on Academic Performance in English of Secondary School Students in </w:t>
      </w:r>
      <w:proofErr w:type="spellStart"/>
      <w:r>
        <w:rPr>
          <w:rFonts w:ascii="Arial" w:hAnsi="Arial" w:cs="Arial"/>
          <w:sz w:val="20"/>
          <w:szCs w:val="20"/>
        </w:rPr>
        <w:t>Kalaburgi</w:t>
      </w:r>
      <w:proofErr w:type="spellEnd"/>
      <w:r>
        <w:rPr>
          <w:rFonts w:ascii="Arial" w:hAnsi="Arial" w:cs="Arial"/>
          <w:sz w:val="20"/>
          <w:szCs w:val="20"/>
        </w:rPr>
        <w:t xml:space="preserve"> Region. </w:t>
      </w:r>
      <w:proofErr w:type="spellStart"/>
      <w:r>
        <w:rPr>
          <w:rFonts w:ascii="Arial" w:hAnsi="Arial" w:cs="Arial"/>
          <w:sz w:val="20"/>
          <w:szCs w:val="20"/>
        </w:rPr>
        <w:t>PalArch's</w:t>
      </w:r>
      <w:proofErr w:type="spellEnd"/>
      <w:r>
        <w:rPr>
          <w:rFonts w:ascii="Arial" w:hAnsi="Arial" w:cs="Arial"/>
          <w:sz w:val="20"/>
          <w:szCs w:val="20"/>
        </w:rPr>
        <w:t xml:space="preserve"> Journal of Archaeology of Egypt/Egyptology, 17(12), 670-682.</w:t>
      </w:r>
    </w:p>
    <w:p w14:paraId="7103EB43"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Bin Abdulrahman, K. A., Khalaf, A. M., Bin Abbas, F. B., &amp; </w:t>
      </w:r>
      <w:proofErr w:type="spellStart"/>
      <w:r>
        <w:rPr>
          <w:rFonts w:ascii="Arial" w:hAnsi="Arial" w:cs="Arial"/>
          <w:sz w:val="20"/>
          <w:szCs w:val="20"/>
        </w:rPr>
        <w:t>Alanazi</w:t>
      </w:r>
      <w:proofErr w:type="spellEnd"/>
      <w:r>
        <w:rPr>
          <w:rFonts w:ascii="Arial" w:hAnsi="Arial" w:cs="Arial"/>
          <w:sz w:val="20"/>
          <w:szCs w:val="20"/>
        </w:rPr>
        <w:t>, O. T. (2021). St</w:t>
      </w:r>
      <w:r>
        <w:rPr>
          <w:rFonts w:ascii="Arial" w:hAnsi="Arial" w:cs="Arial"/>
          <w:sz w:val="20"/>
          <w:szCs w:val="20"/>
        </w:rPr>
        <w:t xml:space="preserve">udy Habits of Highly Effective Medical Students. Advances in Medical Education and Practice, 12, 627633. </w:t>
      </w:r>
      <w:hyperlink r:id="rId28" w:history="1">
        <w:r w:rsidR="00ED1298">
          <w:rPr>
            <w:rStyle w:val="Hyperlink"/>
            <w:rFonts w:ascii="Arial" w:hAnsi="Arial" w:cs="Arial"/>
            <w:color w:val="auto"/>
            <w:sz w:val="20"/>
            <w:szCs w:val="20"/>
            <w:u w:val="none"/>
          </w:rPr>
          <w:t>https://doi.org/10.2147/AMEP.S309535</w:t>
        </w:r>
      </w:hyperlink>
    </w:p>
    <w:p w14:paraId="3E6550BE"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proofErr w:type="spellStart"/>
      <w:r>
        <w:rPr>
          <w:rFonts w:ascii="Arial" w:hAnsi="Arial" w:cs="Arial"/>
          <w:sz w:val="20"/>
          <w:szCs w:val="20"/>
        </w:rPr>
        <w:t>Camangyan</w:t>
      </w:r>
      <w:proofErr w:type="spellEnd"/>
      <w:r>
        <w:rPr>
          <w:rFonts w:ascii="Arial" w:hAnsi="Arial" w:cs="Arial"/>
          <w:sz w:val="20"/>
          <w:szCs w:val="20"/>
        </w:rPr>
        <w:t xml:space="preserve">, E. T. (2023). Time Management Skills and Academic </w:t>
      </w:r>
      <w:r>
        <w:rPr>
          <w:rFonts w:ascii="Arial" w:hAnsi="Arial" w:cs="Arial"/>
          <w:sz w:val="20"/>
          <w:szCs w:val="20"/>
        </w:rPr>
        <w:t xml:space="preserve">Performance of Grade 9 Students. International Research Journal of Modernization in Engineering Technology and Science, 5(10). </w:t>
      </w:r>
      <w:hyperlink r:id="rId29" w:history="1">
        <w:r w:rsidR="00ED1298">
          <w:rPr>
            <w:rStyle w:val="Hyperlink"/>
            <w:rFonts w:ascii="Arial" w:hAnsi="Arial" w:cs="Arial"/>
            <w:color w:val="auto"/>
            <w:sz w:val="20"/>
            <w:szCs w:val="20"/>
            <w:u w:val="none"/>
          </w:rPr>
          <w:t>https://doi.org/10.56726/irjmets45276</w:t>
        </w:r>
      </w:hyperlink>
    </w:p>
    <w:p w14:paraId="4FD755F9"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Mulaudzi, I. (2023). Factors Affectin</w:t>
      </w:r>
      <w:r>
        <w:rPr>
          <w:rFonts w:ascii="Arial" w:hAnsi="Arial" w:cs="Arial"/>
          <w:sz w:val="20"/>
          <w:szCs w:val="20"/>
        </w:rPr>
        <w:t xml:space="preserve">g Students' Academic Performance: A Case Study of the University Context. Journal of Social Science for Policy Implications. 11. 2334-2919. </w:t>
      </w:r>
    </w:p>
    <w:p w14:paraId="130A2034"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Hendrix, E. (2024). How your surroundings affect the way you study. UCAS; UCAS. </w:t>
      </w:r>
      <w:hyperlink r:id="rId30" w:history="1">
        <w:r w:rsidR="00ED1298">
          <w:rPr>
            <w:rStyle w:val="Hyperlink"/>
            <w:rFonts w:ascii="Arial" w:hAnsi="Arial" w:cs="Arial"/>
            <w:color w:val="auto"/>
            <w:sz w:val="20"/>
            <w:szCs w:val="20"/>
            <w:u w:val="none"/>
          </w:rPr>
          <w:t>https://www.ucas.com/connect/blogs/how-your-surroundings-affect-way-you-study</w:t>
        </w:r>
      </w:hyperlink>
    </w:p>
    <w:p w14:paraId="06823034"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proofErr w:type="spellStart"/>
      <w:r>
        <w:rPr>
          <w:rFonts w:ascii="Arial" w:hAnsi="Arial" w:cs="Arial"/>
          <w:sz w:val="20"/>
          <w:szCs w:val="20"/>
        </w:rPr>
        <w:t>Walck</w:t>
      </w:r>
      <w:proofErr w:type="spellEnd"/>
      <w:r>
        <w:rPr>
          <w:rFonts w:ascii="Arial" w:hAnsi="Arial" w:cs="Arial"/>
          <w:sz w:val="20"/>
          <w:szCs w:val="20"/>
        </w:rPr>
        <w:t>-Shannon, E. M., Rowell, S. F., &amp; Frey, R. F. (2021). To What Extent Do Study Habits Relate to Performance? CBE—Li</w:t>
      </w:r>
      <w:r>
        <w:rPr>
          <w:rFonts w:ascii="Arial" w:hAnsi="Arial" w:cs="Arial"/>
          <w:sz w:val="20"/>
          <w:szCs w:val="20"/>
        </w:rPr>
        <w:t xml:space="preserve">fe Sciences Education, 20(1), ar6. </w:t>
      </w:r>
      <w:hyperlink r:id="rId31" w:history="1">
        <w:r w:rsidR="00ED1298">
          <w:rPr>
            <w:rStyle w:val="Hyperlink"/>
            <w:rFonts w:ascii="Arial" w:hAnsi="Arial" w:cs="Arial"/>
            <w:color w:val="auto"/>
            <w:sz w:val="20"/>
            <w:szCs w:val="20"/>
            <w:u w:val="none"/>
          </w:rPr>
          <w:t>https://doi.org/10.1187/cbe.20-05-0091</w:t>
        </w:r>
      </w:hyperlink>
    </w:p>
    <w:p w14:paraId="4B7FEF0A"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Al-</w:t>
      </w:r>
      <w:proofErr w:type="spellStart"/>
      <w:r>
        <w:rPr>
          <w:rFonts w:ascii="Arial" w:hAnsi="Arial" w:cs="Arial"/>
          <w:sz w:val="20"/>
          <w:szCs w:val="20"/>
        </w:rPr>
        <w:t>Adwan</w:t>
      </w:r>
      <w:proofErr w:type="spellEnd"/>
      <w:r>
        <w:rPr>
          <w:rFonts w:ascii="Arial" w:hAnsi="Arial" w:cs="Arial"/>
          <w:sz w:val="20"/>
          <w:szCs w:val="20"/>
        </w:rPr>
        <w:t xml:space="preserve">, A.S., </w:t>
      </w:r>
      <w:proofErr w:type="spellStart"/>
      <w:r>
        <w:rPr>
          <w:rFonts w:ascii="Arial" w:hAnsi="Arial" w:cs="Arial"/>
          <w:sz w:val="20"/>
          <w:szCs w:val="20"/>
        </w:rPr>
        <w:t>Albelbisi</w:t>
      </w:r>
      <w:proofErr w:type="spellEnd"/>
      <w:r>
        <w:rPr>
          <w:rFonts w:ascii="Arial" w:hAnsi="Arial" w:cs="Arial"/>
          <w:sz w:val="20"/>
          <w:szCs w:val="20"/>
        </w:rPr>
        <w:t xml:space="preserve">, N.A., </w:t>
      </w:r>
      <w:proofErr w:type="spellStart"/>
      <w:r>
        <w:rPr>
          <w:rFonts w:ascii="Arial" w:hAnsi="Arial" w:cs="Arial"/>
          <w:sz w:val="20"/>
          <w:szCs w:val="20"/>
        </w:rPr>
        <w:t>Aladwan</w:t>
      </w:r>
      <w:proofErr w:type="spellEnd"/>
      <w:r>
        <w:rPr>
          <w:rFonts w:ascii="Arial" w:hAnsi="Arial" w:cs="Arial"/>
          <w:sz w:val="20"/>
          <w:szCs w:val="20"/>
        </w:rPr>
        <w:t xml:space="preserve">, S.H., </w:t>
      </w:r>
      <w:proofErr w:type="spellStart"/>
      <w:r>
        <w:rPr>
          <w:rFonts w:ascii="Arial" w:hAnsi="Arial" w:cs="Arial"/>
          <w:sz w:val="20"/>
          <w:szCs w:val="20"/>
        </w:rPr>
        <w:t>Horani</w:t>
      </w:r>
      <w:proofErr w:type="spellEnd"/>
      <w:r>
        <w:rPr>
          <w:rFonts w:ascii="Arial" w:hAnsi="Arial" w:cs="Arial"/>
          <w:sz w:val="20"/>
          <w:szCs w:val="20"/>
        </w:rPr>
        <w:t>, O., Al-</w:t>
      </w:r>
      <w:proofErr w:type="spellStart"/>
      <w:r>
        <w:rPr>
          <w:rFonts w:ascii="Arial" w:hAnsi="Arial" w:cs="Arial"/>
          <w:sz w:val="20"/>
          <w:szCs w:val="20"/>
        </w:rPr>
        <w:t>Madadha</w:t>
      </w:r>
      <w:proofErr w:type="spellEnd"/>
      <w:r>
        <w:rPr>
          <w:rFonts w:ascii="Arial" w:hAnsi="Arial" w:cs="Arial"/>
          <w:sz w:val="20"/>
          <w:szCs w:val="20"/>
        </w:rPr>
        <w:t xml:space="preserve">, A. and Al </w:t>
      </w:r>
      <w:proofErr w:type="spellStart"/>
      <w:r>
        <w:rPr>
          <w:rFonts w:ascii="Arial" w:hAnsi="Arial" w:cs="Arial"/>
          <w:sz w:val="20"/>
          <w:szCs w:val="20"/>
        </w:rPr>
        <w:t>Khasawneh</w:t>
      </w:r>
      <w:proofErr w:type="spellEnd"/>
      <w:r>
        <w:rPr>
          <w:rFonts w:ascii="Arial" w:hAnsi="Arial" w:cs="Arial"/>
          <w:sz w:val="20"/>
          <w:szCs w:val="20"/>
        </w:rPr>
        <w:t>, M.H. (2020), “Investigating the im</w:t>
      </w:r>
      <w:r>
        <w:rPr>
          <w:rFonts w:ascii="Arial" w:hAnsi="Arial" w:cs="Arial"/>
          <w:sz w:val="20"/>
          <w:szCs w:val="20"/>
        </w:rPr>
        <w:t xml:space="preserve">pact of social media use on student’s perception of academic performance in higher education: evidence from Jordan”, Journal of Information Technology Education: Research, Vol. 19, pp. 953-975, </w:t>
      </w:r>
      <w:proofErr w:type="spellStart"/>
      <w:r>
        <w:rPr>
          <w:rFonts w:ascii="Arial" w:hAnsi="Arial" w:cs="Arial"/>
          <w:sz w:val="20"/>
          <w:szCs w:val="20"/>
        </w:rPr>
        <w:t>doi</w:t>
      </w:r>
      <w:proofErr w:type="spellEnd"/>
      <w:r>
        <w:rPr>
          <w:rFonts w:ascii="Arial" w:hAnsi="Arial" w:cs="Arial"/>
          <w:sz w:val="20"/>
          <w:szCs w:val="20"/>
        </w:rPr>
        <w:t xml:space="preserve">: 10.28945/4661. </w:t>
      </w:r>
    </w:p>
    <w:p w14:paraId="06023CA9"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proofErr w:type="spellStart"/>
      <w:r>
        <w:rPr>
          <w:rFonts w:ascii="Arial" w:hAnsi="Arial" w:cs="Arial"/>
          <w:sz w:val="20"/>
          <w:szCs w:val="20"/>
          <w:lang w:val="en-PH"/>
        </w:rPr>
        <w:t>Almoslamani</w:t>
      </w:r>
      <w:proofErr w:type="spellEnd"/>
      <w:r>
        <w:rPr>
          <w:rFonts w:ascii="Arial" w:hAnsi="Arial" w:cs="Arial"/>
          <w:sz w:val="20"/>
          <w:szCs w:val="20"/>
          <w:lang w:val="en-PH"/>
        </w:rPr>
        <w:t>, Y. (2022). The impact of lea</w:t>
      </w:r>
      <w:r>
        <w:rPr>
          <w:rFonts w:ascii="Arial" w:hAnsi="Arial" w:cs="Arial"/>
          <w:sz w:val="20"/>
          <w:szCs w:val="20"/>
          <w:lang w:val="en-PH"/>
        </w:rPr>
        <w:t xml:space="preserve">rning strategies on the academic achievement of university students in Saudi Arabia. Learning and Teaching in Higher Education: Gulf Perspectives, 18(1), 4-18. </w:t>
      </w:r>
      <w:hyperlink r:id="rId32" w:history="1">
        <w:r w:rsidR="00ED1298">
          <w:rPr>
            <w:rStyle w:val="Hyperlink"/>
            <w:rFonts w:ascii="Arial" w:hAnsi="Arial" w:cs="Arial"/>
            <w:color w:val="auto"/>
            <w:sz w:val="20"/>
            <w:szCs w:val="20"/>
            <w:u w:val="none"/>
            <w:lang w:val="en-PH"/>
          </w:rPr>
          <w:t>https://doi.org/10.1108/LTHE-08-2020-0025</w:t>
        </w:r>
      </w:hyperlink>
    </w:p>
    <w:p w14:paraId="1EDDD3B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t xml:space="preserve">Tus, J., </w:t>
      </w:r>
      <w:proofErr w:type="spellStart"/>
      <w:r>
        <w:rPr>
          <w:rFonts w:ascii="Arial" w:hAnsi="Arial" w:cs="Arial"/>
          <w:sz w:val="20"/>
          <w:szCs w:val="20"/>
        </w:rPr>
        <w:t>Lubo</w:t>
      </w:r>
      <w:proofErr w:type="spellEnd"/>
      <w:r>
        <w:rPr>
          <w:rFonts w:ascii="Arial" w:hAnsi="Arial" w:cs="Arial"/>
          <w:sz w:val="20"/>
          <w:szCs w:val="20"/>
        </w:rPr>
        <w:t xml:space="preserve">, R., Rayo, F., &amp; Cruz, M. A. (2020). The Learner’s Study Habits and Its Relation on Their Academic Performance. International Journal </w:t>
      </w:r>
      <w:proofErr w:type="gramStart"/>
      <w:r>
        <w:rPr>
          <w:rFonts w:ascii="Arial" w:hAnsi="Arial" w:cs="Arial"/>
          <w:sz w:val="20"/>
          <w:szCs w:val="20"/>
        </w:rPr>
        <w:t>Of</w:t>
      </w:r>
      <w:proofErr w:type="gramEnd"/>
      <w:r>
        <w:rPr>
          <w:rFonts w:ascii="Arial" w:hAnsi="Arial" w:cs="Arial"/>
          <w:sz w:val="20"/>
          <w:szCs w:val="20"/>
        </w:rPr>
        <w:t xml:space="preserve"> All Research Writings, 2(6), 1-19. </w:t>
      </w:r>
    </w:p>
    <w:p w14:paraId="3F0F2543"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t>‌</w:t>
      </w:r>
      <w:r>
        <w:rPr>
          <w:rFonts w:ascii="Arial" w:hAnsi="Arial" w:cs="Arial"/>
          <w:sz w:val="20"/>
          <w:szCs w:val="20"/>
          <w:lang w:val="en-PH"/>
        </w:rPr>
        <w:t>Al-</w:t>
      </w:r>
      <w:proofErr w:type="spellStart"/>
      <w:r>
        <w:rPr>
          <w:rFonts w:ascii="Arial" w:hAnsi="Arial" w:cs="Arial"/>
          <w:sz w:val="20"/>
          <w:szCs w:val="20"/>
          <w:lang w:val="en-PH"/>
        </w:rPr>
        <w:t>Ghazo</w:t>
      </w:r>
      <w:proofErr w:type="spellEnd"/>
      <w:r>
        <w:rPr>
          <w:rFonts w:ascii="Arial" w:hAnsi="Arial" w:cs="Arial"/>
          <w:sz w:val="20"/>
          <w:szCs w:val="20"/>
          <w:lang w:val="en-PH"/>
        </w:rPr>
        <w:t>, A. (2023). The Impact of Note-Taking Strategy on EFL L</w:t>
      </w:r>
      <w:r>
        <w:rPr>
          <w:rFonts w:ascii="Arial" w:hAnsi="Arial" w:cs="Arial"/>
          <w:sz w:val="20"/>
          <w:szCs w:val="20"/>
          <w:lang w:val="en-PH"/>
        </w:rPr>
        <w:t xml:space="preserve">earners’ Listening Comprehension. Theory and Practice in Language Studies, 13(5), 1136-1147. </w:t>
      </w:r>
      <w:hyperlink r:id="rId33" w:history="1">
        <w:r w:rsidR="00ED1298">
          <w:rPr>
            <w:rStyle w:val="Hyperlink"/>
            <w:rFonts w:ascii="Arial" w:hAnsi="Arial" w:cs="Arial"/>
            <w:color w:val="auto"/>
            <w:sz w:val="20"/>
            <w:szCs w:val="20"/>
            <w:u w:val="none"/>
            <w:lang w:val="en-PH"/>
          </w:rPr>
          <w:t>https://doi.org/doi10.17507/tpls.1305.06</w:t>
        </w:r>
      </w:hyperlink>
      <w:r>
        <w:rPr>
          <w:rFonts w:ascii="Arial" w:hAnsi="Arial" w:cs="Arial"/>
          <w:sz w:val="20"/>
          <w:szCs w:val="20"/>
          <w:lang w:val="en-PH"/>
        </w:rPr>
        <w:t xml:space="preserve"> </w:t>
      </w:r>
    </w:p>
    <w:p w14:paraId="43154DC3"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 xml:space="preserve">Brown-Schmidt, S., Jaeger, C. B., Evans, M. J. &amp; Benjamin, A. S. (2023). MEMCONS: How Contemporaneous Note-Taking Shapes Memory for Conversation. Cognitive Science: A Multidisciplinary Journal, 47(4), e13271. </w:t>
      </w:r>
      <w:hyperlink r:id="rId34" w:history="1">
        <w:r w:rsidR="00ED1298">
          <w:rPr>
            <w:rStyle w:val="Hyperlink"/>
            <w:rFonts w:ascii="Arial" w:hAnsi="Arial" w:cs="Arial"/>
            <w:color w:val="auto"/>
            <w:sz w:val="20"/>
            <w:szCs w:val="20"/>
            <w:u w:val="none"/>
            <w:lang w:val="en-PH"/>
          </w:rPr>
          <w:t>https://doi.org/10.1111/cogs.13271</w:t>
        </w:r>
      </w:hyperlink>
    </w:p>
    <w:p w14:paraId="23550430"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proofErr w:type="spellStart"/>
      <w:r>
        <w:rPr>
          <w:rFonts w:ascii="Arial" w:hAnsi="Arial" w:cs="Arial"/>
          <w:sz w:val="20"/>
          <w:szCs w:val="20"/>
          <w:lang w:val="en-PH"/>
        </w:rPr>
        <w:t>Salame</w:t>
      </w:r>
      <w:proofErr w:type="spellEnd"/>
      <w:r>
        <w:rPr>
          <w:rFonts w:ascii="Arial" w:hAnsi="Arial" w:cs="Arial"/>
          <w:sz w:val="20"/>
          <w:szCs w:val="20"/>
          <w:lang w:val="en-PH"/>
        </w:rPr>
        <w:t xml:space="preserve">, I. I., Tuba, M., &amp; </w:t>
      </w:r>
      <w:proofErr w:type="spellStart"/>
      <w:r>
        <w:rPr>
          <w:rFonts w:ascii="Arial" w:hAnsi="Arial" w:cs="Arial"/>
          <w:sz w:val="20"/>
          <w:szCs w:val="20"/>
          <w:lang w:val="en-PH"/>
        </w:rPr>
        <w:t>Nujhat</w:t>
      </w:r>
      <w:proofErr w:type="spellEnd"/>
      <w:r>
        <w:rPr>
          <w:rFonts w:ascii="Arial" w:hAnsi="Arial" w:cs="Arial"/>
          <w:sz w:val="20"/>
          <w:szCs w:val="20"/>
          <w:lang w:val="en-PH"/>
        </w:rPr>
        <w:t xml:space="preserve">, M. (2024). Note-taking and its impact on learning, academic performance, and memory. International Journal of Instruction, 17(3), 599-616. </w:t>
      </w:r>
      <w:hyperlink r:id="rId35" w:history="1">
        <w:r w:rsidR="00ED1298">
          <w:rPr>
            <w:rStyle w:val="Hyperlink"/>
            <w:rFonts w:ascii="Arial" w:hAnsi="Arial" w:cs="Arial"/>
            <w:color w:val="auto"/>
            <w:sz w:val="20"/>
            <w:szCs w:val="20"/>
            <w:u w:val="none"/>
            <w:lang w:val="en-PH"/>
          </w:rPr>
          <w:t>https://doi.org/10.29333/iji.2024.17333a</w:t>
        </w:r>
      </w:hyperlink>
    </w:p>
    <w:p w14:paraId="0F8E70D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Reyes, M. (2024). Mastering organization: Essential skills for student success. Teamsatchel.com; Satchel Pulse. </w:t>
      </w:r>
      <w:hyperlink r:id="rId36" w:history="1">
        <w:r w:rsidR="00ED1298">
          <w:rPr>
            <w:rStyle w:val="Hyperlink"/>
            <w:rFonts w:ascii="Arial" w:hAnsi="Arial" w:cs="Arial"/>
            <w:color w:val="auto"/>
            <w:sz w:val="20"/>
            <w:szCs w:val="20"/>
            <w:u w:val="none"/>
          </w:rPr>
          <w:t>https://blog.teamsatchel.com/pulse/mastering-organization-essential-skills-for-student-success</w:t>
        </w:r>
      </w:hyperlink>
    </w:p>
    <w:p w14:paraId="668AD16C"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Huang, H. L., &amp; Lee, R. (2020). The role of hard work in predicting academic achievement in junior high school. Journal of Educational Psyc</w:t>
      </w:r>
      <w:r>
        <w:rPr>
          <w:rFonts w:ascii="Arial" w:hAnsi="Arial" w:cs="Arial"/>
          <w:sz w:val="20"/>
          <w:szCs w:val="20"/>
        </w:rPr>
        <w:t>hology, 112(1), 42-54.</w:t>
      </w:r>
    </w:p>
    <w:p w14:paraId="769111B8"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proofErr w:type="spellStart"/>
      <w:r>
        <w:rPr>
          <w:rFonts w:ascii="Arial" w:hAnsi="Arial" w:cs="Arial"/>
          <w:sz w:val="20"/>
          <w:szCs w:val="20"/>
        </w:rPr>
        <w:t>Sulaiman</w:t>
      </w:r>
      <w:proofErr w:type="spellEnd"/>
      <w:r>
        <w:rPr>
          <w:rFonts w:ascii="Arial" w:hAnsi="Arial" w:cs="Arial"/>
          <w:sz w:val="20"/>
          <w:szCs w:val="20"/>
        </w:rPr>
        <w:t xml:space="preserve">, I. F., Raheem, A., &amp; Malik, A. A. (2024). The Role of Hard Work on Academic Success Among University Students. Asian Journal of Research in Education and </w:t>
      </w:r>
      <w:r>
        <w:rPr>
          <w:rFonts w:ascii="Arial" w:hAnsi="Arial" w:cs="Arial"/>
          <w:sz w:val="20"/>
          <w:szCs w:val="20"/>
        </w:rPr>
        <w:lastRenderedPageBreak/>
        <w:t xml:space="preserve">Social Sciences, 6(1), 296–304. </w:t>
      </w:r>
      <w:hyperlink r:id="rId37" w:history="1">
        <w:r w:rsidR="00ED1298">
          <w:rPr>
            <w:rStyle w:val="Hyperlink"/>
            <w:rFonts w:ascii="Arial" w:hAnsi="Arial" w:cs="Arial"/>
            <w:color w:val="auto"/>
            <w:sz w:val="20"/>
            <w:szCs w:val="20"/>
            <w:u w:val="none"/>
          </w:rPr>
          <w:t>https://myjms.mohe.gov.my/index.php/ajress/article/view/25550</w:t>
        </w:r>
      </w:hyperlink>
    </w:p>
    <w:p w14:paraId="3661B8DB"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Trinh, G.T.T. (2023)</w:t>
      </w:r>
      <w:r>
        <w:rPr>
          <w:rFonts w:ascii="Arial" w:hAnsi="Arial" w:cs="Arial"/>
          <w:sz w:val="20"/>
          <w:szCs w:val="20"/>
        </w:rPr>
        <w:t>.</w:t>
      </w:r>
      <w:r>
        <w:rPr>
          <w:rFonts w:ascii="Arial" w:hAnsi="Arial" w:cs="Arial"/>
          <w:sz w:val="20"/>
          <w:szCs w:val="20"/>
          <w:lang w:val="en-PH"/>
        </w:rPr>
        <w:t xml:space="preserve"> Examining the impacts of out-of-class student engagement on student competencies in the context of business students in Vietnam – e</w:t>
      </w:r>
      <w:r>
        <w:rPr>
          <w:rFonts w:ascii="Arial" w:hAnsi="Arial" w:cs="Arial"/>
          <w:sz w:val="20"/>
          <w:szCs w:val="20"/>
          <w:lang w:val="en-PH"/>
        </w:rPr>
        <w:t xml:space="preserve">vidence from universities in Hanoi", Journal of Applied Research in Higher Education, Vol. </w:t>
      </w:r>
      <w:proofErr w:type="spellStart"/>
      <w:r>
        <w:rPr>
          <w:rFonts w:ascii="Arial" w:hAnsi="Arial" w:cs="Arial"/>
          <w:sz w:val="20"/>
          <w:szCs w:val="20"/>
          <w:lang w:val="en-PH"/>
        </w:rPr>
        <w:t>aheadof</w:t>
      </w:r>
      <w:proofErr w:type="spellEnd"/>
      <w:r>
        <w:rPr>
          <w:rFonts w:ascii="Arial" w:hAnsi="Arial" w:cs="Arial"/>
          <w:sz w:val="20"/>
          <w:szCs w:val="20"/>
          <w:lang w:val="en-PH"/>
        </w:rPr>
        <w:t xml:space="preserve">-print No. ahead-of-print. </w:t>
      </w:r>
      <w:hyperlink r:id="rId38" w:history="1">
        <w:r w:rsidR="00ED1298">
          <w:rPr>
            <w:rStyle w:val="Hyperlink"/>
            <w:rFonts w:ascii="Arial" w:hAnsi="Arial" w:cs="Arial"/>
            <w:color w:val="auto"/>
            <w:sz w:val="20"/>
            <w:szCs w:val="20"/>
            <w:u w:val="none"/>
            <w:lang w:val="en-PH"/>
          </w:rPr>
          <w:t>https://doi.org/10.1108/JARHE-09-2022-0297</w:t>
        </w:r>
      </w:hyperlink>
    </w:p>
    <w:p w14:paraId="5DFD6A85"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 xml:space="preserve">Li, L. (2023). Designing Fun </w:t>
      </w:r>
      <w:r>
        <w:rPr>
          <w:rFonts w:ascii="Arial" w:hAnsi="Arial" w:cs="Arial"/>
          <w:sz w:val="20"/>
          <w:szCs w:val="20"/>
          <w:lang w:val="en-PH"/>
        </w:rPr>
        <w:t>Teaching Activities in Guzheng Education. International Journal of Education and Humanities, 9(1), 1-4.</w:t>
      </w:r>
    </w:p>
    <w:p w14:paraId="5DEC5CA9"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t>Wilson, R., Joiner, K., &amp; Abbasi, A. (2021). Improving students’ performance with time management skills. Journal of University Teaching &amp; Learning Prac</w:t>
      </w:r>
      <w:r>
        <w:rPr>
          <w:rFonts w:ascii="Arial" w:hAnsi="Arial" w:cs="Arial"/>
          <w:sz w:val="20"/>
          <w:szCs w:val="20"/>
        </w:rPr>
        <w:t xml:space="preserve">tice, 18(4). </w:t>
      </w:r>
      <w:hyperlink r:id="rId39" w:history="1">
        <w:r w:rsidR="00ED1298">
          <w:rPr>
            <w:rStyle w:val="Hyperlink"/>
            <w:rFonts w:ascii="Arial" w:hAnsi="Arial" w:cs="Arial"/>
            <w:color w:val="auto"/>
            <w:sz w:val="20"/>
            <w:szCs w:val="20"/>
            <w:u w:val="none"/>
          </w:rPr>
          <w:t>https://ro.uow.edu.au/jutlp/vol18/iss4/16</w:t>
        </w:r>
      </w:hyperlink>
    </w:p>
    <w:p w14:paraId="4FABB24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t xml:space="preserve">Mai, M. Y., Yusuf, M., and Saleh, M. (2023). Motivation and engagement as a predictor of </w:t>
      </w:r>
      <w:proofErr w:type="gramStart"/>
      <w:r>
        <w:rPr>
          <w:rFonts w:ascii="Arial" w:hAnsi="Arial" w:cs="Arial"/>
          <w:sz w:val="20"/>
          <w:szCs w:val="20"/>
        </w:rPr>
        <w:t>students</w:t>
      </w:r>
      <w:proofErr w:type="gramEnd"/>
      <w:r>
        <w:rPr>
          <w:rFonts w:ascii="Arial" w:hAnsi="Arial" w:cs="Arial"/>
          <w:sz w:val="20"/>
          <w:szCs w:val="20"/>
        </w:rPr>
        <w:t xml:space="preserve"> science achievement satisfaction of Malaysian of secondary school students. Eur. J. Educ. 6, 96–107. </w:t>
      </w:r>
      <w:proofErr w:type="spellStart"/>
      <w:r>
        <w:rPr>
          <w:rFonts w:ascii="Arial" w:hAnsi="Arial" w:cs="Arial"/>
          <w:sz w:val="20"/>
          <w:szCs w:val="20"/>
        </w:rPr>
        <w:t>doi</w:t>
      </w:r>
      <w:proofErr w:type="spellEnd"/>
      <w:r>
        <w:rPr>
          <w:rFonts w:ascii="Arial" w:hAnsi="Arial" w:cs="Arial"/>
          <w:sz w:val="20"/>
          <w:szCs w:val="20"/>
        </w:rPr>
        <w:t xml:space="preserve">: 10.2478/ejed-2023-0019 </w:t>
      </w:r>
    </w:p>
    <w:p w14:paraId="08E27947"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proofErr w:type="spellStart"/>
      <w:r>
        <w:rPr>
          <w:rFonts w:ascii="Arial" w:hAnsi="Arial" w:cs="Arial"/>
          <w:sz w:val="20"/>
          <w:szCs w:val="20"/>
          <w:lang w:val="en-PH"/>
        </w:rPr>
        <w:t>Membiela</w:t>
      </w:r>
      <w:proofErr w:type="spellEnd"/>
      <w:r>
        <w:rPr>
          <w:rFonts w:ascii="Arial" w:hAnsi="Arial" w:cs="Arial"/>
          <w:sz w:val="20"/>
          <w:szCs w:val="20"/>
          <w:lang w:val="en-PH"/>
        </w:rPr>
        <w:t xml:space="preserve">, P., Acosta, K., </w:t>
      </w:r>
      <w:proofErr w:type="spellStart"/>
      <w:r>
        <w:rPr>
          <w:rFonts w:ascii="Arial" w:hAnsi="Arial" w:cs="Arial"/>
          <w:sz w:val="20"/>
          <w:szCs w:val="20"/>
          <w:lang w:val="en-PH"/>
        </w:rPr>
        <w:t>Ye</w:t>
      </w:r>
      <w:r>
        <w:rPr>
          <w:rFonts w:ascii="Arial" w:hAnsi="Arial" w:cs="Arial"/>
          <w:sz w:val="20"/>
          <w:szCs w:val="20"/>
          <w:lang w:val="en-PH"/>
        </w:rPr>
        <w:t>bra</w:t>
      </w:r>
      <w:proofErr w:type="spellEnd"/>
      <w:r>
        <w:rPr>
          <w:rFonts w:ascii="Arial" w:hAnsi="Arial" w:cs="Arial"/>
          <w:sz w:val="20"/>
          <w:szCs w:val="20"/>
          <w:lang w:val="en-PH"/>
        </w:rPr>
        <w:t xml:space="preserve">, M. A., and González, A. (2023). Motivation to learn science, emotions in science classes, and engagement towards science studies in Chilean and Spanish compulsory secondary education students. Sci. Educ. 107, 939–963. </w:t>
      </w:r>
      <w:proofErr w:type="spellStart"/>
      <w:r>
        <w:rPr>
          <w:rFonts w:ascii="Arial" w:hAnsi="Arial" w:cs="Arial"/>
          <w:sz w:val="20"/>
          <w:szCs w:val="20"/>
          <w:lang w:val="en-PH"/>
        </w:rPr>
        <w:t>doi</w:t>
      </w:r>
      <w:proofErr w:type="spellEnd"/>
      <w:r>
        <w:rPr>
          <w:rFonts w:ascii="Arial" w:hAnsi="Arial" w:cs="Arial"/>
          <w:sz w:val="20"/>
          <w:szCs w:val="20"/>
          <w:lang w:val="en-PH"/>
        </w:rPr>
        <w:t>: 10.1002/sce.21793</w:t>
      </w:r>
      <w:r>
        <w:rPr>
          <w:rFonts w:ascii="Arial" w:hAnsi="Arial" w:cs="Arial"/>
          <w:sz w:val="20"/>
          <w:szCs w:val="20"/>
        </w:rPr>
        <w:t>.</w:t>
      </w:r>
    </w:p>
    <w:p w14:paraId="73535076"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 xml:space="preserve">Wood, R. </w:t>
      </w:r>
      <w:r>
        <w:rPr>
          <w:rFonts w:ascii="Arial" w:hAnsi="Arial" w:cs="Arial"/>
          <w:sz w:val="20"/>
          <w:szCs w:val="20"/>
          <w:lang w:val="en-PH"/>
        </w:rPr>
        <w:t xml:space="preserve">(2019). Students’ motivation to engage with science learning activities through the lens of self-determination theory: results from a single-case school-based study. Eur. J. Math. Sci. Technol. Educ. 15, 1–22. </w:t>
      </w:r>
      <w:proofErr w:type="spellStart"/>
      <w:r>
        <w:rPr>
          <w:rFonts w:ascii="Arial" w:hAnsi="Arial" w:cs="Arial"/>
          <w:sz w:val="20"/>
          <w:szCs w:val="20"/>
          <w:lang w:val="en-PH"/>
        </w:rPr>
        <w:t>doi</w:t>
      </w:r>
      <w:proofErr w:type="spellEnd"/>
      <w:r>
        <w:rPr>
          <w:rFonts w:ascii="Arial" w:hAnsi="Arial" w:cs="Arial"/>
          <w:sz w:val="20"/>
          <w:szCs w:val="20"/>
          <w:lang w:val="en-PH"/>
        </w:rPr>
        <w:t>: 10.29333/</w:t>
      </w:r>
      <w:proofErr w:type="spellStart"/>
      <w:r>
        <w:rPr>
          <w:rFonts w:ascii="Arial" w:hAnsi="Arial" w:cs="Arial"/>
          <w:sz w:val="20"/>
          <w:szCs w:val="20"/>
          <w:lang w:val="en-PH"/>
        </w:rPr>
        <w:t>ejmste</w:t>
      </w:r>
      <w:proofErr w:type="spellEnd"/>
      <w:r>
        <w:rPr>
          <w:rFonts w:ascii="Arial" w:hAnsi="Arial" w:cs="Arial"/>
          <w:sz w:val="20"/>
          <w:szCs w:val="20"/>
          <w:lang w:val="en-PH"/>
        </w:rPr>
        <w:t xml:space="preserve">/106110 </w:t>
      </w:r>
    </w:p>
    <w:p w14:paraId="5E42BD7F"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lang w:val="en-PH"/>
        </w:rPr>
        <w:t xml:space="preserve">Lee, Y., </w:t>
      </w:r>
      <w:proofErr w:type="spellStart"/>
      <w:r>
        <w:rPr>
          <w:rFonts w:ascii="Arial" w:hAnsi="Arial" w:cs="Arial"/>
          <w:sz w:val="20"/>
          <w:szCs w:val="20"/>
          <w:lang w:val="en-PH"/>
        </w:rPr>
        <w:t>Capraro</w:t>
      </w:r>
      <w:proofErr w:type="spellEnd"/>
      <w:r>
        <w:rPr>
          <w:rFonts w:ascii="Arial" w:hAnsi="Arial" w:cs="Arial"/>
          <w:sz w:val="20"/>
          <w:szCs w:val="20"/>
          <w:lang w:val="en-PH"/>
        </w:rPr>
        <w:t>,</w:t>
      </w:r>
      <w:r>
        <w:rPr>
          <w:rFonts w:ascii="Arial" w:hAnsi="Arial" w:cs="Arial"/>
          <w:sz w:val="20"/>
          <w:szCs w:val="20"/>
          <w:lang w:val="en-PH"/>
        </w:rPr>
        <w:t xml:space="preserve"> R. M., and </w:t>
      </w:r>
      <w:proofErr w:type="spellStart"/>
      <w:r>
        <w:rPr>
          <w:rFonts w:ascii="Arial" w:hAnsi="Arial" w:cs="Arial"/>
          <w:sz w:val="20"/>
          <w:szCs w:val="20"/>
          <w:lang w:val="en-PH"/>
        </w:rPr>
        <w:t>Bicer</w:t>
      </w:r>
      <w:proofErr w:type="spellEnd"/>
      <w:r>
        <w:rPr>
          <w:rFonts w:ascii="Arial" w:hAnsi="Arial" w:cs="Arial"/>
          <w:sz w:val="20"/>
          <w:szCs w:val="20"/>
          <w:lang w:val="en-PH"/>
        </w:rPr>
        <w:t xml:space="preserve">, A. (2019). Affective mathematics engagement: a comparison of STEM PBL versus non-STEM PBL instruction. Can. J. Sci. Math. Technol. Educ. 19, 270–289. </w:t>
      </w:r>
      <w:proofErr w:type="spellStart"/>
      <w:r>
        <w:rPr>
          <w:rFonts w:ascii="Arial" w:hAnsi="Arial" w:cs="Arial"/>
          <w:sz w:val="20"/>
          <w:szCs w:val="20"/>
          <w:lang w:val="en-PH"/>
        </w:rPr>
        <w:t>doi</w:t>
      </w:r>
      <w:proofErr w:type="spellEnd"/>
      <w:r>
        <w:rPr>
          <w:rFonts w:ascii="Arial" w:hAnsi="Arial" w:cs="Arial"/>
          <w:sz w:val="20"/>
          <w:szCs w:val="20"/>
          <w:lang w:val="en-PH"/>
        </w:rPr>
        <w:t xml:space="preserve">: 10.1007/s42330-019-00050-0 </w:t>
      </w:r>
    </w:p>
    <w:p w14:paraId="416C8A14"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proofErr w:type="spellStart"/>
      <w:r>
        <w:rPr>
          <w:rFonts w:ascii="Arial" w:hAnsi="Arial" w:cs="Arial"/>
          <w:sz w:val="20"/>
          <w:szCs w:val="20"/>
        </w:rPr>
        <w:t>Eshach</w:t>
      </w:r>
      <w:proofErr w:type="spellEnd"/>
      <w:r>
        <w:rPr>
          <w:rFonts w:ascii="Arial" w:hAnsi="Arial" w:cs="Arial"/>
          <w:sz w:val="20"/>
          <w:szCs w:val="20"/>
        </w:rPr>
        <w:t>, H., &amp; Fried, M. N. (2019). Taking a critical s</w:t>
      </w:r>
      <w:r>
        <w:rPr>
          <w:rFonts w:ascii="Arial" w:hAnsi="Arial" w:cs="Arial"/>
          <w:sz w:val="20"/>
          <w:szCs w:val="20"/>
        </w:rPr>
        <w:t>tance towards the promotion of students' scientific agency in school science. Research in Science Education, 49(3), 933-953.</w:t>
      </w:r>
    </w:p>
    <w:p w14:paraId="7BF9EC0A"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Mojica, L., Peck, C. A., Phelps, A. J., &amp; </w:t>
      </w:r>
      <w:proofErr w:type="spellStart"/>
      <w:r>
        <w:rPr>
          <w:rFonts w:ascii="Arial" w:hAnsi="Arial" w:cs="Arial"/>
          <w:sz w:val="20"/>
          <w:szCs w:val="20"/>
        </w:rPr>
        <w:t>Grollman</w:t>
      </w:r>
      <w:proofErr w:type="spellEnd"/>
      <w:r>
        <w:rPr>
          <w:rFonts w:ascii="Arial" w:hAnsi="Arial" w:cs="Arial"/>
          <w:sz w:val="20"/>
          <w:szCs w:val="20"/>
        </w:rPr>
        <w:t>, D. H. (2020). Exploring the impact of teacher formative assessment on middle sc</w:t>
      </w:r>
      <w:r>
        <w:rPr>
          <w:rFonts w:ascii="Arial" w:hAnsi="Arial" w:cs="Arial"/>
          <w:sz w:val="20"/>
          <w:szCs w:val="20"/>
        </w:rPr>
        <w:t>hool students' self-efficacy, self-regulation, and achievement in science. Journal of Science Teacher Education, 31(1), 1-20.</w:t>
      </w:r>
    </w:p>
    <w:p w14:paraId="3DE1467A"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proofErr w:type="spellStart"/>
      <w:r>
        <w:rPr>
          <w:rFonts w:ascii="Arial" w:hAnsi="Arial" w:cs="Arial"/>
          <w:sz w:val="20"/>
          <w:szCs w:val="20"/>
        </w:rPr>
        <w:t>Nazamud</w:t>
      </w:r>
      <w:proofErr w:type="spellEnd"/>
      <w:r>
        <w:rPr>
          <w:rFonts w:ascii="Arial" w:hAnsi="Arial" w:cs="Arial"/>
          <w:sz w:val="20"/>
          <w:szCs w:val="20"/>
        </w:rPr>
        <w:t xml:space="preserve">-din, A., </w:t>
      </w:r>
      <w:proofErr w:type="spellStart"/>
      <w:r>
        <w:rPr>
          <w:rFonts w:ascii="Arial" w:hAnsi="Arial" w:cs="Arial"/>
          <w:sz w:val="20"/>
          <w:szCs w:val="20"/>
        </w:rPr>
        <w:t>Zaini</w:t>
      </w:r>
      <w:proofErr w:type="spellEnd"/>
      <w:r>
        <w:rPr>
          <w:rFonts w:ascii="Arial" w:hAnsi="Arial" w:cs="Arial"/>
          <w:sz w:val="20"/>
          <w:szCs w:val="20"/>
        </w:rPr>
        <w:t>, M. H., &amp; Jamil, N. H. M. (2020). The Relationship of Affective, Behavioral and Cognitive Engagements in ES</w:t>
      </w:r>
      <w:r>
        <w:rPr>
          <w:rFonts w:ascii="Arial" w:hAnsi="Arial" w:cs="Arial"/>
          <w:sz w:val="20"/>
          <w:szCs w:val="20"/>
        </w:rPr>
        <w:t xml:space="preserve">L Higher Learning Classroom. English Language Teaching and Linguistics Studies, 2(4), p48. </w:t>
      </w:r>
      <w:hyperlink r:id="rId40" w:history="1">
        <w:r w:rsidR="00ED1298">
          <w:rPr>
            <w:rStyle w:val="Hyperlink"/>
            <w:rFonts w:ascii="Arial" w:hAnsi="Arial" w:cs="Arial"/>
            <w:color w:val="auto"/>
            <w:sz w:val="20"/>
            <w:szCs w:val="20"/>
            <w:u w:val="none"/>
          </w:rPr>
          <w:t>https://doi.org/10.22158/eltls.v2n4p48</w:t>
        </w:r>
      </w:hyperlink>
    </w:p>
    <w:p w14:paraId="06598021"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Park, J. Y., Kim, H. K., &amp; Kim, Y. J. (2021). The effect of environmental knowledge on pro-environmental behavior in South Korea. Sustainability, 13(2), 633. </w:t>
      </w:r>
      <w:hyperlink r:id="rId41" w:tgtFrame="_new" w:history="1">
        <w:r w:rsidR="00ED1298">
          <w:rPr>
            <w:rStyle w:val="Hyperlink"/>
            <w:rFonts w:ascii="Arial" w:hAnsi="Arial" w:cs="Arial"/>
            <w:color w:val="auto"/>
            <w:sz w:val="20"/>
            <w:szCs w:val="20"/>
            <w:u w:val="none"/>
            <w:bdr w:val="single" w:sz="2" w:space="0" w:color="D9D9E3"/>
          </w:rPr>
          <w:t>https://doi.org/10.3390/su13020633</w:t>
        </w:r>
      </w:hyperlink>
    </w:p>
    <w:p w14:paraId="3295223E"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S</w:t>
      </w:r>
      <w:r>
        <w:rPr>
          <w:rFonts w:ascii="Arial" w:hAnsi="Arial" w:cs="Arial"/>
          <w:sz w:val="20"/>
          <w:szCs w:val="20"/>
        </w:rPr>
        <w:t>u</w:t>
      </w:r>
      <w:proofErr w:type="spellEnd"/>
      <w:r>
        <w:rPr>
          <w:rFonts w:ascii="Arial" w:hAnsi="Arial" w:cs="Arial"/>
          <w:sz w:val="20"/>
          <w:szCs w:val="20"/>
        </w:rPr>
        <w:t xml:space="preserve">, W., Chen, Y. C., Chen, C. C., &amp; Liao, P. H. (2020). The effects of environmental knowledge on sustainable tourism behavior: Evidence from Taiwan. Journal of Sustainable Tourism, 28(6), 794-813. </w:t>
      </w:r>
      <w:hyperlink r:id="rId42" w:tgtFrame="_new" w:history="1">
        <w:r w:rsidR="00ED1298">
          <w:rPr>
            <w:rStyle w:val="Hyperlink"/>
            <w:rFonts w:ascii="Arial" w:hAnsi="Arial" w:cs="Arial"/>
            <w:color w:val="auto"/>
            <w:sz w:val="20"/>
            <w:szCs w:val="20"/>
            <w:u w:val="none"/>
            <w:bdr w:val="single" w:sz="2" w:space="0" w:color="D9D9E3"/>
          </w:rPr>
          <w:t>https://doi.org/10.1080/09669582.2020.1714989</w:t>
        </w:r>
      </w:hyperlink>
    </w:p>
    <w:p w14:paraId="1E4F7D77"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Liu, S., Hu, S., Yao, M., </w:t>
      </w:r>
      <w:proofErr w:type="spellStart"/>
      <w:r>
        <w:rPr>
          <w:rFonts w:ascii="Arial" w:hAnsi="Arial" w:cs="Arial"/>
          <w:sz w:val="20"/>
          <w:szCs w:val="20"/>
        </w:rPr>
        <w:t>Xiong</w:t>
      </w:r>
      <w:proofErr w:type="spellEnd"/>
      <w:r>
        <w:rPr>
          <w:rFonts w:ascii="Arial" w:hAnsi="Arial" w:cs="Arial"/>
          <w:sz w:val="20"/>
          <w:szCs w:val="20"/>
        </w:rPr>
        <w:t>, Z., &amp; Wang, X. (2020). The Effect of Environmental Education on Science Literacy: A Meta-Analysis. Sustainability, 12(14), 5776. doi:10.3390/su12145776</w:t>
      </w:r>
    </w:p>
    <w:p w14:paraId="6A8D090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Zhang, D., Z</w:t>
      </w:r>
      <w:r>
        <w:rPr>
          <w:rFonts w:ascii="Arial" w:hAnsi="Arial" w:cs="Arial"/>
          <w:sz w:val="20"/>
          <w:szCs w:val="20"/>
        </w:rPr>
        <w:t>hang, Z., &amp; Li, X. (2020). Developing metacognitive skills in STEM education: A review of empirical studies. Educational Research Review, 29, 100325.</w:t>
      </w:r>
    </w:p>
    <w:p w14:paraId="3F9F7635"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hAnsi="Arial" w:cs="Arial"/>
          <w:sz w:val="20"/>
          <w:szCs w:val="20"/>
        </w:rPr>
        <w:t xml:space="preserve">Reeve, J., </w:t>
      </w:r>
      <w:proofErr w:type="spellStart"/>
      <w:r>
        <w:rPr>
          <w:rFonts w:ascii="Arial" w:hAnsi="Arial" w:cs="Arial"/>
          <w:sz w:val="20"/>
          <w:szCs w:val="20"/>
        </w:rPr>
        <w:t>Cheon</w:t>
      </w:r>
      <w:proofErr w:type="spellEnd"/>
      <w:r>
        <w:rPr>
          <w:rFonts w:ascii="Arial" w:hAnsi="Arial" w:cs="Arial"/>
          <w:sz w:val="20"/>
          <w:szCs w:val="20"/>
        </w:rPr>
        <w:t>, S. H., &amp; Jang, H. (2020). How and why students make academic progress: Reconceptualizing</w:t>
      </w:r>
      <w:r>
        <w:rPr>
          <w:rFonts w:ascii="Arial" w:hAnsi="Arial" w:cs="Arial"/>
          <w:sz w:val="20"/>
          <w:szCs w:val="20"/>
        </w:rPr>
        <w:t xml:space="preserve"> the student engagement construct to increase its explanatory power. Contemporary Educational Psychology, 62, 101899. </w:t>
      </w:r>
      <w:hyperlink r:id="rId43" w:history="1">
        <w:r w:rsidR="00ED1298">
          <w:rPr>
            <w:rStyle w:val="Hyperlink"/>
            <w:rFonts w:ascii="Arial" w:hAnsi="Arial" w:cs="Arial"/>
            <w:color w:val="auto"/>
            <w:sz w:val="20"/>
            <w:szCs w:val="20"/>
            <w:u w:val="none"/>
          </w:rPr>
          <w:t>https://doi.org/10.1016/j.cedpsych.2020.101899</w:t>
        </w:r>
      </w:hyperlink>
    </w:p>
    <w:p w14:paraId="638698FB"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proofErr w:type="spellStart"/>
      <w:r>
        <w:rPr>
          <w:rFonts w:ascii="Arial" w:hAnsi="Arial" w:cs="Arial"/>
          <w:sz w:val="20"/>
          <w:szCs w:val="20"/>
          <w:lang w:val="en-PH"/>
        </w:rPr>
        <w:lastRenderedPageBreak/>
        <w:t>Boheim</w:t>
      </w:r>
      <w:proofErr w:type="spellEnd"/>
      <w:r>
        <w:rPr>
          <w:rFonts w:ascii="Arial" w:hAnsi="Arial" w:cs="Arial"/>
          <w:sz w:val="20"/>
          <w:szCs w:val="20"/>
          <w:lang w:val="en-PH"/>
        </w:rPr>
        <w:t xml:space="preserve">, R., </w:t>
      </w:r>
      <w:proofErr w:type="spellStart"/>
      <w:r>
        <w:rPr>
          <w:rFonts w:ascii="Arial" w:hAnsi="Arial" w:cs="Arial"/>
          <w:sz w:val="20"/>
          <w:szCs w:val="20"/>
          <w:lang w:val="en-PH"/>
        </w:rPr>
        <w:t>Urdan</w:t>
      </w:r>
      <w:proofErr w:type="spellEnd"/>
      <w:r>
        <w:rPr>
          <w:rFonts w:ascii="Arial" w:hAnsi="Arial" w:cs="Arial"/>
          <w:sz w:val="20"/>
          <w:szCs w:val="20"/>
          <w:lang w:val="en-PH"/>
        </w:rPr>
        <w:t xml:space="preserve">, T., </w:t>
      </w:r>
      <w:proofErr w:type="spellStart"/>
      <w:r>
        <w:rPr>
          <w:rFonts w:ascii="Arial" w:hAnsi="Arial" w:cs="Arial"/>
          <w:sz w:val="20"/>
          <w:szCs w:val="20"/>
          <w:lang w:val="en-PH"/>
        </w:rPr>
        <w:t>Knogl</w:t>
      </w:r>
      <w:r>
        <w:rPr>
          <w:rFonts w:ascii="Arial" w:hAnsi="Arial" w:cs="Arial"/>
          <w:sz w:val="20"/>
          <w:szCs w:val="20"/>
          <w:lang w:val="en-PH"/>
        </w:rPr>
        <w:t>er</w:t>
      </w:r>
      <w:proofErr w:type="spellEnd"/>
      <w:r>
        <w:rPr>
          <w:rFonts w:ascii="Arial" w:hAnsi="Arial" w:cs="Arial"/>
          <w:sz w:val="20"/>
          <w:szCs w:val="20"/>
          <w:lang w:val="en-PH"/>
        </w:rPr>
        <w:t xml:space="preserve">, M., &amp; Seidel, T. (2020). Student hand-raising as an indicator of behavioral engagement and its role in classroom learning. Contemporary Educational Psychology, 62, 101894. https://doi.org/10.1016/j.cedpsych.2020.101894 </w:t>
      </w:r>
    </w:p>
    <w:p w14:paraId="3DA7CB32"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r>
        <w:rPr>
          <w:rFonts w:ascii="Arial" w:hAnsi="Arial" w:cs="Arial"/>
          <w:sz w:val="20"/>
          <w:szCs w:val="20"/>
        </w:rPr>
        <w:t xml:space="preserve">Chen, S.Y., Chen, Y.-C., &amp; Lin, </w:t>
      </w:r>
      <w:r>
        <w:rPr>
          <w:rFonts w:ascii="Arial" w:hAnsi="Arial" w:cs="Arial"/>
          <w:sz w:val="20"/>
          <w:szCs w:val="20"/>
        </w:rPr>
        <w:t>H.-C. (2020). The effects of environmental literacy on STEM academic achievement: The case of Taiwan. Sustainability, 12(17), 6968.</w:t>
      </w:r>
    </w:p>
    <w:p w14:paraId="692B1A39"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lang w:val="en-PH"/>
        </w:rPr>
      </w:pPr>
      <w:proofErr w:type="spellStart"/>
      <w:r>
        <w:rPr>
          <w:rFonts w:ascii="Arial" w:hAnsi="Arial" w:cs="Arial"/>
          <w:sz w:val="20"/>
          <w:szCs w:val="20"/>
          <w:lang w:val="en-PH"/>
        </w:rPr>
        <w:t>Manyani</w:t>
      </w:r>
      <w:proofErr w:type="spellEnd"/>
      <w:r>
        <w:rPr>
          <w:rFonts w:ascii="Arial" w:hAnsi="Arial" w:cs="Arial"/>
          <w:sz w:val="20"/>
          <w:szCs w:val="20"/>
          <w:lang w:val="en-PH"/>
        </w:rPr>
        <w:t xml:space="preserve">, A., Biggs, R., Hill, L., &amp; </w:t>
      </w:r>
      <w:proofErr w:type="spellStart"/>
      <w:r>
        <w:rPr>
          <w:rFonts w:ascii="Arial" w:hAnsi="Arial" w:cs="Arial"/>
          <w:sz w:val="20"/>
          <w:szCs w:val="20"/>
          <w:lang w:val="en-PH"/>
        </w:rPr>
        <w:t>Preiser</w:t>
      </w:r>
      <w:proofErr w:type="spellEnd"/>
      <w:r>
        <w:rPr>
          <w:rFonts w:ascii="Arial" w:hAnsi="Arial" w:cs="Arial"/>
          <w:sz w:val="20"/>
          <w:szCs w:val="20"/>
          <w:lang w:val="en-PH"/>
        </w:rPr>
        <w:t>, R. (</w:t>
      </w:r>
      <w:hyperlink r:id="rId44" w:history="1">
        <w:r w:rsidR="00ED1298">
          <w:rPr>
            <w:rStyle w:val="Hyperlink"/>
            <w:rFonts w:ascii="Arial" w:hAnsi="Arial" w:cs="Arial"/>
            <w:color w:val="auto"/>
            <w:sz w:val="20"/>
            <w:szCs w:val="20"/>
            <w:u w:val="none"/>
            <w:lang w:val="en-PH"/>
          </w:rPr>
          <w:t>2024</w:t>
        </w:r>
      </w:hyperlink>
      <w:r>
        <w:rPr>
          <w:rFonts w:ascii="Arial" w:hAnsi="Arial" w:cs="Arial"/>
          <w:sz w:val="20"/>
          <w:szCs w:val="20"/>
          <w:lang w:val="en-PH"/>
        </w:rPr>
        <w:t xml:space="preserve">). The evolution of social-ecological systems </w:t>
      </w:r>
      <w:r>
        <w:rPr>
          <w:rFonts w:ascii="Arial" w:hAnsi="Arial" w:cs="Arial"/>
          <w:sz w:val="20"/>
          <w:szCs w:val="20"/>
          <w:lang w:val="en-PH"/>
        </w:rPr>
        <w:t>(SES) research: a co-authorship and co-citation network analysis. Ecology and Society, 29(1). </w:t>
      </w:r>
      <w:hyperlink r:id="rId45" w:history="1">
        <w:r w:rsidR="00ED1298">
          <w:rPr>
            <w:rStyle w:val="Hyperlink"/>
            <w:rFonts w:ascii="Arial" w:hAnsi="Arial" w:cs="Arial"/>
            <w:color w:val="auto"/>
            <w:sz w:val="20"/>
            <w:szCs w:val="20"/>
            <w:u w:val="none"/>
            <w:lang w:val="en-PH"/>
          </w:rPr>
          <w:t>https://doi.org/10.5751/es-14694-290133</w:t>
        </w:r>
      </w:hyperlink>
      <w:r>
        <w:rPr>
          <w:rFonts w:ascii="Arial" w:hAnsi="Arial" w:cs="Arial"/>
          <w:sz w:val="20"/>
          <w:szCs w:val="20"/>
          <w:lang w:val="en-PH"/>
        </w:rPr>
        <w:t xml:space="preserve"> </w:t>
      </w:r>
    </w:p>
    <w:p w14:paraId="3599ED7A" w14:textId="77777777" w:rsidR="00ED1298" w:rsidRDefault="00E77581">
      <w:pPr>
        <w:pStyle w:val="NoSpacing"/>
        <w:numPr>
          <w:ilvl w:val="0"/>
          <w:numId w:val="6"/>
        </w:numPr>
        <w:spacing w:afterLines="30" w:after="72"/>
        <w:ind w:left="400" w:hangingChars="200" w:hanging="400"/>
        <w:jc w:val="both"/>
        <w:rPr>
          <w:rFonts w:ascii="Arial" w:hAnsi="Arial" w:cs="Arial"/>
          <w:sz w:val="20"/>
          <w:szCs w:val="20"/>
        </w:rPr>
      </w:pPr>
      <w:r>
        <w:rPr>
          <w:rFonts w:ascii="Arial" w:eastAsia="SimSun" w:hAnsi="Arial" w:cs="Arial"/>
          <w:color w:val="222222"/>
          <w:sz w:val="20"/>
          <w:szCs w:val="20"/>
          <w:shd w:val="clear" w:color="auto" w:fill="FFFFFF"/>
        </w:rPr>
        <w:t>Baron, R. M., &amp; Kenny, D. A. (1986). The moderator–mediator varia</w:t>
      </w:r>
      <w:r>
        <w:rPr>
          <w:rFonts w:ascii="Arial" w:eastAsia="SimSun" w:hAnsi="Arial" w:cs="Arial"/>
          <w:color w:val="222222"/>
          <w:sz w:val="20"/>
          <w:szCs w:val="20"/>
          <w:shd w:val="clear" w:color="auto" w:fill="FFFFFF"/>
        </w:rPr>
        <w:t>ble distinction in social psychological research: Conceptual, strategic, and statistical considerations. </w:t>
      </w:r>
      <w:r>
        <w:rPr>
          <w:rFonts w:ascii="Arial" w:eastAsia="SimSun" w:hAnsi="Arial" w:cs="Arial"/>
          <w:i/>
          <w:iCs/>
          <w:color w:val="222222"/>
          <w:sz w:val="20"/>
          <w:szCs w:val="20"/>
          <w:shd w:val="clear" w:color="auto" w:fill="FFFFFF"/>
        </w:rPr>
        <w:t>Journal of personality and social psychology</w:t>
      </w:r>
      <w:r>
        <w:rPr>
          <w:rFonts w:ascii="Arial" w:eastAsia="SimSun" w:hAnsi="Arial" w:cs="Arial"/>
          <w:color w:val="222222"/>
          <w:sz w:val="20"/>
          <w:szCs w:val="20"/>
          <w:shd w:val="clear" w:color="auto" w:fill="FFFFFF"/>
        </w:rPr>
        <w:t>, </w:t>
      </w:r>
      <w:r>
        <w:rPr>
          <w:rFonts w:ascii="Arial" w:eastAsia="SimSun" w:hAnsi="Arial" w:cs="Arial"/>
          <w:i/>
          <w:iCs/>
          <w:color w:val="222222"/>
          <w:sz w:val="20"/>
          <w:szCs w:val="20"/>
          <w:shd w:val="clear" w:color="auto" w:fill="FFFFFF"/>
        </w:rPr>
        <w:t>51</w:t>
      </w:r>
      <w:r>
        <w:rPr>
          <w:rFonts w:ascii="Arial" w:eastAsia="SimSun" w:hAnsi="Arial" w:cs="Arial"/>
          <w:color w:val="222222"/>
          <w:sz w:val="20"/>
          <w:szCs w:val="20"/>
          <w:shd w:val="clear" w:color="auto" w:fill="FFFFFF"/>
        </w:rPr>
        <w:t>(6), 1173.</w:t>
      </w:r>
    </w:p>
    <w:p w14:paraId="6D3822F4" w14:textId="77777777" w:rsidR="00ED1298" w:rsidRDefault="00ED1298">
      <w:pPr>
        <w:pStyle w:val="Body"/>
        <w:spacing w:after="0"/>
        <w:jc w:val="left"/>
        <w:rPr>
          <w:rFonts w:ascii="Arial" w:hAnsi="Arial" w:cs="Arial"/>
        </w:rPr>
      </w:pPr>
    </w:p>
    <w:p w14:paraId="1DA1EF57" w14:textId="77777777" w:rsidR="00ED1298" w:rsidRDefault="00ED1298">
      <w:pPr>
        <w:pStyle w:val="Reference"/>
        <w:numPr>
          <w:ilvl w:val="0"/>
          <w:numId w:val="0"/>
        </w:numPr>
        <w:spacing w:line="240" w:lineRule="auto"/>
        <w:rPr>
          <w:rFonts w:ascii="Arial" w:hAnsi="Arial" w:cs="Arial"/>
        </w:rPr>
      </w:pPr>
    </w:p>
    <w:p w14:paraId="6867AA74" w14:textId="77777777" w:rsidR="00ED1298" w:rsidRDefault="00ED1298">
      <w:pPr>
        <w:pStyle w:val="Body"/>
        <w:spacing w:after="0"/>
        <w:rPr>
          <w:rFonts w:ascii="Arial" w:hAnsi="Arial" w:cs="Arial"/>
        </w:rPr>
      </w:pPr>
    </w:p>
    <w:p w14:paraId="6C0319C7" w14:textId="77777777" w:rsidR="00ED1298" w:rsidRDefault="00ED1298">
      <w:pPr>
        <w:pStyle w:val="Appendix"/>
        <w:spacing w:after="0"/>
        <w:jc w:val="both"/>
        <w:rPr>
          <w:rFonts w:ascii="Arial" w:hAnsi="Arial" w:cs="Arial"/>
          <w:b w:val="0"/>
        </w:rPr>
        <w:sectPr w:rsidR="00ED1298" w:rsidSect="00BA427A">
          <w:headerReference w:type="even" r:id="rId46"/>
          <w:headerReference w:type="default" r:id="rId47"/>
          <w:footerReference w:type="default" r:id="rId48"/>
          <w:headerReference w:type="first" r:id="rId49"/>
          <w:type w:val="continuous"/>
          <w:pgSz w:w="12240" w:h="15840"/>
          <w:pgMar w:top="1440" w:right="2016" w:bottom="2016" w:left="2016" w:header="720" w:footer="1123" w:gutter="0"/>
          <w:cols w:space="720"/>
          <w:docGrid w:linePitch="272"/>
        </w:sectPr>
      </w:pPr>
    </w:p>
    <w:p w14:paraId="4E00C7E0" w14:textId="77777777" w:rsidR="00ED1298" w:rsidRDefault="00ED1298">
      <w:pPr>
        <w:pStyle w:val="Appendix"/>
        <w:spacing w:after="0"/>
        <w:jc w:val="both"/>
        <w:rPr>
          <w:rFonts w:ascii="Arial" w:hAnsi="Arial" w:cs="Arial"/>
          <w:b w:val="0"/>
        </w:rPr>
      </w:pPr>
    </w:p>
    <w:sectPr w:rsidR="00ED1298" w:rsidSect="00BA427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46D8D" w14:textId="77777777" w:rsidR="00E77581" w:rsidRDefault="00E77581">
      <w:r>
        <w:separator/>
      </w:r>
    </w:p>
  </w:endnote>
  <w:endnote w:type="continuationSeparator" w:id="0">
    <w:p w14:paraId="6D2077BF" w14:textId="77777777" w:rsidR="00E77581" w:rsidRDefault="00E7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TimesNewRomanPSMT">
    <w:altName w:val="Times New Roman"/>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64C13" w14:textId="77777777" w:rsidR="00BA427A" w:rsidRDefault="00BA4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6F191" w14:textId="77777777" w:rsidR="00BA427A" w:rsidRDefault="00BA4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79DAB" w14:textId="0F86F771" w:rsidR="00ED1298" w:rsidRPr="00BA427A" w:rsidRDefault="00ED1298" w:rsidP="00BA427A">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B50AB" w14:textId="77777777" w:rsidR="00ED1298" w:rsidRDefault="00ED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174BE" w14:textId="77777777" w:rsidR="00E77581" w:rsidRDefault="00E77581">
      <w:r>
        <w:separator/>
      </w:r>
    </w:p>
  </w:footnote>
  <w:footnote w:type="continuationSeparator" w:id="0">
    <w:p w14:paraId="6921D321" w14:textId="77777777" w:rsidR="00E77581" w:rsidRDefault="00E77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F265" w14:textId="7885F7E9" w:rsidR="00BA427A" w:rsidRDefault="00BA427A">
    <w:pPr>
      <w:pStyle w:val="Header"/>
    </w:pPr>
    <w:r>
      <w:rPr>
        <w:noProof/>
      </w:rPr>
      <w:pict w14:anchorId="17998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AB0BB" w14:textId="350EAD88" w:rsidR="00BA427A" w:rsidRDefault="00BA427A">
    <w:pPr>
      <w:pStyle w:val="Header"/>
    </w:pPr>
    <w:r>
      <w:rPr>
        <w:noProof/>
      </w:rPr>
      <w:pict w14:anchorId="44741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F280" w14:textId="0310B813" w:rsidR="00ED1298" w:rsidRDefault="00BA427A">
    <w:pPr>
      <w:ind w:left="2160"/>
      <w:jc w:val="center"/>
      <w:rPr>
        <w:rFonts w:ascii="Times New Roman" w:eastAsia="Calibri" w:hAnsi="Times New Roman"/>
        <w:i/>
        <w:sz w:val="18"/>
        <w:szCs w:val="22"/>
      </w:rPr>
    </w:pPr>
    <w:r>
      <w:rPr>
        <w:noProof/>
      </w:rPr>
      <w:pict w14:anchorId="64C56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A20F424" w14:textId="77777777" w:rsidR="00ED1298" w:rsidRDefault="00E77581">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D42C22C" w14:textId="77777777" w:rsidR="00ED1298" w:rsidRDefault="00E77581">
    <w:pPr>
      <w:jc w:val="center"/>
      <w:rPr>
        <w:rFonts w:ascii="Times New Roman" w:eastAsia="Calibri" w:hAnsi="Times New Roman"/>
        <w:i/>
        <w:sz w:val="18"/>
        <w:szCs w:val="22"/>
      </w:rPr>
    </w:pPr>
    <w:r>
      <w:rPr>
        <w:rFonts w:ascii="Times New Roman" w:eastAsia="Calibri" w:hAnsi="Times New Roman"/>
        <w:i/>
        <w:sz w:val="18"/>
        <w:szCs w:val="22"/>
      </w:rPr>
      <w:t>.</w:t>
    </w:r>
  </w:p>
  <w:p w14:paraId="151FFB90" w14:textId="77777777" w:rsidR="00ED1298" w:rsidRDefault="00E77581">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0702742B" w14:textId="77777777" w:rsidR="00ED1298" w:rsidRDefault="00E77581">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42F5996" w14:textId="77777777" w:rsidR="00ED1298" w:rsidRDefault="00E77581">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78C794E" w14:textId="77777777" w:rsidR="00ED1298" w:rsidRDefault="00E7758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07AD3" w14:textId="433081E3" w:rsidR="00BA427A" w:rsidRDefault="00BA427A">
    <w:pPr>
      <w:pStyle w:val="Header"/>
    </w:pPr>
    <w:r>
      <w:rPr>
        <w:noProof/>
      </w:rPr>
      <w:pict w14:anchorId="254E2D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9FBEE" w14:textId="5DF2CDC5" w:rsidR="00BA427A" w:rsidRDefault="00BA427A">
    <w:pPr>
      <w:pStyle w:val="Header"/>
    </w:pPr>
    <w:r>
      <w:rPr>
        <w:noProof/>
      </w:rPr>
      <w:pict w14:anchorId="3D4011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04F9C" w14:textId="40B17677" w:rsidR="00BA427A" w:rsidRDefault="00BA427A">
    <w:pPr>
      <w:pStyle w:val="Header"/>
    </w:pPr>
    <w:r>
      <w:rPr>
        <w:noProof/>
      </w:rPr>
      <w:pict w14:anchorId="2EB71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3098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718581"/>
    <w:multiLevelType w:val="singleLevel"/>
    <w:tmpl w:val="97718581"/>
    <w:lvl w:ilvl="0">
      <w:start w:val="4"/>
      <w:numFmt w:val="decimal"/>
      <w:suff w:val="space"/>
      <w:lvlText w:val="%1."/>
      <w:lvlJc w:val="left"/>
    </w:lvl>
  </w:abstractNum>
  <w:abstractNum w:abstractNumId="1" w15:restartNumberingAfterBreak="0">
    <w:nsid w:val="0F3106B1"/>
    <w:multiLevelType w:val="multilevel"/>
    <w:tmpl w:val="0F3106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8268FF"/>
    <w:multiLevelType w:val="multilevel"/>
    <w:tmpl w:val="118268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B34A05"/>
    <w:multiLevelType w:val="singleLevel"/>
    <w:tmpl w:val="18B34A05"/>
    <w:lvl w:ilvl="0">
      <w:start w:val="1"/>
      <w:numFmt w:val="decimal"/>
      <w:suff w:val="space"/>
      <w:lvlText w:val="[%1]"/>
      <w:lvlJc w:val="left"/>
      <w:rPr>
        <w:rFonts w:ascii="Arial" w:hAnsi="Arial" w:cs="Arial" w:hint="default"/>
      </w:r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abstractNum w:abstractNumId="5" w15:restartNumberingAfterBreak="0">
    <w:nsid w:val="75E53335"/>
    <w:multiLevelType w:val="multilevel"/>
    <w:tmpl w:val="75E53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B24C6"/>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01AC"/>
    <w:rsid w:val="00231920"/>
    <w:rsid w:val="0023195C"/>
    <w:rsid w:val="0024282C"/>
    <w:rsid w:val="002460DC"/>
    <w:rsid w:val="00250985"/>
    <w:rsid w:val="002556F6"/>
    <w:rsid w:val="00283105"/>
    <w:rsid w:val="00284C4C"/>
    <w:rsid w:val="00287E68"/>
    <w:rsid w:val="00296529"/>
    <w:rsid w:val="002B27FB"/>
    <w:rsid w:val="002B685A"/>
    <w:rsid w:val="002C3D38"/>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1FDF"/>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971EF"/>
    <w:rsid w:val="006A250C"/>
    <w:rsid w:val="006B21D3"/>
    <w:rsid w:val="006B57D0"/>
    <w:rsid w:val="006D30FF"/>
    <w:rsid w:val="006D6940"/>
    <w:rsid w:val="006F11EC"/>
    <w:rsid w:val="0070082C"/>
    <w:rsid w:val="007369E6"/>
    <w:rsid w:val="00746E59"/>
    <w:rsid w:val="00754C9A"/>
    <w:rsid w:val="0075599A"/>
    <w:rsid w:val="00761D52"/>
    <w:rsid w:val="007665D0"/>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A427A"/>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87135"/>
    <w:rsid w:val="00CB2442"/>
    <w:rsid w:val="00CD6755"/>
    <w:rsid w:val="00CD6856"/>
    <w:rsid w:val="00CE0089"/>
    <w:rsid w:val="00CE793C"/>
    <w:rsid w:val="00CF193C"/>
    <w:rsid w:val="00D173F1"/>
    <w:rsid w:val="00D45DFC"/>
    <w:rsid w:val="00D74CB0"/>
    <w:rsid w:val="00D8295D"/>
    <w:rsid w:val="00DC2A65"/>
    <w:rsid w:val="00DE12C5"/>
    <w:rsid w:val="00DE15F0"/>
    <w:rsid w:val="00DE5663"/>
    <w:rsid w:val="00DE78AA"/>
    <w:rsid w:val="00E053D0"/>
    <w:rsid w:val="00E15994"/>
    <w:rsid w:val="00E3114E"/>
    <w:rsid w:val="00E31A70"/>
    <w:rsid w:val="00E35B02"/>
    <w:rsid w:val="00E66496"/>
    <w:rsid w:val="00E66B35"/>
    <w:rsid w:val="00E66E10"/>
    <w:rsid w:val="00E769F6"/>
    <w:rsid w:val="00E77581"/>
    <w:rsid w:val="00E8407C"/>
    <w:rsid w:val="00E84F3C"/>
    <w:rsid w:val="00EA012C"/>
    <w:rsid w:val="00EC6A55"/>
    <w:rsid w:val="00ED0288"/>
    <w:rsid w:val="00ED1298"/>
    <w:rsid w:val="00EE52CB"/>
    <w:rsid w:val="00EF581D"/>
    <w:rsid w:val="00EF7FD8"/>
    <w:rsid w:val="00F06F59"/>
    <w:rsid w:val="00F17988"/>
    <w:rsid w:val="00F46109"/>
    <w:rsid w:val="00F469F0"/>
    <w:rsid w:val="00F53273"/>
    <w:rsid w:val="00F755E4"/>
    <w:rsid w:val="00F77D02"/>
    <w:rsid w:val="00FB3A86"/>
    <w:rsid w:val="00FD36C8"/>
    <w:rsid w:val="04C70549"/>
    <w:rsid w:val="083930B1"/>
    <w:rsid w:val="2D1279F5"/>
    <w:rsid w:val="32A13FE6"/>
    <w:rsid w:val="353465A8"/>
    <w:rsid w:val="388B7555"/>
    <w:rsid w:val="45E81525"/>
    <w:rsid w:val="54FA4EAA"/>
    <w:rsid w:val="58B06210"/>
    <w:rsid w:val="79244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rules v:ext="edit">
        <o:r id="V:Rule1" type="connector" idref="#_x0000_s1039"/>
        <o:r id="V:Rule2" type="connector" idref="#Straight Arrow Connector 11"/>
        <o:r id="V:Rule3" type="connector" idref="#Straight Arrow Connector 9">
          <o:proxy start="" idref="#Rectangle 13" connectloc="2"/>
          <o:proxy end="" idref="#Rectangle 6" connectloc="1"/>
        </o:r>
        <o:r id="V:Rule4" type="connector" idref="#Straight Arrow Connector 8">
          <o:proxy start="" idref="#Rectangle 6" connectloc="3"/>
          <o:proxy end="" idref="#Rectangle 14" connectloc="2"/>
        </o:r>
      </o:rules>
    </o:shapelayout>
  </w:shapeDefaults>
  <w:decimalSymbol w:val="."/>
  <w:listSeparator w:val=","/>
  <w14:docId w14:val="05E34547"/>
  <w15:docId w15:val="{F3138746-DC6B-4658-9B31-DD62249C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qFormat/>
    <w:pPr>
      <w:spacing w:beforeAutospacing="1" w:afterAutospacing="1"/>
    </w:pPr>
    <w:rPr>
      <w:sz w:val="24"/>
      <w:szCs w:val="24"/>
      <w:lang w:val="en-US" w:eastAsia="zh-CN"/>
    </w:rPr>
  </w:style>
  <w:style w:type="paragraph" w:styleId="Signature">
    <w:name w:val="Signature"/>
    <w:basedOn w:val="Normal"/>
    <w:qFormat/>
    <w:pPr>
      <w:ind w:left="4320"/>
    </w:pPr>
  </w:style>
  <w:style w:type="character" w:styleId="Strong">
    <w:name w:val="Strong"/>
    <w:basedOn w:val="DefaultParagraphFont"/>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uiPriority w:val="1"/>
    <w:qFormat/>
    <w:rPr>
      <w:rFonts w:asciiTheme="minorHAnsi" w:eastAsiaTheme="minorEastAsia" w:hAnsiTheme="minorHAnsi" w:cstheme="minorBidi"/>
      <w:sz w:val="22"/>
      <w:szCs w:val="22"/>
      <w:lang w:val="en-US" w:eastAsia="en-US"/>
    </w:rPr>
  </w:style>
  <w:style w:type="character" w:customStyle="1" w:styleId="apple-converted-space">
    <w:name w:val="apple-converted-space"/>
    <w:basedOn w:val="DefaultParagraphFont"/>
    <w:qFormat/>
  </w:style>
  <w:style w:type="paragraph" w:styleId="ListParagraph">
    <w:name w:val="List Paragraph"/>
    <w:basedOn w:val="Normal"/>
    <w:uiPriority w:val="34"/>
    <w:qFormat/>
    <w:pPr>
      <w:spacing w:after="160" w:line="259" w:lineRule="auto"/>
      <w:ind w:left="720"/>
      <w:contextualSpacing/>
    </w:pPr>
    <w:rPr>
      <w:rFonts w:eastAsiaTheme="minorEastAsia"/>
      <w:lang w:eastAsia="zh-CN"/>
    </w:rPr>
  </w:style>
  <w:style w:type="paragraph" w:customStyle="1" w:styleId="Default">
    <w:name w:val="Default"/>
    <w:qFormat/>
    <w:pPr>
      <w:autoSpaceDE w:val="0"/>
      <w:autoSpaceDN w:val="0"/>
      <w:adjustRightInd w:val="0"/>
    </w:pPr>
    <w:rPr>
      <w:rFonts w:eastAsiaTheme="minorEastAsia"/>
      <w:color w:val="000000"/>
      <w:sz w:val="24"/>
      <w:szCs w:val="24"/>
      <w:lang w:val="en-US" w:eastAsia="ko-KR"/>
    </w:rPr>
  </w:style>
  <w:style w:type="character" w:styleId="UnresolvedMention">
    <w:name w:val="Unresolved Mention"/>
    <w:basedOn w:val="DefaultParagraphFont"/>
    <w:uiPriority w:val="99"/>
    <w:semiHidden/>
    <w:unhideWhenUsed/>
    <w:rsid w:val="00697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philstar.com/headlines/2023/12/06/2316732/philippines-still-lags-behind-world-math-reading-and-science-pisa-2022" TargetMode="External"/><Relationship Id="rId26" Type="http://schemas.openxmlformats.org/officeDocument/2006/relationships/hyperlink" Target="https://doi.org/10.1016/j.cedpsych.2020.101899" TargetMode="External"/><Relationship Id="rId39" Type="http://schemas.openxmlformats.org/officeDocument/2006/relationships/hyperlink" Target="https://ro.uow.edu.au/jutlp/vol18/iss4/16" TargetMode="External"/><Relationship Id="rId21" Type="http://schemas.openxmlformats.org/officeDocument/2006/relationships/hyperlink" Target="https://doi.org/10.33423/jhetp.v22i4.5131" TargetMode="External"/><Relationship Id="rId34" Type="http://schemas.openxmlformats.org/officeDocument/2006/relationships/hyperlink" Target="https://doi.org/10.1111/cogs.13271" TargetMode="External"/><Relationship Id="rId42" Type="http://schemas.openxmlformats.org/officeDocument/2006/relationships/hyperlink" Target="https://doi.org/10.1080/09669582.2020.1714989"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hdphoto" Target="media/hdphoto1.wdp"/><Relationship Id="rId29" Type="http://schemas.openxmlformats.org/officeDocument/2006/relationships/hyperlink" Target="https://doi.org/10.56726/irjmets45276" TargetMode="External"/><Relationship Id="rId11" Type="http://schemas.openxmlformats.org/officeDocument/2006/relationships/footer" Target="footer1.xml"/><Relationship Id="rId24" Type="http://schemas.openxmlformats.org/officeDocument/2006/relationships/hyperlink" Target="https://doi.org/10.2991/assehr.k.210326.110" TargetMode="External"/><Relationship Id="rId32" Type="http://schemas.openxmlformats.org/officeDocument/2006/relationships/hyperlink" Target="https://doi.org/10.1108/LTHE-08-2020-0025" TargetMode="External"/><Relationship Id="rId37" Type="http://schemas.openxmlformats.org/officeDocument/2006/relationships/hyperlink" Target="https://myjms.mohe.gov.my/index.php/ajress/article/view/25550" TargetMode="External"/><Relationship Id="rId40" Type="http://schemas.openxmlformats.org/officeDocument/2006/relationships/hyperlink" Target="https://doi.org/10.22158/eltls.v2n4p48" TargetMode="External"/><Relationship Id="rId45" Type="http://schemas.openxmlformats.org/officeDocument/2006/relationships/hyperlink" Target="https://doi.org/10.5751/es-14694-290133"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doi.org/10.54808/jsci.20.04.8" TargetMode="External"/><Relationship Id="rId28" Type="http://schemas.openxmlformats.org/officeDocument/2006/relationships/hyperlink" Target="https://doi.org/10.2147/AMEP.S309535" TargetMode="External"/><Relationship Id="rId36" Type="http://schemas.openxmlformats.org/officeDocument/2006/relationships/hyperlink" Target="https://blog.teamsatchel.com/pulse/mastering-organization-essential-skills-for-student-success" TargetMode="External"/><Relationship Id="rId49"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gpseducation.oecd.org/" TargetMode="External"/><Relationship Id="rId31" Type="http://schemas.openxmlformats.org/officeDocument/2006/relationships/hyperlink" Target="https://doi.org/10.1187/cbe.20-05-0091" TargetMode="External"/><Relationship Id="rId44" Type="http://schemas.openxmlformats.org/officeDocument/2006/relationships/hyperlink" Target="tel:2024"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057/s41599-023-01705-y" TargetMode="External"/><Relationship Id="rId27" Type="http://schemas.openxmlformats.org/officeDocument/2006/relationships/hyperlink" Target="https://doi.org/10.5281/zenodo.11584229" TargetMode="External"/><Relationship Id="rId30" Type="http://schemas.openxmlformats.org/officeDocument/2006/relationships/hyperlink" Target="https://www.ucas.com/connect/blogs/how-your-surroundings-affect-way-you-study" TargetMode="External"/><Relationship Id="rId35" Type="http://schemas.openxmlformats.org/officeDocument/2006/relationships/hyperlink" Target="https://doi.org/10.29333/iji.2024.17333a" TargetMode="External"/><Relationship Id="rId43" Type="http://schemas.openxmlformats.org/officeDocument/2006/relationships/hyperlink" Target="https://doi.org/10.1016/j.cedpsych.2020.101899" TargetMode="External"/><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www.deped.gov.ph/2019/12/04/statement-on-the-philippines-ranking-in-the-2018-pisa-results/" TargetMode="External"/><Relationship Id="rId25" Type="http://schemas.openxmlformats.org/officeDocument/2006/relationships/hyperlink" Target="https://doi.org/10.1007/s10763-021-10223-9" TargetMode="External"/><Relationship Id="rId33" Type="http://schemas.openxmlformats.org/officeDocument/2006/relationships/hyperlink" Target="https://doi.org/doi10.17507/tpls.1305.06" TargetMode="External"/><Relationship Id="rId38" Type="http://schemas.openxmlformats.org/officeDocument/2006/relationships/hyperlink" Target="https://doi.org/10.1108/JARHE-09-2022-0297" TargetMode="External"/><Relationship Id="rId46" Type="http://schemas.openxmlformats.org/officeDocument/2006/relationships/header" Target="header4.xml"/><Relationship Id="rId20" Type="http://schemas.openxmlformats.org/officeDocument/2006/relationships/hyperlink" Target="https://newsinfo.inquirer.net/1871748/fwd-duterte-on-pisa-results" TargetMode="External"/><Relationship Id="rId41" Type="http://schemas.openxmlformats.org/officeDocument/2006/relationships/hyperlink" Target="https://doi.org/10.3390/su13020633"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6"/>
    <customShpInfo spid="_x0000_s1033"/>
    <customShpInfo spid="_x0000_s1029"/>
    <customShpInfo spid="_x0000_s1034"/>
    <customShpInfo spid="_x0000_s1030"/>
    <customShpInfo spid="_x0000_s1035"/>
    <customShpInfo spid="_x0000_s1032"/>
    <customShpInfo spid="_x0000_s1038"/>
    <customShpInfo spid="_x0000_s1037"/>
    <customShpInfo spid="_x0000_s1031"/>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89F21-340F-4655-B06C-3AF18FB0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19</Pages>
  <Words>9124</Words>
  <Characters>52009</Characters>
  <Application>Microsoft Office Word</Application>
  <DocSecurity>0</DocSecurity>
  <Lines>433</Lines>
  <Paragraphs>122</Paragraphs>
  <ScaleCrop>false</ScaleCrop>
  <Company>aaaa</Company>
  <LinksUpToDate>false</LinksUpToDate>
  <CharactersWithSpaces>61011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1999-07-06T11:00:00Z</cp:lastPrinted>
  <dcterms:created xsi:type="dcterms:W3CDTF">2014-10-25T14:34:00Z</dcterms:created>
  <dcterms:modified xsi:type="dcterms:W3CDTF">2025-02-17T11:15:00Z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CDC3F7EAEDE04098B2CE0C76DE6CF0DE_12</vt:lpwstr>
  </property>
</Properties>
</file>