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F4D6C" w14:textId="77777777" w:rsidR="00691B9C" w:rsidRPr="00691B9C" w:rsidRDefault="00691B9C" w:rsidP="00691B9C">
      <w:pPr>
        <w:spacing w:line="360" w:lineRule="auto"/>
        <w:jc w:val="center"/>
        <w:rPr>
          <w:rFonts w:ascii="Times New Roman" w:hAnsi="Times New Roman" w:cs="Times New Roman"/>
          <w:b/>
          <w:bCs/>
          <w:i/>
          <w:iCs/>
          <w:sz w:val="32"/>
          <w:szCs w:val="32"/>
          <w:u w:val="single"/>
        </w:rPr>
      </w:pPr>
      <w:r w:rsidRPr="00691B9C">
        <w:rPr>
          <w:rFonts w:ascii="Times New Roman" w:hAnsi="Times New Roman" w:cs="Times New Roman"/>
          <w:b/>
          <w:bCs/>
          <w:i/>
          <w:iCs/>
          <w:sz w:val="32"/>
          <w:szCs w:val="32"/>
          <w:u w:val="single"/>
        </w:rPr>
        <w:t>Minireview Article</w:t>
      </w:r>
    </w:p>
    <w:p w14:paraId="5865DDC6" w14:textId="77777777" w:rsidR="00691B9C" w:rsidRDefault="00691B9C" w:rsidP="00532B8C">
      <w:pPr>
        <w:spacing w:line="360" w:lineRule="auto"/>
        <w:jc w:val="center"/>
        <w:rPr>
          <w:rFonts w:ascii="Times New Roman" w:hAnsi="Times New Roman" w:cs="Times New Roman"/>
          <w:b/>
          <w:bCs/>
          <w:sz w:val="32"/>
          <w:szCs w:val="32"/>
        </w:rPr>
      </w:pPr>
    </w:p>
    <w:p w14:paraId="6921EAED" w14:textId="06287039" w:rsidR="00532B8C" w:rsidRDefault="00532B8C" w:rsidP="00532B8C">
      <w:pPr>
        <w:spacing w:line="360" w:lineRule="auto"/>
        <w:jc w:val="center"/>
        <w:rPr>
          <w:rFonts w:ascii="Times New Roman" w:hAnsi="Times New Roman" w:cs="Times New Roman"/>
          <w:b/>
          <w:bCs/>
          <w:sz w:val="32"/>
          <w:szCs w:val="32"/>
        </w:rPr>
      </w:pPr>
      <w:r w:rsidRPr="00532B8C">
        <w:rPr>
          <w:rFonts w:ascii="Times New Roman" w:hAnsi="Times New Roman" w:cs="Times New Roman"/>
          <w:b/>
          <w:bCs/>
          <w:sz w:val="32"/>
          <w:szCs w:val="32"/>
        </w:rPr>
        <w:t>Light the Path to Longevity: The Art of Light Curing Dental Composites – A Narrative Review</w:t>
      </w:r>
    </w:p>
    <w:p w14:paraId="428908BA" w14:textId="77777777" w:rsidR="0033293B" w:rsidRPr="0033293B" w:rsidRDefault="0033293B" w:rsidP="0033293B">
      <w:pPr>
        <w:tabs>
          <w:tab w:val="center" w:pos="4680"/>
          <w:tab w:val="right" w:pos="9360"/>
        </w:tabs>
        <w:spacing w:after="0" w:line="240" w:lineRule="auto"/>
        <w:jc w:val="both"/>
        <w:rPr>
          <w:rFonts w:ascii="Times New Roman" w:eastAsia="Calibri" w:hAnsi="Times New Roman" w:cs="Times New Roman"/>
          <w:b/>
          <w:bCs/>
          <w:kern w:val="0"/>
          <w:sz w:val="20"/>
          <w:szCs w:val="20"/>
          <w14:ligatures w14:val="none"/>
        </w:rPr>
      </w:pPr>
    </w:p>
    <w:p w14:paraId="0E19338E" w14:textId="77777777" w:rsidR="007E5403" w:rsidRDefault="007E5403" w:rsidP="009005C0">
      <w:pPr>
        <w:spacing w:line="360" w:lineRule="auto"/>
        <w:rPr>
          <w:rFonts w:ascii="Times New Roman" w:hAnsi="Times New Roman" w:cs="Times New Roman"/>
          <w:b/>
          <w:bCs/>
        </w:rPr>
      </w:pPr>
    </w:p>
    <w:p w14:paraId="676B5C83" w14:textId="74EB9DFF" w:rsidR="009005C0" w:rsidRPr="009005C0" w:rsidRDefault="009005C0" w:rsidP="009005C0">
      <w:pPr>
        <w:spacing w:line="360" w:lineRule="auto"/>
        <w:rPr>
          <w:rFonts w:ascii="Times New Roman" w:hAnsi="Times New Roman" w:cs="Times New Roman"/>
          <w:b/>
          <w:bCs/>
        </w:rPr>
      </w:pPr>
      <w:r w:rsidRPr="009005C0">
        <w:rPr>
          <w:rFonts w:ascii="Times New Roman" w:hAnsi="Times New Roman" w:cs="Times New Roman"/>
          <w:b/>
          <w:bCs/>
        </w:rPr>
        <w:t>Abstract</w:t>
      </w:r>
    </w:p>
    <w:p w14:paraId="1CC8F96A" w14:textId="77777777" w:rsidR="009005C0" w:rsidRDefault="009005C0" w:rsidP="00B60F84">
      <w:pPr>
        <w:spacing w:line="360" w:lineRule="auto"/>
        <w:jc w:val="both"/>
        <w:rPr>
          <w:rFonts w:ascii="Times New Roman" w:hAnsi="Times New Roman" w:cs="Times New Roman"/>
        </w:rPr>
      </w:pPr>
      <w:r w:rsidRPr="009005C0">
        <w:rPr>
          <w:rFonts w:ascii="Times New Roman" w:hAnsi="Times New Roman" w:cs="Times New Roman"/>
        </w:rPr>
        <w:t xml:space="preserve">Light curing plays a fundamental role in the polymerization of dental resin composites, directly influencing the mechanical properties, longevity, and esthetics of restorations. This comprehensive review explores key factors affecting polymerization efficiency, including exposure time, irradiance, beam homogeneity, curing light technology, and material properties. The importance of </w:t>
      </w:r>
      <w:proofErr w:type="spellStart"/>
      <w:r w:rsidRPr="009005C0">
        <w:rPr>
          <w:rFonts w:ascii="Times New Roman" w:hAnsi="Times New Roman" w:cs="Times New Roman"/>
        </w:rPr>
        <w:t>polywave</w:t>
      </w:r>
      <w:proofErr w:type="spellEnd"/>
      <w:r w:rsidRPr="009005C0">
        <w:rPr>
          <w:rFonts w:ascii="Times New Roman" w:hAnsi="Times New Roman" w:cs="Times New Roman"/>
        </w:rPr>
        <w:t xml:space="preserve"> LEDs in activating various </w:t>
      </w:r>
      <w:proofErr w:type="spellStart"/>
      <w:r w:rsidRPr="009005C0">
        <w:rPr>
          <w:rFonts w:ascii="Times New Roman" w:hAnsi="Times New Roman" w:cs="Times New Roman"/>
        </w:rPr>
        <w:t>photoinitiators</w:t>
      </w:r>
      <w:proofErr w:type="spellEnd"/>
      <w:r w:rsidRPr="009005C0">
        <w:rPr>
          <w:rFonts w:ascii="Times New Roman" w:hAnsi="Times New Roman" w:cs="Times New Roman"/>
        </w:rPr>
        <w:t xml:space="preserve"> is highlighted, alongside advanced curing modes such as soft-start and pulse-delay techniques, which help reduce polymerization stress and improve marginal adaptation. Additionally, challenges associated with budget curing lights, the significance of radiometer usage, and potential risks of improper curing—such as marginal leakage, reduced mechanical properties, and thermal damage—are discussed. The review also addresses infection control considerations and the hazards of blue light exposure. By adhering to evidence-based protocols and utilizing modern curing technologies, clinicians can enhance the success and durability of composite restorations.</w:t>
      </w:r>
    </w:p>
    <w:p w14:paraId="2022EA62" w14:textId="07799004" w:rsidR="00CE4BCD" w:rsidRPr="009005C0" w:rsidRDefault="00CE4BCD" w:rsidP="009005C0">
      <w:pPr>
        <w:spacing w:line="360" w:lineRule="auto"/>
        <w:rPr>
          <w:rFonts w:ascii="Times New Roman" w:hAnsi="Times New Roman" w:cs="Times New Roman"/>
        </w:rPr>
      </w:pPr>
      <w:r w:rsidRPr="00CE4BCD">
        <w:rPr>
          <w:rFonts w:ascii="Times New Roman" w:hAnsi="Times New Roman" w:cs="Times New Roman"/>
        </w:rPr>
        <w:t xml:space="preserve">Keywords: </w:t>
      </w:r>
      <w:r w:rsidRPr="009005C0">
        <w:rPr>
          <w:rFonts w:ascii="Times New Roman" w:hAnsi="Times New Roman" w:cs="Times New Roman"/>
        </w:rPr>
        <w:t>Light curing</w:t>
      </w:r>
      <w:r>
        <w:rPr>
          <w:rFonts w:ascii="Times New Roman" w:hAnsi="Times New Roman" w:cs="Times New Roman"/>
        </w:rPr>
        <w:t xml:space="preserve">, </w:t>
      </w:r>
      <w:r w:rsidRPr="009005C0">
        <w:rPr>
          <w:rFonts w:ascii="Times New Roman" w:hAnsi="Times New Roman" w:cs="Times New Roman"/>
        </w:rPr>
        <w:t>polymerization</w:t>
      </w:r>
      <w:r>
        <w:rPr>
          <w:rFonts w:ascii="Times New Roman" w:hAnsi="Times New Roman" w:cs="Times New Roman"/>
        </w:rPr>
        <w:t xml:space="preserve">, </w:t>
      </w:r>
      <w:proofErr w:type="spellStart"/>
      <w:r w:rsidRPr="009005C0">
        <w:rPr>
          <w:rFonts w:ascii="Times New Roman" w:hAnsi="Times New Roman" w:cs="Times New Roman"/>
        </w:rPr>
        <w:t>photoinitiators</w:t>
      </w:r>
      <w:proofErr w:type="spellEnd"/>
      <w:r>
        <w:rPr>
          <w:rFonts w:ascii="Times New Roman" w:hAnsi="Times New Roman" w:cs="Times New Roman"/>
        </w:rPr>
        <w:t xml:space="preserve">, </w:t>
      </w:r>
      <w:r w:rsidR="00485800">
        <w:rPr>
          <w:rFonts w:ascii="Times New Roman" w:hAnsi="Times New Roman" w:cs="Times New Roman"/>
        </w:rPr>
        <w:t>Dental composites</w:t>
      </w:r>
    </w:p>
    <w:p w14:paraId="1ED3F9C7" w14:textId="77777777" w:rsidR="009005C0" w:rsidRPr="009005C0" w:rsidRDefault="009005C0" w:rsidP="009005C0">
      <w:pPr>
        <w:spacing w:line="360" w:lineRule="auto"/>
        <w:rPr>
          <w:rFonts w:ascii="Times New Roman" w:hAnsi="Times New Roman" w:cs="Times New Roman"/>
        </w:rPr>
      </w:pPr>
    </w:p>
    <w:p w14:paraId="4A3477D5" w14:textId="6F0594E0" w:rsidR="000463D0" w:rsidRDefault="00671F63" w:rsidP="00906481">
      <w:pPr>
        <w:spacing w:line="360" w:lineRule="auto"/>
        <w:jc w:val="both"/>
        <w:rPr>
          <w:rFonts w:ascii="Times New Roman" w:hAnsi="Times New Roman" w:cs="Times New Roman"/>
        </w:rPr>
      </w:pPr>
      <w:r w:rsidRPr="00671F63">
        <w:rPr>
          <w:rFonts w:ascii="Times New Roman" w:hAnsi="Times New Roman" w:cs="Times New Roman"/>
          <w:b/>
          <w:bCs/>
        </w:rPr>
        <w:t>Introduction</w:t>
      </w:r>
      <w:r w:rsidR="00CE4BCD">
        <w:rPr>
          <w:rFonts w:ascii="Times New Roman" w:hAnsi="Times New Roman" w:cs="Times New Roman"/>
        </w:rPr>
        <w:t>:</w:t>
      </w:r>
    </w:p>
    <w:p w14:paraId="0B0810A5" w14:textId="046AFBE5" w:rsidR="00EF12EC" w:rsidRDefault="00EF12EC" w:rsidP="00EF12EC">
      <w:pPr>
        <w:spacing w:line="360" w:lineRule="auto"/>
        <w:jc w:val="both"/>
        <w:rPr>
          <w:rFonts w:ascii="Times New Roman" w:hAnsi="Times New Roman" w:cs="Times New Roman"/>
        </w:rPr>
      </w:pPr>
      <w:r w:rsidRPr="00EF12EC">
        <w:rPr>
          <w:rFonts w:ascii="Times New Roman" w:hAnsi="Times New Roman" w:cs="Times New Roman"/>
        </w:rPr>
        <w:t xml:space="preserve">Light curing is an essential process in restorative dentistry, playing a crucial role in the polymerization of resin composites. The success of composite restorations depends significantly on the efficiency of light curing, which directly influences their mechanical strength, esthetic quality, and longevity </w:t>
      </w:r>
      <w:r w:rsidR="00011C74" w:rsidRPr="00011C74">
        <w:rPr>
          <w:rFonts w:ascii="Times New Roman" w:hAnsi="Times New Roman" w:cs="Times New Roman"/>
        </w:rPr>
        <w:t>[1,2].</w:t>
      </w:r>
    </w:p>
    <w:p w14:paraId="7CC074A4" w14:textId="20706369" w:rsidR="00EF12EC" w:rsidRDefault="00EF12EC" w:rsidP="00EF12EC">
      <w:pPr>
        <w:spacing w:line="360" w:lineRule="auto"/>
        <w:jc w:val="both"/>
        <w:rPr>
          <w:rFonts w:ascii="Times New Roman" w:hAnsi="Times New Roman" w:cs="Times New Roman"/>
        </w:rPr>
      </w:pPr>
      <w:r w:rsidRPr="00EF12EC">
        <w:rPr>
          <w:rFonts w:ascii="Times New Roman" w:hAnsi="Times New Roman" w:cs="Times New Roman"/>
        </w:rPr>
        <w:lastRenderedPageBreak/>
        <w:t xml:space="preserve"> A key component of light curing is the photo-polymerization process, in which light energy initiates a chemical reaction that converts the resin composite from a pliable state to a hardened, durable structure. This reaction is facilitated by </w:t>
      </w:r>
      <w:proofErr w:type="spellStart"/>
      <w:r w:rsidRPr="00EF12EC">
        <w:rPr>
          <w:rFonts w:ascii="Times New Roman" w:hAnsi="Times New Roman" w:cs="Times New Roman"/>
        </w:rPr>
        <w:t>photoinitiators</w:t>
      </w:r>
      <w:proofErr w:type="spellEnd"/>
      <w:r w:rsidRPr="00EF12EC">
        <w:rPr>
          <w:rFonts w:ascii="Times New Roman" w:hAnsi="Times New Roman" w:cs="Times New Roman"/>
        </w:rPr>
        <w:t xml:space="preserve"> within the composite material, which absorb specific wavelengths of light and trigger the formation of polymer chains </w:t>
      </w:r>
      <w:r w:rsidR="00011C74" w:rsidRPr="00011C74">
        <w:rPr>
          <w:rFonts w:ascii="Times New Roman" w:hAnsi="Times New Roman" w:cs="Times New Roman"/>
        </w:rPr>
        <w:t>[3,4]</w:t>
      </w:r>
      <w:r w:rsidRPr="00EF12EC">
        <w:rPr>
          <w:rFonts w:ascii="Times New Roman" w:hAnsi="Times New Roman" w:cs="Times New Roman"/>
        </w:rPr>
        <w:t>. The efficiency of this process depends on various factors, such as light intensity, exposure duration, and the composite's composition</w:t>
      </w:r>
      <w:r w:rsidR="00011C74">
        <w:rPr>
          <w:rFonts w:ascii="Times New Roman" w:hAnsi="Times New Roman" w:cs="Times New Roman"/>
        </w:rPr>
        <w:t>.</w:t>
      </w:r>
    </w:p>
    <w:p w14:paraId="47B19854" w14:textId="683D5D15" w:rsidR="00671F63" w:rsidRDefault="00EF12EC" w:rsidP="00906481">
      <w:pPr>
        <w:spacing w:line="360" w:lineRule="auto"/>
        <w:jc w:val="both"/>
        <w:rPr>
          <w:rFonts w:ascii="Times New Roman" w:hAnsi="Times New Roman" w:cs="Times New Roman"/>
        </w:rPr>
      </w:pPr>
      <w:r w:rsidRPr="00EF12EC">
        <w:rPr>
          <w:rFonts w:ascii="Times New Roman" w:hAnsi="Times New Roman" w:cs="Times New Roman"/>
        </w:rPr>
        <w:t xml:space="preserve">Achieving optimal polymerization requires a thorough understanding of various factors, including exposure time, irradiance, </w:t>
      </w:r>
      <w:proofErr w:type="spellStart"/>
      <w:r w:rsidRPr="00EF12EC">
        <w:rPr>
          <w:rFonts w:ascii="Times New Roman" w:hAnsi="Times New Roman" w:cs="Times New Roman"/>
        </w:rPr>
        <w:t>polywave</w:t>
      </w:r>
      <w:proofErr w:type="spellEnd"/>
      <w:r w:rsidRPr="00EF12EC">
        <w:rPr>
          <w:rFonts w:ascii="Times New Roman" w:hAnsi="Times New Roman" w:cs="Times New Roman"/>
        </w:rPr>
        <w:t xml:space="preserve"> technology, curing modes, and safety considerations </w:t>
      </w:r>
      <w:r w:rsidR="00011C74" w:rsidRPr="00011C74">
        <w:rPr>
          <w:rFonts w:ascii="Times New Roman" w:hAnsi="Times New Roman" w:cs="Times New Roman"/>
        </w:rPr>
        <w:t>[5,6].</w:t>
      </w:r>
      <w:r w:rsidR="00011C74">
        <w:rPr>
          <w:rFonts w:ascii="Times New Roman" w:hAnsi="Times New Roman" w:cs="Times New Roman"/>
        </w:rPr>
        <w:t xml:space="preserve"> </w:t>
      </w:r>
      <w:r w:rsidRPr="00EF12EC">
        <w:rPr>
          <w:rFonts w:ascii="Times New Roman" w:hAnsi="Times New Roman" w:cs="Times New Roman"/>
        </w:rPr>
        <w:t>Additionally, advancements in light-curing technology and research-based clinical protocols have contributed to improved restoration performance and patient outcomes.</w:t>
      </w:r>
      <w:r w:rsidR="00011C74">
        <w:rPr>
          <w:rFonts w:ascii="Times New Roman" w:hAnsi="Times New Roman" w:cs="Times New Roman"/>
        </w:rPr>
        <w:t xml:space="preserve"> </w:t>
      </w:r>
      <w:r w:rsidRPr="00EF12EC">
        <w:rPr>
          <w:rFonts w:ascii="Times New Roman" w:hAnsi="Times New Roman" w:cs="Times New Roman"/>
        </w:rPr>
        <w:t xml:space="preserve">Properly executed photo-polymerization ensures optimal curing, minimizing the risk of incomplete polymerization, marginal leakage, and mechanical failure </w:t>
      </w:r>
      <w:r w:rsidR="00011C74" w:rsidRPr="00011C74">
        <w:rPr>
          <w:rFonts w:ascii="Times New Roman" w:hAnsi="Times New Roman" w:cs="Times New Roman"/>
        </w:rPr>
        <w:t>[7,8].</w:t>
      </w:r>
    </w:p>
    <w:p w14:paraId="605F1CFC" w14:textId="77777777" w:rsidR="00EF12EC" w:rsidRPr="00EF12EC" w:rsidRDefault="00EF12EC" w:rsidP="00EF12EC">
      <w:pPr>
        <w:spacing w:line="360" w:lineRule="auto"/>
        <w:jc w:val="both"/>
        <w:rPr>
          <w:rFonts w:ascii="Times New Roman" w:hAnsi="Times New Roman" w:cs="Times New Roman"/>
        </w:rPr>
      </w:pPr>
      <w:r w:rsidRPr="00EF12EC">
        <w:rPr>
          <w:rFonts w:ascii="Times New Roman" w:hAnsi="Times New Roman" w:cs="Times New Roman"/>
        </w:rPr>
        <w:t>This review explores the fundamental principles, challenges, and recent advancements in light curing techniques, emphasizing the importance of evidence-based approaches in contemporary dental practice.</w:t>
      </w:r>
    </w:p>
    <w:p w14:paraId="46C1680A" w14:textId="77777777" w:rsidR="00EF12EC" w:rsidRPr="00671F63" w:rsidRDefault="00EF12EC" w:rsidP="00906481">
      <w:pPr>
        <w:spacing w:line="360" w:lineRule="auto"/>
        <w:jc w:val="both"/>
        <w:rPr>
          <w:rFonts w:ascii="Times New Roman" w:hAnsi="Times New Roman" w:cs="Times New Roman"/>
        </w:rPr>
      </w:pPr>
    </w:p>
    <w:p w14:paraId="33D1EF5E" w14:textId="77777777" w:rsidR="00CE4BCD" w:rsidRDefault="00671F63" w:rsidP="00906481">
      <w:pPr>
        <w:spacing w:line="360" w:lineRule="auto"/>
        <w:jc w:val="both"/>
        <w:rPr>
          <w:rFonts w:ascii="Times New Roman" w:hAnsi="Times New Roman" w:cs="Times New Roman"/>
        </w:rPr>
      </w:pPr>
      <w:r w:rsidRPr="00671F63">
        <w:rPr>
          <w:rFonts w:ascii="Times New Roman" w:hAnsi="Times New Roman" w:cs="Times New Roman"/>
          <w:b/>
          <w:bCs/>
        </w:rPr>
        <w:t>Exposure Time and Total Energy Concept</w:t>
      </w:r>
      <w:r w:rsidR="00695D5F">
        <w:rPr>
          <w:rFonts w:ascii="Times New Roman" w:hAnsi="Times New Roman" w:cs="Times New Roman"/>
        </w:rPr>
        <w:t>:</w:t>
      </w:r>
    </w:p>
    <w:p w14:paraId="032DABCE" w14:textId="77DB820F" w:rsidR="00671F63" w:rsidRDefault="00695D5F" w:rsidP="00906481">
      <w:pPr>
        <w:spacing w:line="360" w:lineRule="auto"/>
        <w:jc w:val="both"/>
        <w:rPr>
          <w:rFonts w:ascii="Times New Roman" w:hAnsi="Times New Roman" w:cs="Times New Roman"/>
        </w:rPr>
      </w:pPr>
      <w:r>
        <w:rPr>
          <w:rFonts w:ascii="Times New Roman" w:hAnsi="Times New Roman" w:cs="Times New Roman"/>
        </w:rPr>
        <w:t xml:space="preserve"> </w:t>
      </w:r>
      <w:r w:rsidR="00671F63" w:rsidRPr="00671F63">
        <w:rPr>
          <w:rFonts w:ascii="Times New Roman" w:hAnsi="Times New Roman" w:cs="Times New Roman"/>
        </w:rPr>
        <w:t>The polymerization efficiency of resin composites depends on the total energy delivered, which is the product of exposure time and light intensity</w:t>
      </w:r>
      <w:r w:rsidR="00011C74" w:rsidRPr="00011C74">
        <w:t xml:space="preserve"> </w:t>
      </w:r>
      <w:r w:rsidR="00011C74" w:rsidRPr="00011C74">
        <w:rPr>
          <w:rFonts w:ascii="Times New Roman" w:hAnsi="Times New Roman" w:cs="Times New Roman"/>
        </w:rPr>
        <w:t>[9]</w:t>
      </w:r>
      <w:r w:rsidR="00671F63" w:rsidRPr="00671F63">
        <w:rPr>
          <w:rFonts w:ascii="Times New Roman" w:hAnsi="Times New Roman" w:cs="Times New Roman"/>
        </w:rPr>
        <w:t xml:space="preserve">. Higher intensity lights allow shorter curing times, while lower intensities necessitate extended exposure. For example, a curing light with an irradiance of 16000 </w:t>
      </w:r>
      <w:proofErr w:type="spellStart"/>
      <w:r w:rsidR="00671F63" w:rsidRPr="00671F63">
        <w:rPr>
          <w:rFonts w:ascii="Times New Roman" w:hAnsi="Times New Roman" w:cs="Times New Roman"/>
        </w:rPr>
        <w:t>mW</w:t>
      </w:r>
      <w:proofErr w:type="spellEnd"/>
      <w:r w:rsidR="00671F63" w:rsidRPr="00671F63">
        <w:rPr>
          <w:rFonts w:ascii="Times New Roman" w:hAnsi="Times New Roman" w:cs="Times New Roman"/>
        </w:rPr>
        <w:t xml:space="preserve">/cm² can cure a composite in 15 seconds when applied at 1200 </w:t>
      </w:r>
      <w:proofErr w:type="spellStart"/>
      <w:r w:rsidR="00671F63" w:rsidRPr="00671F63">
        <w:rPr>
          <w:rFonts w:ascii="Times New Roman" w:hAnsi="Times New Roman" w:cs="Times New Roman"/>
        </w:rPr>
        <w:t>mW</w:t>
      </w:r>
      <w:proofErr w:type="spellEnd"/>
      <w:r w:rsidR="00671F63" w:rsidRPr="00671F63">
        <w:rPr>
          <w:rFonts w:ascii="Times New Roman" w:hAnsi="Times New Roman" w:cs="Times New Roman"/>
        </w:rPr>
        <w:t>/cm² [1</w:t>
      </w:r>
      <w:r w:rsidR="00011C74">
        <w:rPr>
          <w:rFonts w:ascii="Times New Roman" w:hAnsi="Times New Roman" w:cs="Times New Roman"/>
        </w:rPr>
        <w:t>0</w:t>
      </w:r>
      <w:r w:rsidR="00671F63" w:rsidRPr="00671F63">
        <w:rPr>
          <w:rFonts w:ascii="Times New Roman" w:hAnsi="Times New Roman" w:cs="Times New Roman"/>
        </w:rPr>
        <w:t>]. Proper calibration of curing duration ensures complete polymerization and prevents under- or over-curing, which can compromise the restoration's longevity.</w:t>
      </w:r>
    </w:p>
    <w:p w14:paraId="3B19717C" w14:textId="5A237B96" w:rsidR="007E5403" w:rsidRDefault="007E5403" w:rsidP="00906481">
      <w:pPr>
        <w:spacing w:line="360" w:lineRule="auto"/>
        <w:jc w:val="both"/>
        <w:rPr>
          <w:rFonts w:ascii="Times New Roman" w:hAnsi="Times New Roman" w:cs="Times New Roman"/>
        </w:rPr>
      </w:pPr>
    </w:p>
    <w:p w14:paraId="1E4905A8" w14:textId="77777777" w:rsidR="007E5403" w:rsidRDefault="007E5403" w:rsidP="00906481">
      <w:pPr>
        <w:spacing w:line="360" w:lineRule="auto"/>
        <w:jc w:val="both"/>
        <w:rPr>
          <w:rFonts w:ascii="Times New Roman" w:hAnsi="Times New Roman" w:cs="Times New Roman"/>
        </w:rPr>
      </w:pPr>
    </w:p>
    <w:p w14:paraId="40B7F75C" w14:textId="76991444" w:rsidR="00B7044F" w:rsidRDefault="00B7044F" w:rsidP="00906481">
      <w:pPr>
        <w:spacing w:line="360" w:lineRule="auto"/>
        <w:jc w:val="both"/>
        <w:rPr>
          <w:rFonts w:ascii="Times New Roman" w:hAnsi="Times New Roman" w:cs="Times New Roman"/>
        </w:rPr>
      </w:pPr>
      <w:r>
        <w:rPr>
          <w:noProof/>
        </w:rPr>
        <w:lastRenderedPageBreak/>
        <w:drawing>
          <wp:anchor distT="0" distB="0" distL="114300" distR="114300" simplePos="0" relativeHeight="251658240" behindDoc="1" locked="0" layoutInCell="1" allowOverlap="1" wp14:anchorId="5F381FC4" wp14:editId="2F42A763">
            <wp:simplePos x="0" y="0"/>
            <wp:positionH relativeFrom="column">
              <wp:posOffset>1428750</wp:posOffset>
            </wp:positionH>
            <wp:positionV relativeFrom="paragraph">
              <wp:posOffset>33655</wp:posOffset>
            </wp:positionV>
            <wp:extent cx="2962275" cy="1317413"/>
            <wp:effectExtent l="0" t="0" r="0" b="0"/>
            <wp:wrapTight wrapText="bothSides">
              <wp:wrapPolygon edited="0">
                <wp:start x="0" y="0"/>
                <wp:lineTo x="139" y="21246"/>
                <wp:lineTo x="21392" y="21246"/>
                <wp:lineTo x="21392" y="0"/>
                <wp:lineTo x="0" y="0"/>
              </wp:wrapPolygon>
            </wp:wrapTight>
            <wp:docPr id="1504636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275" cy="1317413"/>
                    </a:xfrm>
                    <a:prstGeom prst="rect">
                      <a:avLst/>
                    </a:prstGeom>
                    <a:noFill/>
                    <a:ln>
                      <a:noFill/>
                    </a:ln>
                  </pic:spPr>
                </pic:pic>
              </a:graphicData>
            </a:graphic>
          </wp:anchor>
        </w:drawing>
      </w:r>
    </w:p>
    <w:p w14:paraId="22BD6366" w14:textId="77777777" w:rsidR="00B7044F" w:rsidRDefault="00B7044F" w:rsidP="00B7044F">
      <w:pPr>
        <w:tabs>
          <w:tab w:val="left" w:pos="1230"/>
        </w:tabs>
        <w:spacing w:line="360" w:lineRule="auto"/>
        <w:jc w:val="both"/>
        <w:rPr>
          <w:rFonts w:ascii="Times New Roman" w:hAnsi="Times New Roman" w:cs="Times New Roman"/>
        </w:rPr>
      </w:pPr>
      <w:r>
        <w:rPr>
          <w:rFonts w:ascii="Times New Roman" w:hAnsi="Times New Roman" w:cs="Times New Roman"/>
        </w:rPr>
        <w:tab/>
      </w:r>
    </w:p>
    <w:p w14:paraId="11BF971B" w14:textId="77777777" w:rsidR="00B7044F" w:rsidRDefault="00B7044F" w:rsidP="00B7044F">
      <w:pPr>
        <w:tabs>
          <w:tab w:val="left" w:pos="1230"/>
        </w:tabs>
        <w:spacing w:line="360" w:lineRule="auto"/>
        <w:jc w:val="both"/>
        <w:rPr>
          <w:rFonts w:ascii="Times New Roman" w:hAnsi="Times New Roman" w:cs="Times New Roman"/>
        </w:rPr>
      </w:pPr>
    </w:p>
    <w:p w14:paraId="7A6971EB" w14:textId="77777777" w:rsidR="00B7044F" w:rsidRDefault="00B7044F" w:rsidP="00B7044F">
      <w:pPr>
        <w:tabs>
          <w:tab w:val="left" w:pos="1230"/>
        </w:tabs>
        <w:spacing w:line="360" w:lineRule="auto"/>
        <w:jc w:val="both"/>
        <w:rPr>
          <w:rFonts w:ascii="Times New Roman" w:hAnsi="Times New Roman" w:cs="Times New Roman"/>
        </w:rPr>
      </w:pPr>
    </w:p>
    <w:p w14:paraId="163091A2" w14:textId="7E14AE23" w:rsidR="00B7044F" w:rsidRPr="00671F63" w:rsidRDefault="00B7044F" w:rsidP="00B7044F">
      <w:pPr>
        <w:tabs>
          <w:tab w:val="left" w:pos="1230"/>
        </w:tabs>
        <w:spacing w:line="360" w:lineRule="auto"/>
        <w:jc w:val="center"/>
        <w:rPr>
          <w:rFonts w:ascii="Times New Roman" w:hAnsi="Times New Roman" w:cs="Times New Roman"/>
        </w:rPr>
      </w:pPr>
      <w:r>
        <w:rPr>
          <w:rFonts w:ascii="Times New Roman" w:hAnsi="Times New Roman" w:cs="Times New Roman"/>
        </w:rPr>
        <w:t>Figure 1:</w:t>
      </w:r>
      <w:r w:rsidRPr="00B7044F">
        <w:t xml:space="preserve"> </w:t>
      </w:r>
      <w:r w:rsidRPr="00B7044F">
        <w:rPr>
          <w:rFonts w:ascii="Times New Roman" w:hAnsi="Times New Roman" w:cs="Times New Roman"/>
        </w:rPr>
        <w:t>Exposure Time and Total Energy Concept</w:t>
      </w:r>
    </w:p>
    <w:p w14:paraId="0A24B6C9" w14:textId="0480D57B" w:rsidR="00671F63" w:rsidRPr="00671F63" w:rsidRDefault="00671F63" w:rsidP="00906481">
      <w:pPr>
        <w:spacing w:line="360" w:lineRule="auto"/>
        <w:jc w:val="both"/>
        <w:rPr>
          <w:rFonts w:ascii="Times New Roman" w:hAnsi="Times New Roman" w:cs="Times New Roman"/>
        </w:rPr>
      </w:pPr>
      <w:r w:rsidRPr="00671F63">
        <w:rPr>
          <w:rFonts w:ascii="Times New Roman" w:hAnsi="Times New Roman" w:cs="Times New Roman"/>
        </w:rPr>
        <w:t xml:space="preserve">Insufficient exposure can lead to uncured resin, affecting the mechanical strength and biocompatibility of the restoration. Proper polymerization ensures optimal bond strength, minimizing marginal leakage and the risk of secondary caries. Various factors influence exposure time, including the distance between the curing light and the restoration, the angulation of light application, and the composite's material properties </w:t>
      </w:r>
      <w:r w:rsidR="00011C74" w:rsidRPr="00011C74">
        <w:rPr>
          <w:rFonts w:ascii="Times New Roman" w:hAnsi="Times New Roman" w:cs="Times New Roman"/>
        </w:rPr>
        <w:t>[9]</w:t>
      </w:r>
      <w:r w:rsidR="00011C74" w:rsidRPr="00671F63">
        <w:rPr>
          <w:rFonts w:ascii="Times New Roman" w:hAnsi="Times New Roman" w:cs="Times New Roman"/>
        </w:rPr>
        <w:t>.</w:t>
      </w:r>
    </w:p>
    <w:p w14:paraId="3D84F24C" w14:textId="385E853C" w:rsidR="00671F63" w:rsidRDefault="00B9085C" w:rsidP="00906481">
      <w:pPr>
        <w:spacing w:line="360" w:lineRule="auto"/>
        <w:jc w:val="both"/>
        <w:rPr>
          <w:rFonts w:ascii="Times New Roman" w:hAnsi="Times New Roman" w:cs="Times New Roman"/>
        </w:rPr>
      </w:pPr>
      <w:proofErr w:type="spellStart"/>
      <w:r w:rsidRPr="00B9085C">
        <w:rPr>
          <w:rFonts w:ascii="Times New Roman" w:hAnsi="Times New Roman" w:cs="Times New Roman"/>
        </w:rPr>
        <w:t>Alpöz</w:t>
      </w:r>
      <w:proofErr w:type="spellEnd"/>
      <w:r w:rsidRPr="00B9085C">
        <w:rPr>
          <w:rFonts w:ascii="Times New Roman" w:hAnsi="Times New Roman" w:cs="Times New Roman"/>
        </w:rPr>
        <w:t xml:space="preserve"> et al. (2008) investigated the effects of different light-curing methods and exposure times on the mechanical properties of resin-based dental materials. The study compared conventional halogen, LED, and high-intensity curing units, assessing their impact on microhardness and flexural strength. Results indicated that longer exposure times generally improved material properties</w:t>
      </w:r>
      <w:r w:rsidR="00671F63" w:rsidRPr="00671F63">
        <w:rPr>
          <w:rFonts w:ascii="Times New Roman" w:hAnsi="Times New Roman" w:cs="Times New Roman"/>
        </w:rPr>
        <w:t xml:space="preserve"> </w:t>
      </w:r>
      <w:r w:rsidR="00011C74">
        <w:rPr>
          <w:rFonts w:ascii="Times New Roman" w:hAnsi="Times New Roman" w:cs="Times New Roman"/>
        </w:rPr>
        <w:t>[11</w:t>
      </w:r>
      <w:r w:rsidR="00671F63" w:rsidRPr="00671F63">
        <w:rPr>
          <w:rFonts w:ascii="Times New Roman" w:hAnsi="Times New Roman" w:cs="Times New Roman"/>
        </w:rPr>
        <w:t>].</w:t>
      </w:r>
    </w:p>
    <w:p w14:paraId="2C86A260" w14:textId="77777777" w:rsidR="00CE4BCD" w:rsidRPr="00671F63" w:rsidRDefault="00CE4BCD" w:rsidP="00906481">
      <w:pPr>
        <w:spacing w:line="360" w:lineRule="auto"/>
        <w:jc w:val="both"/>
        <w:rPr>
          <w:rFonts w:ascii="Times New Roman" w:hAnsi="Times New Roman" w:cs="Times New Roman"/>
        </w:rPr>
      </w:pPr>
    </w:p>
    <w:p w14:paraId="46E26FBB" w14:textId="77777777" w:rsidR="00CE4BCD" w:rsidRDefault="00671F63" w:rsidP="00906481">
      <w:pPr>
        <w:spacing w:line="360" w:lineRule="auto"/>
        <w:jc w:val="both"/>
        <w:rPr>
          <w:rFonts w:ascii="Times New Roman" w:hAnsi="Times New Roman" w:cs="Times New Roman"/>
        </w:rPr>
      </w:pPr>
      <w:r w:rsidRPr="00671F63">
        <w:rPr>
          <w:rFonts w:ascii="Times New Roman" w:hAnsi="Times New Roman" w:cs="Times New Roman"/>
          <w:b/>
          <w:bCs/>
        </w:rPr>
        <w:t>Irradiance and Beam Homogeneity</w:t>
      </w:r>
      <w:r w:rsidR="00695D5F">
        <w:rPr>
          <w:rFonts w:ascii="Times New Roman" w:hAnsi="Times New Roman" w:cs="Times New Roman"/>
        </w:rPr>
        <w:t>:</w:t>
      </w:r>
    </w:p>
    <w:p w14:paraId="30501DB3" w14:textId="09240BB9" w:rsidR="00671F63" w:rsidRPr="00671F63" w:rsidRDefault="00695D5F" w:rsidP="00906481">
      <w:pPr>
        <w:spacing w:line="360" w:lineRule="auto"/>
        <w:jc w:val="both"/>
        <w:rPr>
          <w:rFonts w:ascii="Times New Roman" w:hAnsi="Times New Roman" w:cs="Times New Roman"/>
        </w:rPr>
      </w:pPr>
      <w:r>
        <w:rPr>
          <w:rFonts w:ascii="Times New Roman" w:hAnsi="Times New Roman" w:cs="Times New Roman"/>
        </w:rPr>
        <w:t xml:space="preserve"> </w:t>
      </w:r>
      <w:r w:rsidR="00671F63" w:rsidRPr="00671F63">
        <w:rPr>
          <w:rFonts w:ascii="Times New Roman" w:hAnsi="Times New Roman" w:cs="Times New Roman"/>
        </w:rPr>
        <w:t>Uniform irradiance is crucial for ensuring even polymerization throughout the restoration. An ideal curing light should have a homogenous beam profile to prevent areas of insufficient energy delivery, which may result in inadequate curing at deeper layers [</w:t>
      </w:r>
      <w:r w:rsidR="00011C74">
        <w:rPr>
          <w:rFonts w:ascii="Times New Roman" w:hAnsi="Times New Roman" w:cs="Times New Roman"/>
        </w:rPr>
        <w:t>12</w:t>
      </w:r>
      <w:r w:rsidR="00671F63" w:rsidRPr="00671F63">
        <w:rPr>
          <w:rFonts w:ascii="Times New Roman" w:hAnsi="Times New Roman" w:cs="Times New Roman"/>
        </w:rPr>
        <w:t>]. Proper positioning of the curing light perpendicular to the restoration surface maximizes efficiency.</w:t>
      </w:r>
    </w:p>
    <w:p w14:paraId="0C902D41" w14:textId="0FB7617F" w:rsidR="00671F63" w:rsidRPr="00671F63" w:rsidRDefault="00671F63" w:rsidP="00906481">
      <w:pPr>
        <w:spacing w:line="360" w:lineRule="auto"/>
        <w:jc w:val="both"/>
        <w:rPr>
          <w:rFonts w:ascii="Times New Roman" w:hAnsi="Times New Roman" w:cs="Times New Roman"/>
          <w:b/>
          <w:bCs/>
        </w:rPr>
      </w:pPr>
      <w:r w:rsidRPr="00671F63">
        <w:rPr>
          <w:rFonts w:ascii="Times New Roman" w:hAnsi="Times New Roman" w:cs="Times New Roman"/>
          <w:b/>
          <w:bCs/>
        </w:rPr>
        <w:t>Factors Affecting Light Cure Irradiance</w:t>
      </w:r>
      <w:r w:rsidR="00CE4BCD">
        <w:rPr>
          <w:rFonts w:ascii="Times New Roman" w:hAnsi="Times New Roman" w:cs="Times New Roman"/>
          <w:b/>
          <w:bCs/>
        </w:rPr>
        <w:t>:</w:t>
      </w:r>
    </w:p>
    <w:p w14:paraId="1224C632" w14:textId="77777777" w:rsidR="00671F63" w:rsidRPr="00671F63" w:rsidRDefault="00671F63" w:rsidP="00906481">
      <w:pPr>
        <w:spacing w:line="360" w:lineRule="auto"/>
        <w:jc w:val="both"/>
        <w:rPr>
          <w:rFonts w:ascii="Times New Roman" w:hAnsi="Times New Roman" w:cs="Times New Roman"/>
        </w:rPr>
      </w:pPr>
      <w:r w:rsidRPr="00671F63">
        <w:rPr>
          <w:rFonts w:ascii="Times New Roman" w:hAnsi="Times New Roman" w:cs="Times New Roman"/>
        </w:rPr>
        <w:t>Several factors influence the effectiveness of light cure irradiance, impacting composite polymerization quality. These include:</w:t>
      </w:r>
    </w:p>
    <w:p w14:paraId="27D42CC1" w14:textId="29675344" w:rsidR="00671F63" w:rsidRPr="00671F63" w:rsidRDefault="00671F63" w:rsidP="00906481">
      <w:pPr>
        <w:numPr>
          <w:ilvl w:val="0"/>
          <w:numId w:val="7"/>
        </w:numPr>
        <w:spacing w:line="360" w:lineRule="auto"/>
        <w:jc w:val="both"/>
        <w:rPr>
          <w:rFonts w:ascii="Times New Roman" w:hAnsi="Times New Roman" w:cs="Times New Roman"/>
        </w:rPr>
      </w:pPr>
      <w:r w:rsidRPr="00671F63">
        <w:rPr>
          <w:rFonts w:ascii="Times New Roman" w:hAnsi="Times New Roman" w:cs="Times New Roman"/>
          <w:b/>
          <w:bCs/>
        </w:rPr>
        <w:t>Power Output of the Curing Light</w:t>
      </w:r>
      <w:r w:rsidR="0095565E">
        <w:rPr>
          <w:rFonts w:ascii="Times New Roman" w:hAnsi="Times New Roman" w:cs="Times New Roman"/>
          <w:b/>
          <w:bCs/>
        </w:rPr>
        <w:t>:</w:t>
      </w:r>
      <w:r w:rsidR="007919C4" w:rsidRPr="007919C4">
        <w:rPr>
          <w:rFonts w:ascii="Times New Roman" w:hAnsi="Times New Roman" w:cs="Times New Roman"/>
        </w:rPr>
        <w:t xml:space="preserve"> Higher-powered curing lights allow shorter curing times and deeper polymerization by delivering increased irradiance to the composite material. This enhances the degree of conversion of monomers into polymers, leading to </w:t>
      </w:r>
      <w:r w:rsidR="007919C4" w:rsidRPr="007919C4">
        <w:rPr>
          <w:rFonts w:ascii="Times New Roman" w:hAnsi="Times New Roman" w:cs="Times New Roman"/>
        </w:rPr>
        <w:lastRenderedPageBreak/>
        <w:t>improved mechanical properties and longevity of the restoration. Additionally, high-power curing lights reduce the risk of incomplete polymerization in deeper restorations, ensuring uniform material performance throughout the composite layer.</w:t>
      </w:r>
      <w:r w:rsidRPr="00671F63">
        <w:rPr>
          <w:rFonts w:ascii="Times New Roman" w:hAnsi="Times New Roman" w:cs="Times New Roman"/>
        </w:rPr>
        <w:t xml:space="preserve"> [</w:t>
      </w:r>
      <w:r w:rsidR="00011C74">
        <w:rPr>
          <w:rFonts w:ascii="Times New Roman" w:hAnsi="Times New Roman" w:cs="Times New Roman"/>
        </w:rPr>
        <w:t>13</w:t>
      </w:r>
      <w:r w:rsidRPr="00671F63">
        <w:rPr>
          <w:rFonts w:ascii="Times New Roman" w:hAnsi="Times New Roman" w:cs="Times New Roman"/>
        </w:rPr>
        <w:t>].</w:t>
      </w:r>
    </w:p>
    <w:p w14:paraId="11C5B19F" w14:textId="3A31F3EB" w:rsidR="00671F63" w:rsidRPr="00671F63" w:rsidRDefault="00671F63" w:rsidP="00906481">
      <w:pPr>
        <w:numPr>
          <w:ilvl w:val="0"/>
          <w:numId w:val="7"/>
        </w:numPr>
        <w:spacing w:line="360" w:lineRule="auto"/>
        <w:jc w:val="both"/>
        <w:rPr>
          <w:rFonts w:ascii="Times New Roman" w:hAnsi="Times New Roman" w:cs="Times New Roman"/>
        </w:rPr>
      </w:pPr>
      <w:r w:rsidRPr="00671F63">
        <w:rPr>
          <w:rFonts w:ascii="Times New Roman" w:hAnsi="Times New Roman" w:cs="Times New Roman"/>
          <w:b/>
          <w:bCs/>
        </w:rPr>
        <w:t>Beam Homogeneity</w:t>
      </w:r>
      <w:r w:rsidR="0095565E">
        <w:rPr>
          <w:rFonts w:ascii="Times New Roman" w:hAnsi="Times New Roman" w:cs="Times New Roman"/>
          <w:b/>
          <w:bCs/>
        </w:rPr>
        <w:t xml:space="preserve">: </w:t>
      </w:r>
      <w:r w:rsidR="007919C4" w:rsidRPr="007919C4">
        <w:rPr>
          <w:rFonts w:ascii="Times New Roman" w:hAnsi="Times New Roman" w:cs="Times New Roman"/>
        </w:rPr>
        <w:t xml:space="preserve">An uneven beam profile leads to inconsistent curing, creating weak spots in the restoration. Variations in light distribution can result in areas that receive insufficient irradiance, leading to compromised mechanical properties and potential failure over time. Ensuring a uniform beam profile helps achieve consistent polymerization throughout the composite material, reducing the risk of incomplete curing and marginal breakdown. Advanced curing lights with collimated beams and even irradiance distribution </w:t>
      </w:r>
      <w:proofErr w:type="gramStart"/>
      <w:r w:rsidR="007919C4" w:rsidRPr="007919C4">
        <w:rPr>
          <w:rFonts w:ascii="Times New Roman" w:hAnsi="Times New Roman" w:cs="Times New Roman"/>
        </w:rPr>
        <w:t>are</w:t>
      </w:r>
      <w:proofErr w:type="gramEnd"/>
      <w:r w:rsidR="007919C4" w:rsidRPr="007919C4">
        <w:rPr>
          <w:rFonts w:ascii="Times New Roman" w:hAnsi="Times New Roman" w:cs="Times New Roman"/>
        </w:rPr>
        <w:t xml:space="preserve"> recommended to optimize polymerization quality</w:t>
      </w:r>
      <w:r w:rsidRPr="00671F63">
        <w:rPr>
          <w:rFonts w:ascii="Times New Roman" w:hAnsi="Times New Roman" w:cs="Times New Roman"/>
        </w:rPr>
        <w:t xml:space="preserve"> [</w:t>
      </w:r>
      <w:r w:rsidR="00011C74">
        <w:rPr>
          <w:rFonts w:ascii="Times New Roman" w:hAnsi="Times New Roman" w:cs="Times New Roman"/>
        </w:rPr>
        <w:t>14</w:t>
      </w:r>
      <w:r w:rsidRPr="00671F63">
        <w:rPr>
          <w:rFonts w:ascii="Times New Roman" w:hAnsi="Times New Roman" w:cs="Times New Roman"/>
        </w:rPr>
        <w:t>].</w:t>
      </w:r>
    </w:p>
    <w:p w14:paraId="683BDB81" w14:textId="02DBBC8B" w:rsidR="00671F63" w:rsidRDefault="00671F63" w:rsidP="00906481">
      <w:pPr>
        <w:numPr>
          <w:ilvl w:val="0"/>
          <w:numId w:val="7"/>
        </w:numPr>
        <w:spacing w:line="360" w:lineRule="auto"/>
        <w:jc w:val="both"/>
        <w:rPr>
          <w:rFonts w:ascii="Times New Roman" w:hAnsi="Times New Roman" w:cs="Times New Roman"/>
        </w:rPr>
      </w:pPr>
      <w:r w:rsidRPr="00671F63">
        <w:rPr>
          <w:rFonts w:ascii="Times New Roman" w:hAnsi="Times New Roman" w:cs="Times New Roman"/>
          <w:b/>
          <w:bCs/>
        </w:rPr>
        <w:t>Curing Tip Diameter</w:t>
      </w:r>
      <w:r w:rsidRPr="00671F63">
        <w:rPr>
          <w:rFonts w:ascii="Times New Roman" w:hAnsi="Times New Roman" w:cs="Times New Roman"/>
        </w:rPr>
        <w:t>: The diameter of the curing tip influences light distribution. A larger tip covers a wider area but may reduce peak irradiance, while a smaller tip increases intensity but limits coverage</w:t>
      </w:r>
      <w:r w:rsidR="007919C4">
        <w:rPr>
          <w:rFonts w:ascii="Times New Roman" w:hAnsi="Times New Roman" w:cs="Times New Roman"/>
        </w:rPr>
        <w:t xml:space="preserve">. </w:t>
      </w:r>
      <w:r w:rsidR="009E6A3E" w:rsidRPr="009E6A3E">
        <w:rPr>
          <w:rFonts w:ascii="Times New Roman" w:hAnsi="Times New Roman" w:cs="Times New Roman"/>
        </w:rPr>
        <w:t>Selecting an appropriate tip diameter ensures uniform polymerization across the restoration surface.</w:t>
      </w:r>
    </w:p>
    <w:p w14:paraId="454C7187" w14:textId="7068692D" w:rsidR="007919C4" w:rsidRDefault="0092749E" w:rsidP="007919C4">
      <w:pPr>
        <w:spacing w:line="360" w:lineRule="auto"/>
        <w:ind w:left="720"/>
        <w:jc w:val="both"/>
        <w:rPr>
          <w:rFonts w:ascii="Times New Roman" w:hAnsi="Times New Roman" w:cs="Times New Roman"/>
        </w:rPr>
      </w:pPr>
      <w:r w:rsidRPr="00B7044F">
        <w:rPr>
          <w:rFonts w:ascii="Times New Roman" w:hAnsi="Times New Roman" w:cs="Times New Roman"/>
          <w:noProof/>
        </w:rPr>
        <w:drawing>
          <wp:anchor distT="0" distB="0" distL="114300" distR="114300" simplePos="0" relativeHeight="251659264" behindDoc="1" locked="0" layoutInCell="1" allowOverlap="1" wp14:anchorId="7B8D9F05" wp14:editId="1468BD7D">
            <wp:simplePos x="0" y="0"/>
            <wp:positionH relativeFrom="margin">
              <wp:posOffset>2228850</wp:posOffset>
            </wp:positionH>
            <wp:positionV relativeFrom="paragraph">
              <wp:posOffset>1591310</wp:posOffset>
            </wp:positionV>
            <wp:extent cx="1920239" cy="1895818"/>
            <wp:effectExtent l="0" t="0" r="4445" b="0"/>
            <wp:wrapTight wrapText="bothSides">
              <wp:wrapPolygon edited="0">
                <wp:start x="0" y="0"/>
                <wp:lineTo x="0" y="21274"/>
                <wp:lineTo x="21436" y="21274"/>
                <wp:lineTo x="21436" y="0"/>
                <wp:lineTo x="0" y="0"/>
              </wp:wrapPolygon>
            </wp:wrapTight>
            <wp:docPr id="15" name="Picture 14" descr="Different types of dental implants&#10;&#10;AI-generated content may be incorrect.">
              <a:extLst xmlns:a="http://schemas.openxmlformats.org/drawingml/2006/main">
                <a:ext uri="{FF2B5EF4-FFF2-40B4-BE49-F238E27FC236}">
                  <a16:creationId xmlns:a16="http://schemas.microsoft.com/office/drawing/2014/main" id="{E9F76890-2859-88C4-1F7A-CEAEBFBA5A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Different types of dental implants&#10;&#10;AI-generated content may be incorrect.">
                      <a:extLst>
                        <a:ext uri="{FF2B5EF4-FFF2-40B4-BE49-F238E27FC236}">
                          <a16:creationId xmlns:a16="http://schemas.microsoft.com/office/drawing/2014/main" id="{E9F76890-2859-88C4-1F7A-CEAEBFBA5A6B}"/>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20239" cy="1895818"/>
                    </a:xfrm>
                    <a:prstGeom prst="rect">
                      <a:avLst/>
                    </a:prstGeom>
                  </pic:spPr>
                </pic:pic>
              </a:graphicData>
            </a:graphic>
          </wp:anchor>
        </w:drawing>
      </w:r>
      <w:r w:rsidR="007919C4" w:rsidRPr="007919C4">
        <w:rPr>
          <w:rFonts w:ascii="Times New Roman" w:hAnsi="Times New Roman" w:cs="Times New Roman"/>
        </w:rPr>
        <w:t>A study by Nomoto (2003) investigated the effect of light guide tip diameter on the polymerization of light-cured composites using an LED curing unit. The research demonstrated that smaller diameter tips (4 mm) produced higher light illuminance and greater depths of cure compared to larger tips (8 mm and 10 mm). Specifically, the depth of cure for the 4 mm tip was significantly greater than that of the larger tips, indicating that tip diameter directly affects the effectiveness of composite polymerization</w:t>
      </w:r>
      <w:r w:rsidR="007919C4">
        <w:rPr>
          <w:rFonts w:ascii="Times New Roman" w:hAnsi="Times New Roman" w:cs="Times New Roman"/>
        </w:rPr>
        <w:t xml:space="preserve"> </w:t>
      </w:r>
      <w:r w:rsidR="007919C4" w:rsidRPr="00671F63">
        <w:rPr>
          <w:rFonts w:ascii="Times New Roman" w:hAnsi="Times New Roman" w:cs="Times New Roman"/>
        </w:rPr>
        <w:t>[</w:t>
      </w:r>
      <w:r w:rsidR="007919C4">
        <w:rPr>
          <w:rFonts w:ascii="Times New Roman" w:hAnsi="Times New Roman" w:cs="Times New Roman"/>
        </w:rPr>
        <w:t>15</w:t>
      </w:r>
      <w:r w:rsidR="007919C4" w:rsidRPr="00671F63">
        <w:rPr>
          <w:rFonts w:ascii="Times New Roman" w:hAnsi="Times New Roman" w:cs="Times New Roman"/>
        </w:rPr>
        <w:t>].</w:t>
      </w:r>
    </w:p>
    <w:p w14:paraId="58CDCEF8" w14:textId="60888523" w:rsidR="0092749E" w:rsidRDefault="0092749E" w:rsidP="007919C4">
      <w:pPr>
        <w:spacing w:line="360" w:lineRule="auto"/>
        <w:ind w:left="720"/>
        <w:jc w:val="both"/>
        <w:rPr>
          <w:rFonts w:ascii="Times New Roman" w:hAnsi="Times New Roman" w:cs="Times New Roman"/>
        </w:rPr>
      </w:pPr>
    </w:p>
    <w:p w14:paraId="45A8756D" w14:textId="05EC8984" w:rsidR="0092749E" w:rsidRDefault="0092749E" w:rsidP="007919C4">
      <w:pPr>
        <w:spacing w:line="360" w:lineRule="auto"/>
        <w:ind w:left="720"/>
        <w:jc w:val="both"/>
        <w:rPr>
          <w:rFonts w:ascii="Times New Roman" w:hAnsi="Times New Roman" w:cs="Times New Roman"/>
        </w:rPr>
      </w:pPr>
    </w:p>
    <w:p w14:paraId="25E33884" w14:textId="77777777" w:rsidR="0092749E" w:rsidRDefault="0092749E" w:rsidP="007919C4">
      <w:pPr>
        <w:spacing w:line="360" w:lineRule="auto"/>
        <w:ind w:left="720"/>
        <w:jc w:val="both"/>
        <w:rPr>
          <w:rFonts w:ascii="Times New Roman" w:hAnsi="Times New Roman" w:cs="Times New Roman"/>
        </w:rPr>
      </w:pPr>
    </w:p>
    <w:p w14:paraId="10DC69C6" w14:textId="6382BE4C" w:rsidR="0092749E" w:rsidRDefault="0092749E" w:rsidP="007919C4">
      <w:pPr>
        <w:spacing w:line="360" w:lineRule="auto"/>
        <w:ind w:left="720"/>
        <w:jc w:val="both"/>
        <w:rPr>
          <w:rFonts w:ascii="Times New Roman" w:hAnsi="Times New Roman" w:cs="Times New Roman"/>
        </w:rPr>
      </w:pPr>
    </w:p>
    <w:p w14:paraId="411F91E2" w14:textId="77777777" w:rsidR="0092749E" w:rsidRDefault="0092749E" w:rsidP="007919C4">
      <w:pPr>
        <w:spacing w:line="360" w:lineRule="auto"/>
        <w:ind w:left="720"/>
        <w:jc w:val="both"/>
        <w:rPr>
          <w:rFonts w:ascii="Times New Roman" w:hAnsi="Times New Roman" w:cs="Times New Roman"/>
        </w:rPr>
      </w:pPr>
    </w:p>
    <w:p w14:paraId="2D1D9F8C" w14:textId="206FC598" w:rsidR="00B7044F" w:rsidRPr="00671F63" w:rsidRDefault="0092749E" w:rsidP="0092749E">
      <w:pPr>
        <w:spacing w:line="360" w:lineRule="auto"/>
        <w:ind w:left="720"/>
        <w:jc w:val="center"/>
        <w:rPr>
          <w:rFonts w:ascii="Times New Roman" w:hAnsi="Times New Roman" w:cs="Times New Roman"/>
        </w:rPr>
      </w:pPr>
      <w:r>
        <w:rPr>
          <w:rFonts w:ascii="Times New Roman" w:hAnsi="Times New Roman" w:cs="Times New Roman"/>
        </w:rPr>
        <w:t xml:space="preserve">Figure 2: </w:t>
      </w:r>
      <w:r w:rsidRPr="0092749E">
        <w:rPr>
          <w:rFonts w:ascii="Times New Roman" w:hAnsi="Times New Roman" w:cs="Times New Roman"/>
        </w:rPr>
        <w:t>Curing Tip Diameter</w:t>
      </w:r>
    </w:p>
    <w:p w14:paraId="5B60CD49" w14:textId="1365A294" w:rsidR="00671F63" w:rsidRPr="00671F63" w:rsidRDefault="00671F63" w:rsidP="00906481">
      <w:pPr>
        <w:numPr>
          <w:ilvl w:val="0"/>
          <w:numId w:val="7"/>
        </w:numPr>
        <w:spacing w:line="360" w:lineRule="auto"/>
        <w:jc w:val="both"/>
        <w:rPr>
          <w:rFonts w:ascii="Times New Roman" w:hAnsi="Times New Roman" w:cs="Times New Roman"/>
        </w:rPr>
      </w:pPr>
      <w:r w:rsidRPr="00671F63">
        <w:rPr>
          <w:rFonts w:ascii="Times New Roman" w:hAnsi="Times New Roman" w:cs="Times New Roman"/>
          <w:b/>
          <w:bCs/>
        </w:rPr>
        <w:lastRenderedPageBreak/>
        <w:t>Distance from Light Tip to Composite Surface</w:t>
      </w:r>
      <w:r w:rsidRPr="00671F63">
        <w:rPr>
          <w:rFonts w:ascii="Times New Roman" w:hAnsi="Times New Roman" w:cs="Times New Roman"/>
        </w:rPr>
        <w:t>: The further the light source, the lower the irradiance received, leading to suboptimal polymerization.</w:t>
      </w:r>
      <w:r w:rsidR="0092749E" w:rsidRPr="0092749E">
        <w:t xml:space="preserve"> </w:t>
      </w:r>
      <w:r w:rsidR="0092749E" w:rsidRPr="0092749E">
        <w:rPr>
          <w:rFonts w:ascii="Times New Roman" w:hAnsi="Times New Roman" w:cs="Times New Roman"/>
        </w:rPr>
        <w:t>To ensure effective curing, the light tip should be positioned as close as possible to the composite surface without touching it.</w:t>
      </w:r>
      <w:r w:rsidRPr="00671F63">
        <w:rPr>
          <w:rFonts w:ascii="Times New Roman" w:hAnsi="Times New Roman" w:cs="Times New Roman"/>
        </w:rPr>
        <w:t xml:space="preserve"> Studies have shown that increasing the distance from 0 mm to 10 mm can reduce irradiance by nearly 50%, necessitating longer curing times to compensate for energy loss [</w:t>
      </w:r>
      <w:r w:rsidR="00011C74">
        <w:rPr>
          <w:rFonts w:ascii="Times New Roman" w:hAnsi="Times New Roman" w:cs="Times New Roman"/>
        </w:rPr>
        <w:t>16</w:t>
      </w:r>
      <w:r w:rsidRPr="00671F63">
        <w:rPr>
          <w:rFonts w:ascii="Times New Roman" w:hAnsi="Times New Roman" w:cs="Times New Roman"/>
        </w:rPr>
        <w:t>].</w:t>
      </w:r>
    </w:p>
    <w:p w14:paraId="056E1BB8" w14:textId="6AB057E6" w:rsidR="00850CB5" w:rsidRDefault="00671F63" w:rsidP="00850CB5">
      <w:pPr>
        <w:numPr>
          <w:ilvl w:val="0"/>
          <w:numId w:val="7"/>
        </w:numPr>
        <w:spacing w:line="360" w:lineRule="auto"/>
        <w:jc w:val="both"/>
        <w:rPr>
          <w:rFonts w:ascii="Times New Roman" w:hAnsi="Times New Roman" w:cs="Times New Roman"/>
        </w:rPr>
      </w:pPr>
      <w:r w:rsidRPr="00671F63">
        <w:rPr>
          <w:rFonts w:ascii="Times New Roman" w:hAnsi="Times New Roman" w:cs="Times New Roman"/>
          <w:b/>
          <w:bCs/>
        </w:rPr>
        <w:t>Angle of Light Application</w:t>
      </w:r>
      <w:r w:rsidRPr="00671F63">
        <w:rPr>
          <w:rFonts w:ascii="Times New Roman" w:hAnsi="Times New Roman" w:cs="Times New Roman"/>
        </w:rPr>
        <w:t>: Incorrect angulation can lead to shadowing and incomplete polymerization, especially in deep cavities where light penetration is already limited [</w:t>
      </w:r>
      <w:r w:rsidR="00011C74">
        <w:rPr>
          <w:rFonts w:ascii="Times New Roman" w:hAnsi="Times New Roman" w:cs="Times New Roman"/>
        </w:rPr>
        <w:t>17</w:t>
      </w:r>
      <w:r w:rsidRPr="00671F63">
        <w:rPr>
          <w:rFonts w:ascii="Times New Roman" w:hAnsi="Times New Roman" w:cs="Times New Roman"/>
        </w:rPr>
        <w:t>].</w:t>
      </w:r>
      <w:r w:rsidR="009E6A3E" w:rsidRPr="009E6A3E">
        <w:t xml:space="preserve"> </w:t>
      </w:r>
      <w:r w:rsidR="009E6A3E" w:rsidRPr="009E6A3E">
        <w:rPr>
          <w:rFonts w:ascii="Times New Roman" w:hAnsi="Times New Roman" w:cs="Times New Roman"/>
        </w:rPr>
        <w:t>Ensuring the curing light is positioned perpendicular to the surface and using light-guiding tips can enhance energy delivery to all areas of the restoration, improving overall polymerization quality (Price et al., 2010). Additionally, light-transmitting wedges can be used to direct light into deeper areas, helping to ensure adequate polymerization in challenging restorations such as Class II cavities (</w:t>
      </w:r>
      <w:proofErr w:type="spellStart"/>
      <w:r w:rsidR="009E6A3E" w:rsidRPr="009E6A3E">
        <w:rPr>
          <w:rFonts w:ascii="Times New Roman" w:hAnsi="Times New Roman" w:cs="Times New Roman"/>
        </w:rPr>
        <w:t>Rueggeberg</w:t>
      </w:r>
      <w:proofErr w:type="spellEnd"/>
      <w:r w:rsidR="009E6A3E" w:rsidRPr="009E6A3E">
        <w:rPr>
          <w:rFonts w:ascii="Times New Roman" w:hAnsi="Times New Roman" w:cs="Times New Roman"/>
        </w:rPr>
        <w:t xml:space="preserve"> et al., 2017). These wedges help scatter and transmit light effectively, reducing the risk of under-cured resin in proximal box areas.</w:t>
      </w:r>
    </w:p>
    <w:p w14:paraId="22B8872C" w14:textId="0A28F22B" w:rsidR="00850CB5" w:rsidRDefault="007E5403" w:rsidP="00850CB5">
      <w:pPr>
        <w:spacing w:line="360" w:lineRule="auto"/>
        <w:jc w:val="both"/>
        <w:rPr>
          <w:rFonts w:ascii="Times New Roman" w:hAnsi="Times New Roman" w:cs="Times New Roman"/>
        </w:rPr>
      </w:pPr>
      <w:r>
        <w:rPr>
          <w:noProof/>
        </w:rPr>
        <w:drawing>
          <wp:anchor distT="0" distB="0" distL="114300" distR="114300" simplePos="0" relativeHeight="251660288" behindDoc="1" locked="0" layoutInCell="1" allowOverlap="1" wp14:anchorId="7C7392D7" wp14:editId="5FDF0667">
            <wp:simplePos x="0" y="0"/>
            <wp:positionH relativeFrom="margin">
              <wp:align>center</wp:align>
            </wp:positionH>
            <wp:positionV relativeFrom="paragraph">
              <wp:posOffset>9729</wp:posOffset>
            </wp:positionV>
            <wp:extent cx="3181350" cy="1174750"/>
            <wp:effectExtent l="0" t="0" r="0" b="6350"/>
            <wp:wrapTight wrapText="bothSides">
              <wp:wrapPolygon edited="0">
                <wp:start x="0" y="0"/>
                <wp:lineTo x="0" y="21366"/>
                <wp:lineTo x="21471" y="21366"/>
                <wp:lineTo x="21471" y="0"/>
                <wp:lineTo x="0" y="0"/>
              </wp:wrapPolygon>
            </wp:wrapTight>
            <wp:docPr id="1272407730" name="Picture 2" descr="A close up of a too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407730" name="Picture 2" descr="A close up of a tooth&#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1350" cy="1174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9C00DF" w14:textId="2EF6D825" w:rsidR="00850CB5" w:rsidRDefault="00850CB5" w:rsidP="00850CB5">
      <w:pPr>
        <w:spacing w:line="360" w:lineRule="auto"/>
        <w:jc w:val="both"/>
        <w:rPr>
          <w:rFonts w:ascii="Times New Roman" w:hAnsi="Times New Roman" w:cs="Times New Roman"/>
        </w:rPr>
      </w:pPr>
    </w:p>
    <w:p w14:paraId="665D7841" w14:textId="659A6A0B" w:rsidR="00850CB5" w:rsidRPr="00850CB5" w:rsidRDefault="00850CB5" w:rsidP="00850CB5">
      <w:pPr>
        <w:spacing w:line="360" w:lineRule="auto"/>
        <w:jc w:val="both"/>
        <w:rPr>
          <w:rFonts w:ascii="Times New Roman" w:hAnsi="Times New Roman" w:cs="Times New Roman"/>
        </w:rPr>
      </w:pPr>
    </w:p>
    <w:p w14:paraId="60380C3A" w14:textId="77777777" w:rsidR="006309A5" w:rsidRDefault="006309A5" w:rsidP="00850CB5">
      <w:pPr>
        <w:spacing w:line="360" w:lineRule="auto"/>
        <w:ind w:left="720"/>
        <w:jc w:val="center"/>
        <w:rPr>
          <w:rFonts w:ascii="Times New Roman" w:hAnsi="Times New Roman" w:cs="Times New Roman"/>
        </w:rPr>
      </w:pPr>
    </w:p>
    <w:p w14:paraId="24602CC9" w14:textId="185717C8" w:rsidR="00850CB5" w:rsidRPr="00671F63" w:rsidRDefault="00850CB5" w:rsidP="00850CB5">
      <w:pPr>
        <w:spacing w:line="360" w:lineRule="auto"/>
        <w:ind w:left="720"/>
        <w:jc w:val="center"/>
        <w:rPr>
          <w:rFonts w:ascii="Times New Roman" w:hAnsi="Times New Roman" w:cs="Times New Roman"/>
        </w:rPr>
      </w:pPr>
      <w:r>
        <w:rPr>
          <w:rFonts w:ascii="Times New Roman" w:hAnsi="Times New Roman" w:cs="Times New Roman"/>
        </w:rPr>
        <w:t xml:space="preserve">Figure </w:t>
      </w:r>
      <w:r w:rsidR="00E22EB6">
        <w:rPr>
          <w:rFonts w:ascii="Times New Roman" w:hAnsi="Times New Roman" w:cs="Times New Roman"/>
        </w:rPr>
        <w:t>3</w:t>
      </w:r>
      <w:r>
        <w:rPr>
          <w:rFonts w:ascii="Times New Roman" w:hAnsi="Times New Roman" w:cs="Times New Roman"/>
        </w:rPr>
        <w:t xml:space="preserve">: </w:t>
      </w:r>
      <w:r w:rsidRPr="009E6A3E">
        <w:rPr>
          <w:rFonts w:ascii="Times New Roman" w:hAnsi="Times New Roman" w:cs="Times New Roman"/>
        </w:rPr>
        <w:t>light-guiding tip</w:t>
      </w:r>
      <w:r>
        <w:rPr>
          <w:rFonts w:ascii="Times New Roman" w:hAnsi="Times New Roman" w:cs="Times New Roman"/>
        </w:rPr>
        <w:t xml:space="preserve"> and </w:t>
      </w:r>
      <w:r w:rsidRPr="009E6A3E">
        <w:rPr>
          <w:rFonts w:ascii="Times New Roman" w:hAnsi="Times New Roman" w:cs="Times New Roman"/>
        </w:rPr>
        <w:t>light-transmitting wedge</w:t>
      </w:r>
    </w:p>
    <w:p w14:paraId="10205E70" w14:textId="2683BC36" w:rsidR="00850CB5" w:rsidRPr="00671F63" w:rsidRDefault="00850CB5" w:rsidP="00850CB5">
      <w:pPr>
        <w:spacing w:line="360" w:lineRule="auto"/>
        <w:ind w:left="720"/>
        <w:jc w:val="both"/>
        <w:rPr>
          <w:rFonts w:ascii="Times New Roman" w:hAnsi="Times New Roman" w:cs="Times New Roman"/>
        </w:rPr>
      </w:pPr>
    </w:p>
    <w:p w14:paraId="27596C76" w14:textId="2BD58F20" w:rsidR="00671F63" w:rsidRPr="00671F63" w:rsidRDefault="00671F63" w:rsidP="00906481">
      <w:pPr>
        <w:numPr>
          <w:ilvl w:val="0"/>
          <w:numId w:val="7"/>
        </w:numPr>
        <w:spacing w:line="360" w:lineRule="auto"/>
        <w:jc w:val="both"/>
        <w:rPr>
          <w:rFonts w:ascii="Times New Roman" w:hAnsi="Times New Roman" w:cs="Times New Roman"/>
        </w:rPr>
      </w:pPr>
      <w:r w:rsidRPr="00671F63">
        <w:rPr>
          <w:rFonts w:ascii="Times New Roman" w:hAnsi="Times New Roman" w:cs="Times New Roman"/>
          <w:b/>
          <w:bCs/>
        </w:rPr>
        <w:t>Type of Composite Material</w:t>
      </w:r>
      <w:r w:rsidRPr="00671F63">
        <w:rPr>
          <w:rFonts w:ascii="Times New Roman" w:hAnsi="Times New Roman" w:cs="Times New Roman"/>
        </w:rPr>
        <w:t xml:space="preserve">: </w:t>
      </w:r>
      <w:r w:rsidR="00FF4F13" w:rsidRPr="00FF4F13">
        <w:rPr>
          <w:rFonts w:ascii="Times New Roman" w:hAnsi="Times New Roman" w:cs="Times New Roman"/>
        </w:rPr>
        <w:t xml:space="preserve">Highly pigmented or densely filled composites require longer curing times due to their increased light absorption and scattering properties. These materials contain a higher concentration of fillers, which can obstruct light penetration and reduce polymerization efficiency. To compensate, clinicians must adjust exposure duration or use higher-intensity curing lights to ensure thorough polymerization. Additionally, certain composite shades, such as those with darker pigments, require extended curing times compared to lighter shades, as they absorb more light energy, reducing the depth of </w:t>
      </w:r>
      <w:r w:rsidR="00FF4F13" w:rsidRPr="00FF4F13">
        <w:rPr>
          <w:rFonts w:ascii="Times New Roman" w:hAnsi="Times New Roman" w:cs="Times New Roman"/>
        </w:rPr>
        <w:lastRenderedPageBreak/>
        <w:t>cure. Properly adjusting curing parameters based on composite composition helps prevent incomplete polymerization, ensuring optimal mechanical strength and longevity of the restoration</w:t>
      </w:r>
      <w:r w:rsidRPr="00671F63">
        <w:rPr>
          <w:rFonts w:ascii="Times New Roman" w:hAnsi="Times New Roman" w:cs="Times New Roman"/>
        </w:rPr>
        <w:t xml:space="preserve"> [1</w:t>
      </w:r>
      <w:r w:rsidR="00011C74">
        <w:rPr>
          <w:rFonts w:ascii="Times New Roman" w:hAnsi="Times New Roman" w:cs="Times New Roman"/>
        </w:rPr>
        <w:t>8</w:t>
      </w:r>
      <w:r w:rsidRPr="00671F63">
        <w:rPr>
          <w:rFonts w:ascii="Times New Roman" w:hAnsi="Times New Roman" w:cs="Times New Roman"/>
        </w:rPr>
        <w:t>].</w:t>
      </w:r>
    </w:p>
    <w:p w14:paraId="3CB8919F" w14:textId="77777777" w:rsidR="00CE4BCD" w:rsidRDefault="00671F63" w:rsidP="00906481">
      <w:pPr>
        <w:spacing w:line="360" w:lineRule="auto"/>
        <w:jc w:val="both"/>
        <w:rPr>
          <w:rFonts w:ascii="Times New Roman" w:hAnsi="Times New Roman" w:cs="Times New Roman"/>
        </w:rPr>
      </w:pPr>
      <w:r w:rsidRPr="00671F63">
        <w:rPr>
          <w:rFonts w:ascii="Times New Roman" w:hAnsi="Times New Roman" w:cs="Times New Roman"/>
          <w:b/>
          <w:bCs/>
        </w:rPr>
        <w:t>Problems with Budget Curing Lights</w:t>
      </w:r>
      <w:r w:rsidR="00695D5F">
        <w:rPr>
          <w:rFonts w:ascii="Times New Roman" w:hAnsi="Times New Roman" w:cs="Times New Roman"/>
          <w:b/>
          <w:bCs/>
        </w:rPr>
        <w:t>:</w:t>
      </w:r>
      <w:r w:rsidRPr="00671F63">
        <w:rPr>
          <w:rFonts w:ascii="Times New Roman" w:hAnsi="Times New Roman" w:cs="Times New Roman"/>
        </w:rPr>
        <w:t xml:space="preserve"> </w:t>
      </w:r>
    </w:p>
    <w:p w14:paraId="2CA2BA4B" w14:textId="71B4B60A" w:rsidR="00671F63" w:rsidRPr="00671F63" w:rsidRDefault="00671F63" w:rsidP="00906481">
      <w:pPr>
        <w:spacing w:line="360" w:lineRule="auto"/>
        <w:jc w:val="both"/>
        <w:rPr>
          <w:rFonts w:ascii="Times New Roman" w:hAnsi="Times New Roman" w:cs="Times New Roman"/>
        </w:rPr>
      </w:pPr>
      <w:r w:rsidRPr="00671F63">
        <w:rPr>
          <w:rFonts w:ascii="Times New Roman" w:hAnsi="Times New Roman" w:cs="Times New Roman"/>
        </w:rPr>
        <w:t>Budget curing lights often compromise beam profile uniformity, leading to inconsistent polymerization. Research has shown that some low-quality curing lights produce hot spots with excessive irradiance while other areas receive suboptimal energy levels, resulting in uneven polymerization [1</w:t>
      </w:r>
      <w:r w:rsidR="00011C74">
        <w:rPr>
          <w:rFonts w:ascii="Times New Roman" w:hAnsi="Times New Roman" w:cs="Times New Roman"/>
        </w:rPr>
        <w:t>9</w:t>
      </w:r>
      <w:r w:rsidRPr="00671F63">
        <w:rPr>
          <w:rFonts w:ascii="Times New Roman" w:hAnsi="Times New Roman" w:cs="Times New Roman"/>
        </w:rPr>
        <w:t>].</w:t>
      </w:r>
      <w:r w:rsidR="009E6A3E" w:rsidRPr="009E6A3E">
        <w:rPr>
          <w:rFonts w:ascii="Times New Roman" w:hAnsi="Times New Roman" w:cs="Times New Roman"/>
        </w:rPr>
        <w:t xml:space="preserve"> A high-quality curing light with a well-focused beam profile ensures consistent curing across the restoration surface, preventing premature failure.</w:t>
      </w:r>
    </w:p>
    <w:p w14:paraId="79D19766" w14:textId="4A01ECD6" w:rsidR="00671F63" w:rsidRPr="00671F63" w:rsidRDefault="00671F63" w:rsidP="00906481">
      <w:pPr>
        <w:spacing w:line="360" w:lineRule="auto"/>
        <w:jc w:val="both"/>
        <w:rPr>
          <w:rFonts w:ascii="Times New Roman" w:hAnsi="Times New Roman" w:cs="Times New Roman"/>
        </w:rPr>
      </w:pPr>
      <w:r w:rsidRPr="00671F63">
        <w:rPr>
          <w:rFonts w:ascii="Times New Roman" w:hAnsi="Times New Roman" w:cs="Times New Roman"/>
        </w:rPr>
        <w:t>Furthermore, budget curing lights frequently suffer from unstable battery output, leading to variations in power delivery. This inconsistency can result in insufficient curing or overheating, both of which negatively impact the restoration [</w:t>
      </w:r>
      <w:r w:rsidR="00011C74">
        <w:rPr>
          <w:rFonts w:ascii="Times New Roman" w:hAnsi="Times New Roman" w:cs="Times New Roman"/>
        </w:rPr>
        <w:t>20</w:t>
      </w:r>
      <w:r w:rsidRPr="00671F63">
        <w:rPr>
          <w:rFonts w:ascii="Times New Roman" w:hAnsi="Times New Roman" w:cs="Times New Roman"/>
        </w:rPr>
        <w:t>].</w:t>
      </w:r>
      <w:r w:rsidR="009E6A3E" w:rsidRPr="009E6A3E">
        <w:t xml:space="preserve"> </w:t>
      </w:r>
      <w:r w:rsidR="009E6A3E" w:rsidRPr="009E6A3E">
        <w:rPr>
          <w:rFonts w:ascii="Times New Roman" w:hAnsi="Times New Roman" w:cs="Times New Roman"/>
        </w:rPr>
        <w:t>Additionally, many low-cost curing lights lack adequate safety features, posing potential biohazards in clinical settings.</w:t>
      </w:r>
    </w:p>
    <w:p w14:paraId="5299CF5B" w14:textId="77777777" w:rsidR="00CE4BCD" w:rsidRDefault="00671F63" w:rsidP="00906481">
      <w:pPr>
        <w:spacing w:line="360" w:lineRule="auto"/>
        <w:jc w:val="both"/>
        <w:rPr>
          <w:rFonts w:ascii="Times New Roman" w:hAnsi="Times New Roman" w:cs="Times New Roman"/>
          <w:b/>
          <w:bCs/>
        </w:rPr>
      </w:pPr>
      <w:proofErr w:type="spellStart"/>
      <w:r w:rsidRPr="00671F63">
        <w:rPr>
          <w:rFonts w:ascii="Times New Roman" w:hAnsi="Times New Roman" w:cs="Times New Roman"/>
          <w:b/>
          <w:bCs/>
        </w:rPr>
        <w:t>Polywave</w:t>
      </w:r>
      <w:proofErr w:type="spellEnd"/>
      <w:r w:rsidRPr="00671F63">
        <w:rPr>
          <w:rFonts w:ascii="Times New Roman" w:hAnsi="Times New Roman" w:cs="Times New Roman"/>
          <w:b/>
          <w:bCs/>
        </w:rPr>
        <w:t xml:space="preserve"> Technology and Modern </w:t>
      </w:r>
      <w:proofErr w:type="spellStart"/>
      <w:r w:rsidRPr="00671F63">
        <w:rPr>
          <w:rFonts w:ascii="Times New Roman" w:hAnsi="Times New Roman" w:cs="Times New Roman"/>
          <w:b/>
          <w:bCs/>
        </w:rPr>
        <w:t>Photoinitiators</w:t>
      </w:r>
      <w:proofErr w:type="spellEnd"/>
      <w:r w:rsidR="00695D5F">
        <w:rPr>
          <w:rFonts w:ascii="Times New Roman" w:hAnsi="Times New Roman" w:cs="Times New Roman"/>
          <w:b/>
          <w:bCs/>
        </w:rPr>
        <w:t>:</w:t>
      </w:r>
    </w:p>
    <w:p w14:paraId="78AA212F" w14:textId="2B28ADA1" w:rsidR="00671F63" w:rsidRDefault="00671F63" w:rsidP="00906481">
      <w:pPr>
        <w:spacing w:line="360" w:lineRule="auto"/>
        <w:jc w:val="both"/>
        <w:rPr>
          <w:rFonts w:ascii="Times New Roman" w:hAnsi="Times New Roman" w:cs="Times New Roman"/>
        </w:rPr>
      </w:pPr>
      <w:r w:rsidRPr="00671F63">
        <w:rPr>
          <w:rFonts w:ascii="Times New Roman" w:hAnsi="Times New Roman" w:cs="Times New Roman"/>
        </w:rPr>
        <w:t xml:space="preserve"> </w:t>
      </w:r>
      <w:proofErr w:type="spellStart"/>
      <w:r w:rsidRPr="00671F63">
        <w:rPr>
          <w:rFonts w:ascii="Times New Roman" w:hAnsi="Times New Roman" w:cs="Times New Roman"/>
        </w:rPr>
        <w:t>Camphorquinone</w:t>
      </w:r>
      <w:proofErr w:type="spellEnd"/>
      <w:r w:rsidRPr="00671F63">
        <w:rPr>
          <w:rFonts w:ascii="Times New Roman" w:hAnsi="Times New Roman" w:cs="Times New Roman"/>
        </w:rPr>
        <w:t xml:space="preserve"> (CQ), </w:t>
      </w:r>
      <w:proofErr w:type="spellStart"/>
      <w:r w:rsidRPr="00671F63">
        <w:rPr>
          <w:rFonts w:ascii="Times New Roman" w:hAnsi="Times New Roman" w:cs="Times New Roman"/>
        </w:rPr>
        <w:t>Lucirin</w:t>
      </w:r>
      <w:proofErr w:type="spellEnd"/>
      <w:r w:rsidRPr="00671F63">
        <w:rPr>
          <w:rFonts w:ascii="Times New Roman" w:hAnsi="Times New Roman" w:cs="Times New Roman"/>
        </w:rPr>
        <w:t xml:space="preserve"> TPO, and </w:t>
      </w:r>
      <w:proofErr w:type="spellStart"/>
      <w:r w:rsidRPr="00671F63">
        <w:rPr>
          <w:rFonts w:ascii="Times New Roman" w:hAnsi="Times New Roman" w:cs="Times New Roman"/>
        </w:rPr>
        <w:t>Ivocerin</w:t>
      </w:r>
      <w:proofErr w:type="spellEnd"/>
      <w:r w:rsidRPr="00671F63">
        <w:rPr>
          <w:rFonts w:ascii="Times New Roman" w:hAnsi="Times New Roman" w:cs="Times New Roman"/>
        </w:rPr>
        <w:t xml:space="preserve"> are key </w:t>
      </w:r>
      <w:proofErr w:type="spellStart"/>
      <w:r w:rsidRPr="00671F63">
        <w:rPr>
          <w:rFonts w:ascii="Times New Roman" w:hAnsi="Times New Roman" w:cs="Times New Roman"/>
        </w:rPr>
        <w:t>photoinitiators</w:t>
      </w:r>
      <w:proofErr w:type="spellEnd"/>
      <w:r w:rsidRPr="00671F63">
        <w:rPr>
          <w:rFonts w:ascii="Times New Roman" w:hAnsi="Times New Roman" w:cs="Times New Roman"/>
        </w:rPr>
        <w:t xml:space="preserve"> used in light-curable dental composites, each with distinct activation wavelengths and polymerization properties [</w:t>
      </w:r>
      <w:r w:rsidR="00011C74">
        <w:rPr>
          <w:rFonts w:ascii="Times New Roman" w:hAnsi="Times New Roman" w:cs="Times New Roman"/>
        </w:rPr>
        <w:t>21</w:t>
      </w:r>
      <w:r w:rsidRPr="00671F63">
        <w:rPr>
          <w:rFonts w:ascii="Times New Roman" w:hAnsi="Times New Roman" w:cs="Times New Roman"/>
        </w:rPr>
        <w:t>].</w:t>
      </w:r>
    </w:p>
    <w:p w14:paraId="3EC2E019" w14:textId="77777777" w:rsidR="009E6A3E" w:rsidRPr="002C4B50" w:rsidRDefault="009E6A3E" w:rsidP="002C4B50">
      <w:pPr>
        <w:pStyle w:val="ListParagraph"/>
        <w:numPr>
          <w:ilvl w:val="1"/>
          <w:numId w:val="13"/>
        </w:numPr>
        <w:spacing w:line="360" w:lineRule="auto"/>
        <w:jc w:val="both"/>
        <w:rPr>
          <w:rFonts w:ascii="Times New Roman" w:hAnsi="Times New Roman" w:cs="Times New Roman"/>
        </w:rPr>
      </w:pPr>
      <w:proofErr w:type="spellStart"/>
      <w:r w:rsidRPr="002C4B50">
        <w:rPr>
          <w:rFonts w:ascii="Times New Roman" w:hAnsi="Times New Roman" w:cs="Times New Roman"/>
          <w:b/>
          <w:bCs/>
        </w:rPr>
        <w:t>Camphorquinone</w:t>
      </w:r>
      <w:proofErr w:type="spellEnd"/>
      <w:r w:rsidRPr="002C4B50">
        <w:rPr>
          <w:rFonts w:ascii="Times New Roman" w:hAnsi="Times New Roman" w:cs="Times New Roman"/>
          <w:b/>
          <w:bCs/>
        </w:rPr>
        <w:t xml:space="preserve"> (CQ):</w:t>
      </w:r>
      <w:r w:rsidRPr="002C4B50">
        <w:rPr>
          <w:rFonts w:ascii="Times New Roman" w:hAnsi="Times New Roman" w:cs="Times New Roman"/>
        </w:rPr>
        <w:t xml:space="preserve"> It is the most commonly used </w:t>
      </w:r>
      <w:proofErr w:type="spellStart"/>
      <w:r w:rsidRPr="002C4B50">
        <w:rPr>
          <w:rFonts w:ascii="Times New Roman" w:hAnsi="Times New Roman" w:cs="Times New Roman"/>
        </w:rPr>
        <w:t>photoinitiator</w:t>
      </w:r>
      <w:proofErr w:type="spellEnd"/>
      <w:r w:rsidRPr="002C4B50">
        <w:rPr>
          <w:rFonts w:ascii="Times New Roman" w:hAnsi="Times New Roman" w:cs="Times New Roman"/>
        </w:rPr>
        <w:t xml:space="preserve"> in dental composites with Activation Wavelength of 400–500 nm (Peak ~468 nm) due to its high efficiency and compatibility with LED curing lights. However, it has a yellowish color, which can affect the final shade of esthetic restorations. CQ requires a co-initiator, such as an amine, to enhance polymerization efficiency.</w:t>
      </w:r>
    </w:p>
    <w:p w14:paraId="551BF22D" w14:textId="77777777" w:rsidR="009E6A3E" w:rsidRPr="002C4B50" w:rsidRDefault="009E6A3E" w:rsidP="002C4B50">
      <w:pPr>
        <w:pStyle w:val="ListParagraph"/>
        <w:numPr>
          <w:ilvl w:val="1"/>
          <w:numId w:val="13"/>
        </w:numPr>
        <w:spacing w:line="360" w:lineRule="auto"/>
        <w:jc w:val="both"/>
        <w:rPr>
          <w:rFonts w:ascii="Times New Roman" w:hAnsi="Times New Roman" w:cs="Times New Roman"/>
        </w:rPr>
      </w:pPr>
      <w:proofErr w:type="spellStart"/>
      <w:r w:rsidRPr="002C4B50">
        <w:rPr>
          <w:rFonts w:ascii="Times New Roman" w:hAnsi="Times New Roman" w:cs="Times New Roman"/>
          <w:b/>
          <w:bCs/>
        </w:rPr>
        <w:t>Lucirin</w:t>
      </w:r>
      <w:proofErr w:type="spellEnd"/>
      <w:r w:rsidRPr="002C4B50">
        <w:rPr>
          <w:rFonts w:ascii="Times New Roman" w:hAnsi="Times New Roman" w:cs="Times New Roman"/>
          <w:b/>
          <w:bCs/>
        </w:rPr>
        <w:t xml:space="preserve"> TPO</w:t>
      </w:r>
      <w:r w:rsidRPr="002C4B50">
        <w:rPr>
          <w:rFonts w:ascii="Times New Roman" w:hAnsi="Times New Roman" w:cs="Times New Roman"/>
        </w:rPr>
        <w:t xml:space="preserve">: It is a high-efficiency </w:t>
      </w:r>
      <w:proofErr w:type="spellStart"/>
      <w:r w:rsidRPr="002C4B50">
        <w:rPr>
          <w:rFonts w:ascii="Times New Roman" w:hAnsi="Times New Roman" w:cs="Times New Roman"/>
        </w:rPr>
        <w:t>photoinitiator</w:t>
      </w:r>
      <w:proofErr w:type="spellEnd"/>
      <w:r w:rsidRPr="002C4B50">
        <w:rPr>
          <w:rFonts w:ascii="Times New Roman" w:hAnsi="Times New Roman" w:cs="Times New Roman"/>
        </w:rPr>
        <w:t xml:space="preserve"> with activation Wavelength: 350–410 nm (Peak ~380 nm) that allows for improved depth of cure in light-colored and translucent composites. Unlike CQ, it does not require a co-initiator, and its colorless nature makes it ideal for esthetic restorations. However, it requires a curing light that emits near-UV wavelengths for activation.</w:t>
      </w:r>
    </w:p>
    <w:p w14:paraId="2C26930C" w14:textId="77777777" w:rsidR="009E6A3E" w:rsidRDefault="009E6A3E" w:rsidP="002C4B50">
      <w:pPr>
        <w:pStyle w:val="ListParagraph"/>
        <w:numPr>
          <w:ilvl w:val="1"/>
          <w:numId w:val="13"/>
        </w:numPr>
        <w:spacing w:line="360" w:lineRule="auto"/>
        <w:jc w:val="both"/>
        <w:rPr>
          <w:rFonts w:ascii="Times New Roman" w:hAnsi="Times New Roman" w:cs="Times New Roman"/>
        </w:rPr>
      </w:pPr>
      <w:proofErr w:type="spellStart"/>
      <w:r w:rsidRPr="002C4B50">
        <w:rPr>
          <w:rFonts w:ascii="Times New Roman" w:hAnsi="Times New Roman" w:cs="Times New Roman"/>
          <w:b/>
          <w:bCs/>
        </w:rPr>
        <w:t>Ivocerin</w:t>
      </w:r>
      <w:proofErr w:type="spellEnd"/>
      <w:r w:rsidRPr="002C4B50">
        <w:rPr>
          <w:rFonts w:ascii="Times New Roman" w:hAnsi="Times New Roman" w:cs="Times New Roman"/>
          <w:b/>
          <w:bCs/>
        </w:rPr>
        <w:t>:</w:t>
      </w:r>
      <w:r w:rsidRPr="002C4B50">
        <w:rPr>
          <w:rFonts w:ascii="Times New Roman" w:hAnsi="Times New Roman" w:cs="Times New Roman"/>
        </w:rPr>
        <w:t xml:space="preserve"> It is a novel </w:t>
      </w:r>
      <w:proofErr w:type="spellStart"/>
      <w:r w:rsidRPr="002C4B50">
        <w:rPr>
          <w:rFonts w:ascii="Times New Roman" w:hAnsi="Times New Roman" w:cs="Times New Roman"/>
        </w:rPr>
        <w:t>photoinitiator</w:t>
      </w:r>
      <w:proofErr w:type="spellEnd"/>
      <w:r w:rsidRPr="002C4B50">
        <w:rPr>
          <w:rFonts w:ascii="Times New Roman" w:hAnsi="Times New Roman" w:cs="Times New Roman"/>
        </w:rPr>
        <w:t xml:space="preserve"> with activation Wavelength: 390–445 nm (Peak ~415 nm) with high quantum efficiency, meaning it can initiate polymerization more effectively than CQ and TPO. It provides deeper curing and enhanced mechanical properties in bulk-</w:t>
      </w:r>
      <w:r w:rsidRPr="002C4B50">
        <w:rPr>
          <w:rFonts w:ascii="Times New Roman" w:hAnsi="Times New Roman" w:cs="Times New Roman"/>
        </w:rPr>
        <w:lastRenderedPageBreak/>
        <w:t xml:space="preserve">fill composites. </w:t>
      </w:r>
      <w:proofErr w:type="spellStart"/>
      <w:r w:rsidRPr="002C4B50">
        <w:rPr>
          <w:rFonts w:ascii="Times New Roman" w:hAnsi="Times New Roman" w:cs="Times New Roman"/>
        </w:rPr>
        <w:t>Ivocerin</w:t>
      </w:r>
      <w:proofErr w:type="spellEnd"/>
      <w:r w:rsidRPr="002C4B50">
        <w:rPr>
          <w:rFonts w:ascii="Times New Roman" w:hAnsi="Times New Roman" w:cs="Times New Roman"/>
        </w:rPr>
        <w:t xml:space="preserve"> is highly reactive and does not rely on co-initiators, reducing potential discoloration over time.</w:t>
      </w:r>
    </w:p>
    <w:p w14:paraId="0E562B27" w14:textId="03F04D10" w:rsidR="00E22EB6" w:rsidRDefault="00E22EB6" w:rsidP="00E22EB6">
      <w:pPr>
        <w:spacing w:line="360" w:lineRule="auto"/>
        <w:jc w:val="both"/>
        <w:rPr>
          <w:rFonts w:ascii="Times New Roman" w:hAnsi="Times New Roman" w:cs="Times New Roman"/>
        </w:rPr>
      </w:pPr>
      <w:r w:rsidRPr="00E22EB6">
        <w:rPr>
          <w:rFonts w:ascii="Times New Roman" w:hAnsi="Times New Roman" w:cs="Times New Roman"/>
          <w:noProof/>
        </w:rPr>
        <w:drawing>
          <wp:anchor distT="0" distB="0" distL="114300" distR="114300" simplePos="0" relativeHeight="251661312" behindDoc="1" locked="0" layoutInCell="1" allowOverlap="1" wp14:anchorId="5583B16C" wp14:editId="57C6B286">
            <wp:simplePos x="0" y="0"/>
            <wp:positionH relativeFrom="column">
              <wp:posOffset>1838325</wp:posOffset>
            </wp:positionH>
            <wp:positionV relativeFrom="paragraph">
              <wp:posOffset>12065</wp:posOffset>
            </wp:positionV>
            <wp:extent cx="2457450" cy="1563370"/>
            <wp:effectExtent l="0" t="0" r="0" b="0"/>
            <wp:wrapTight wrapText="bothSides">
              <wp:wrapPolygon edited="0">
                <wp:start x="0" y="0"/>
                <wp:lineTo x="0" y="21319"/>
                <wp:lineTo x="21433" y="21319"/>
                <wp:lineTo x="21433" y="0"/>
                <wp:lineTo x="0" y="0"/>
              </wp:wrapPolygon>
            </wp:wrapTight>
            <wp:docPr id="18" name="Picture 17">
              <a:extLst xmlns:a="http://schemas.openxmlformats.org/drawingml/2006/main">
                <a:ext uri="{FF2B5EF4-FFF2-40B4-BE49-F238E27FC236}">
                  <a16:creationId xmlns:a16="http://schemas.microsoft.com/office/drawing/2014/main" id="{8D23F6CC-378C-541A-0DE9-B4489912DD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8D23F6CC-378C-541A-0DE9-B4489912DD72}"/>
                        </a:ext>
                      </a:extLst>
                    </pic:cNvPr>
                    <pic:cNvPicPr>
                      <a:picLocks noChangeAspect="1"/>
                    </pic:cNvPicPr>
                  </pic:nvPicPr>
                  <pic:blipFill rotWithShape="1">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r="3728"/>
                    <a:stretch/>
                  </pic:blipFill>
                  <pic:spPr>
                    <a:xfrm>
                      <a:off x="0" y="0"/>
                      <a:ext cx="2457450" cy="1563370"/>
                    </a:xfrm>
                    <a:prstGeom prst="rect">
                      <a:avLst/>
                    </a:prstGeom>
                  </pic:spPr>
                </pic:pic>
              </a:graphicData>
            </a:graphic>
            <wp14:sizeRelH relativeFrom="margin">
              <wp14:pctWidth>0</wp14:pctWidth>
            </wp14:sizeRelH>
            <wp14:sizeRelV relativeFrom="margin">
              <wp14:pctHeight>0</wp14:pctHeight>
            </wp14:sizeRelV>
          </wp:anchor>
        </w:drawing>
      </w:r>
    </w:p>
    <w:p w14:paraId="6C9DE227" w14:textId="414652F9" w:rsidR="00E22EB6" w:rsidRDefault="00E22EB6" w:rsidP="00E22EB6">
      <w:pPr>
        <w:spacing w:line="360" w:lineRule="auto"/>
        <w:jc w:val="both"/>
        <w:rPr>
          <w:rFonts w:ascii="Times New Roman" w:hAnsi="Times New Roman" w:cs="Times New Roman"/>
        </w:rPr>
      </w:pPr>
    </w:p>
    <w:p w14:paraId="31A06606" w14:textId="15A88A5E" w:rsidR="00E22EB6" w:rsidRPr="00E22EB6" w:rsidRDefault="00E22EB6" w:rsidP="00E22EB6">
      <w:pPr>
        <w:spacing w:line="360" w:lineRule="auto"/>
        <w:jc w:val="both"/>
        <w:rPr>
          <w:rFonts w:ascii="Times New Roman" w:hAnsi="Times New Roman" w:cs="Times New Roman"/>
        </w:rPr>
      </w:pPr>
    </w:p>
    <w:p w14:paraId="3DEC80B9" w14:textId="61F15FAD" w:rsidR="00E22EB6" w:rsidRDefault="00E22EB6" w:rsidP="00E22EB6">
      <w:pPr>
        <w:pStyle w:val="ListParagraph"/>
        <w:spacing w:line="360" w:lineRule="auto"/>
        <w:jc w:val="both"/>
        <w:rPr>
          <w:rFonts w:ascii="Times New Roman" w:hAnsi="Times New Roman" w:cs="Times New Roman"/>
        </w:rPr>
      </w:pPr>
    </w:p>
    <w:p w14:paraId="6F4EC9A1" w14:textId="77777777" w:rsidR="00E22EB6" w:rsidRDefault="00E22EB6" w:rsidP="00E22EB6">
      <w:pPr>
        <w:pStyle w:val="ListParagraph"/>
        <w:spacing w:line="360" w:lineRule="auto"/>
        <w:jc w:val="both"/>
        <w:rPr>
          <w:rFonts w:ascii="Times New Roman" w:hAnsi="Times New Roman" w:cs="Times New Roman"/>
        </w:rPr>
      </w:pPr>
    </w:p>
    <w:p w14:paraId="4631CC86" w14:textId="4C24AAFB" w:rsidR="00E22EB6" w:rsidRPr="00E22EB6" w:rsidRDefault="00E22EB6" w:rsidP="00E22EB6">
      <w:pPr>
        <w:spacing w:line="360" w:lineRule="auto"/>
        <w:ind w:left="720"/>
        <w:jc w:val="center"/>
        <w:rPr>
          <w:rFonts w:ascii="Times New Roman" w:hAnsi="Times New Roman" w:cs="Times New Roman"/>
        </w:rPr>
      </w:pPr>
      <w:r>
        <w:rPr>
          <w:rFonts w:ascii="Times New Roman" w:hAnsi="Times New Roman" w:cs="Times New Roman"/>
        </w:rPr>
        <w:t xml:space="preserve">Figure 4: </w:t>
      </w:r>
      <w:proofErr w:type="spellStart"/>
      <w:r w:rsidRPr="00E22EB6">
        <w:rPr>
          <w:rFonts w:ascii="Times New Roman" w:hAnsi="Times New Roman" w:cs="Times New Roman"/>
        </w:rPr>
        <w:t>Photoinitiators</w:t>
      </w:r>
      <w:proofErr w:type="spellEnd"/>
    </w:p>
    <w:p w14:paraId="26540600" w14:textId="698E72AD" w:rsidR="009E6A3E" w:rsidRDefault="009E6A3E" w:rsidP="00906481">
      <w:pPr>
        <w:spacing w:line="360" w:lineRule="auto"/>
        <w:jc w:val="both"/>
        <w:rPr>
          <w:rFonts w:ascii="Times New Roman" w:hAnsi="Times New Roman" w:cs="Times New Roman"/>
        </w:rPr>
      </w:pPr>
      <w:r w:rsidRPr="009E6A3E">
        <w:rPr>
          <w:rFonts w:ascii="Times New Roman" w:hAnsi="Times New Roman" w:cs="Times New Roman"/>
        </w:rPr>
        <w:t>When using a single-peak (</w:t>
      </w:r>
      <w:proofErr w:type="spellStart"/>
      <w:r w:rsidRPr="009E6A3E">
        <w:rPr>
          <w:rFonts w:ascii="Times New Roman" w:hAnsi="Times New Roman" w:cs="Times New Roman"/>
        </w:rPr>
        <w:t>monowave</w:t>
      </w:r>
      <w:proofErr w:type="spellEnd"/>
      <w:r w:rsidRPr="009E6A3E">
        <w:rPr>
          <w:rFonts w:ascii="Times New Roman" w:hAnsi="Times New Roman" w:cs="Times New Roman"/>
        </w:rPr>
        <w:t>) LED, any initiators which need wavelengths below 420 nm are not activated. Multi-peak (</w:t>
      </w:r>
      <w:proofErr w:type="spellStart"/>
      <w:r w:rsidRPr="009E6A3E">
        <w:rPr>
          <w:rFonts w:ascii="Times New Roman" w:hAnsi="Times New Roman" w:cs="Times New Roman"/>
        </w:rPr>
        <w:t>polywave</w:t>
      </w:r>
      <w:proofErr w:type="spellEnd"/>
      <w:r w:rsidRPr="009E6A3E">
        <w:rPr>
          <w:rFonts w:ascii="Times New Roman" w:hAnsi="Times New Roman" w:cs="Times New Roman"/>
        </w:rPr>
        <w:t>) LEDs do deliver light below 420 nm, which should effectively activate all other commonly used photo-initiators, ensuring thorough polymerization and optimal restoration longevity</w:t>
      </w:r>
      <w:r w:rsidR="002055F9">
        <w:rPr>
          <w:rFonts w:ascii="Times New Roman" w:hAnsi="Times New Roman" w:cs="Times New Roman"/>
        </w:rPr>
        <w:t xml:space="preserve"> [22]</w:t>
      </w:r>
      <w:r w:rsidRPr="009E6A3E">
        <w:rPr>
          <w:rFonts w:ascii="Times New Roman" w:hAnsi="Times New Roman" w:cs="Times New Roman"/>
        </w:rPr>
        <w:t>.</w:t>
      </w:r>
    </w:p>
    <w:p w14:paraId="5AC232C6" w14:textId="732673F1" w:rsidR="00E22EB6" w:rsidRDefault="00E22EB6" w:rsidP="00906481">
      <w:pPr>
        <w:spacing w:line="360" w:lineRule="auto"/>
        <w:jc w:val="both"/>
        <w:rPr>
          <w:rFonts w:ascii="Times New Roman" w:hAnsi="Times New Roman" w:cs="Times New Roman"/>
        </w:rPr>
      </w:pPr>
      <w:r w:rsidRPr="00E22EB6">
        <w:rPr>
          <w:rFonts w:ascii="Times New Roman" w:hAnsi="Times New Roman" w:cs="Times New Roman"/>
          <w:noProof/>
        </w:rPr>
        <w:drawing>
          <wp:anchor distT="0" distB="0" distL="114300" distR="114300" simplePos="0" relativeHeight="251662336" behindDoc="1" locked="0" layoutInCell="1" allowOverlap="1" wp14:anchorId="54719F23" wp14:editId="5F583294">
            <wp:simplePos x="0" y="0"/>
            <wp:positionH relativeFrom="column">
              <wp:posOffset>2314575</wp:posOffset>
            </wp:positionH>
            <wp:positionV relativeFrom="paragraph">
              <wp:posOffset>5080</wp:posOffset>
            </wp:positionV>
            <wp:extent cx="1920238" cy="1799640"/>
            <wp:effectExtent l="0" t="0" r="4445" b="0"/>
            <wp:wrapTight wrapText="bothSides">
              <wp:wrapPolygon edited="0">
                <wp:start x="0" y="0"/>
                <wp:lineTo x="0" y="21265"/>
                <wp:lineTo x="21436" y="21265"/>
                <wp:lineTo x="21436" y="0"/>
                <wp:lineTo x="0" y="0"/>
              </wp:wrapPolygon>
            </wp:wrapTight>
            <wp:docPr id="20" name="Picture 19">
              <a:extLst xmlns:a="http://schemas.openxmlformats.org/drawingml/2006/main">
                <a:ext uri="{FF2B5EF4-FFF2-40B4-BE49-F238E27FC236}">
                  <a16:creationId xmlns:a16="http://schemas.microsoft.com/office/drawing/2014/main" id="{3FB791BE-240B-3327-9A2A-249A7184A2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3FB791BE-240B-3327-9A2A-249A7184A206}"/>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20238" cy="1799640"/>
                    </a:xfrm>
                    <a:prstGeom prst="rect">
                      <a:avLst/>
                    </a:prstGeom>
                  </pic:spPr>
                </pic:pic>
              </a:graphicData>
            </a:graphic>
          </wp:anchor>
        </w:drawing>
      </w:r>
    </w:p>
    <w:p w14:paraId="48C1E6E5" w14:textId="35CC8338" w:rsidR="00E22EB6" w:rsidRDefault="00E22EB6" w:rsidP="00906481">
      <w:pPr>
        <w:spacing w:line="360" w:lineRule="auto"/>
        <w:jc w:val="both"/>
        <w:rPr>
          <w:rFonts w:ascii="Times New Roman" w:hAnsi="Times New Roman" w:cs="Times New Roman"/>
        </w:rPr>
      </w:pPr>
    </w:p>
    <w:p w14:paraId="7A9B260B" w14:textId="7789657A" w:rsidR="00E22EB6" w:rsidRDefault="00E22EB6" w:rsidP="00906481">
      <w:pPr>
        <w:spacing w:line="360" w:lineRule="auto"/>
        <w:jc w:val="both"/>
        <w:rPr>
          <w:rFonts w:ascii="Times New Roman" w:hAnsi="Times New Roman" w:cs="Times New Roman"/>
        </w:rPr>
      </w:pPr>
    </w:p>
    <w:p w14:paraId="27316D01" w14:textId="19DFF3B4" w:rsidR="00E22EB6" w:rsidRDefault="00E22EB6" w:rsidP="00906481">
      <w:pPr>
        <w:spacing w:line="360" w:lineRule="auto"/>
        <w:jc w:val="both"/>
        <w:rPr>
          <w:rFonts w:ascii="Times New Roman" w:hAnsi="Times New Roman" w:cs="Times New Roman"/>
        </w:rPr>
      </w:pPr>
    </w:p>
    <w:p w14:paraId="728857E6" w14:textId="4E894ACF" w:rsidR="00E22EB6" w:rsidRPr="00671F63" w:rsidRDefault="00E22EB6" w:rsidP="00906481">
      <w:pPr>
        <w:spacing w:line="360" w:lineRule="auto"/>
        <w:jc w:val="both"/>
        <w:rPr>
          <w:rFonts w:ascii="Times New Roman" w:hAnsi="Times New Roman" w:cs="Times New Roman"/>
        </w:rPr>
      </w:pPr>
    </w:p>
    <w:p w14:paraId="2B7D9FA9" w14:textId="6437C6AE" w:rsidR="00E22EB6" w:rsidRDefault="00E22EB6" w:rsidP="00E22EB6">
      <w:pPr>
        <w:spacing w:line="360" w:lineRule="auto"/>
        <w:ind w:left="720"/>
        <w:jc w:val="center"/>
        <w:rPr>
          <w:rFonts w:ascii="Times New Roman" w:hAnsi="Times New Roman" w:cs="Times New Roman"/>
        </w:rPr>
      </w:pPr>
      <w:bookmarkStart w:id="0" w:name="_Hlk191069251"/>
      <w:r>
        <w:rPr>
          <w:rFonts w:ascii="Times New Roman" w:hAnsi="Times New Roman" w:cs="Times New Roman"/>
        </w:rPr>
        <w:t xml:space="preserve">Figure 5: </w:t>
      </w:r>
      <w:proofErr w:type="spellStart"/>
      <w:r>
        <w:rPr>
          <w:rFonts w:ascii="Times New Roman" w:hAnsi="Times New Roman" w:cs="Times New Roman"/>
        </w:rPr>
        <w:t>polywave</w:t>
      </w:r>
      <w:proofErr w:type="spellEnd"/>
      <w:r>
        <w:rPr>
          <w:rFonts w:ascii="Times New Roman" w:hAnsi="Times New Roman" w:cs="Times New Roman"/>
        </w:rPr>
        <w:t xml:space="preserve"> LED curing light</w:t>
      </w:r>
    </w:p>
    <w:bookmarkEnd w:id="0"/>
    <w:p w14:paraId="31C7EF1A" w14:textId="354C077A" w:rsidR="00671F63" w:rsidRPr="00671F63" w:rsidRDefault="00643D8F" w:rsidP="00906481">
      <w:pPr>
        <w:spacing w:line="360" w:lineRule="auto"/>
        <w:jc w:val="both"/>
        <w:rPr>
          <w:rFonts w:ascii="Times New Roman" w:hAnsi="Times New Roman" w:cs="Times New Roman"/>
        </w:rPr>
      </w:pPr>
      <w:r w:rsidRPr="00643D8F">
        <w:rPr>
          <w:rFonts w:ascii="Times New Roman" w:hAnsi="Times New Roman" w:cs="Times New Roman"/>
        </w:rPr>
        <w:t xml:space="preserve">Varshney et al. (2022) examined the impact of </w:t>
      </w:r>
      <w:proofErr w:type="spellStart"/>
      <w:r w:rsidRPr="00643D8F">
        <w:rPr>
          <w:rFonts w:ascii="Times New Roman" w:hAnsi="Times New Roman" w:cs="Times New Roman"/>
        </w:rPr>
        <w:t>monowave</w:t>
      </w:r>
      <w:proofErr w:type="spellEnd"/>
      <w:r w:rsidRPr="00643D8F">
        <w:rPr>
          <w:rFonts w:ascii="Times New Roman" w:hAnsi="Times New Roman" w:cs="Times New Roman"/>
        </w:rPr>
        <w:t xml:space="preserve"> and </w:t>
      </w:r>
      <w:proofErr w:type="spellStart"/>
      <w:r w:rsidRPr="00643D8F">
        <w:rPr>
          <w:rFonts w:ascii="Times New Roman" w:hAnsi="Times New Roman" w:cs="Times New Roman"/>
        </w:rPr>
        <w:t>polywave</w:t>
      </w:r>
      <w:proofErr w:type="spellEnd"/>
      <w:r w:rsidRPr="00643D8F">
        <w:rPr>
          <w:rFonts w:ascii="Times New Roman" w:hAnsi="Times New Roman" w:cs="Times New Roman"/>
        </w:rPr>
        <w:t xml:space="preserve"> LED light-curing units on the degree of conversion and microhardness of dental composites with different </w:t>
      </w:r>
      <w:proofErr w:type="spellStart"/>
      <w:r w:rsidRPr="00643D8F">
        <w:rPr>
          <w:rFonts w:ascii="Times New Roman" w:hAnsi="Times New Roman" w:cs="Times New Roman"/>
        </w:rPr>
        <w:t>photoinitiators</w:t>
      </w:r>
      <w:proofErr w:type="spellEnd"/>
      <w:r w:rsidRPr="00643D8F">
        <w:rPr>
          <w:rFonts w:ascii="Times New Roman" w:hAnsi="Times New Roman" w:cs="Times New Roman"/>
        </w:rPr>
        <w:t xml:space="preserve">. </w:t>
      </w:r>
      <w:proofErr w:type="spellStart"/>
      <w:r w:rsidRPr="00643D8F">
        <w:rPr>
          <w:rFonts w:ascii="Times New Roman" w:hAnsi="Times New Roman" w:cs="Times New Roman"/>
        </w:rPr>
        <w:t>Their</w:t>
      </w:r>
      <w:proofErr w:type="spellEnd"/>
      <w:r w:rsidRPr="00643D8F">
        <w:rPr>
          <w:rFonts w:ascii="Times New Roman" w:hAnsi="Times New Roman" w:cs="Times New Roman"/>
        </w:rPr>
        <w:t xml:space="preserve"> in vitro study found that </w:t>
      </w:r>
      <w:proofErr w:type="spellStart"/>
      <w:r w:rsidRPr="00643D8F">
        <w:rPr>
          <w:rFonts w:ascii="Times New Roman" w:hAnsi="Times New Roman" w:cs="Times New Roman"/>
        </w:rPr>
        <w:t>polywave</w:t>
      </w:r>
      <w:proofErr w:type="spellEnd"/>
      <w:r w:rsidRPr="00643D8F">
        <w:rPr>
          <w:rFonts w:ascii="Times New Roman" w:hAnsi="Times New Roman" w:cs="Times New Roman"/>
        </w:rPr>
        <w:t xml:space="preserve"> curing units provided better polymerization and hardness, especially for composites containing alternative </w:t>
      </w:r>
      <w:proofErr w:type="spellStart"/>
      <w:r w:rsidRPr="00643D8F">
        <w:rPr>
          <w:rFonts w:ascii="Times New Roman" w:hAnsi="Times New Roman" w:cs="Times New Roman"/>
        </w:rPr>
        <w:t>photoinitiators</w:t>
      </w:r>
      <w:proofErr w:type="spellEnd"/>
      <w:r w:rsidRPr="00643D8F">
        <w:rPr>
          <w:rFonts w:ascii="Times New Roman" w:hAnsi="Times New Roman" w:cs="Times New Roman"/>
        </w:rPr>
        <w:t xml:space="preserve"> beyond </w:t>
      </w:r>
      <w:proofErr w:type="spellStart"/>
      <w:r w:rsidRPr="00643D8F">
        <w:rPr>
          <w:rFonts w:ascii="Times New Roman" w:hAnsi="Times New Roman" w:cs="Times New Roman"/>
        </w:rPr>
        <w:t>camphorquinone</w:t>
      </w:r>
      <w:proofErr w:type="spellEnd"/>
      <w:r w:rsidRPr="00643D8F">
        <w:rPr>
          <w:rFonts w:ascii="Times New Roman" w:hAnsi="Times New Roman" w:cs="Times New Roman"/>
        </w:rPr>
        <w:t xml:space="preserve">. The findings highlight the importance of using </w:t>
      </w:r>
      <w:proofErr w:type="spellStart"/>
      <w:r w:rsidRPr="00643D8F">
        <w:rPr>
          <w:rFonts w:ascii="Times New Roman" w:hAnsi="Times New Roman" w:cs="Times New Roman"/>
        </w:rPr>
        <w:t>polywave</w:t>
      </w:r>
      <w:proofErr w:type="spellEnd"/>
      <w:r w:rsidRPr="00643D8F">
        <w:rPr>
          <w:rFonts w:ascii="Times New Roman" w:hAnsi="Times New Roman" w:cs="Times New Roman"/>
        </w:rPr>
        <w:t xml:space="preserve"> LEDs to enhance the performance of modern composite resins in restorative dentistry</w:t>
      </w:r>
      <w:r>
        <w:rPr>
          <w:rFonts w:ascii="Times New Roman" w:hAnsi="Times New Roman" w:cs="Times New Roman"/>
        </w:rPr>
        <w:t xml:space="preserve"> </w:t>
      </w:r>
      <w:r w:rsidR="00671F63" w:rsidRPr="00671F63">
        <w:rPr>
          <w:rFonts w:ascii="Times New Roman" w:hAnsi="Times New Roman" w:cs="Times New Roman"/>
        </w:rPr>
        <w:t>[</w:t>
      </w:r>
      <w:r w:rsidR="00011C74">
        <w:rPr>
          <w:rFonts w:ascii="Times New Roman" w:hAnsi="Times New Roman" w:cs="Times New Roman"/>
        </w:rPr>
        <w:t>23</w:t>
      </w:r>
      <w:r w:rsidR="00671F63" w:rsidRPr="00671F63">
        <w:rPr>
          <w:rFonts w:ascii="Times New Roman" w:hAnsi="Times New Roman" w:cs="Times New Roman"/>
        </w:rPr>
        <w:t>].</w:t>
      </w:r>
    </w:p>
    <w:p w14:paraId="442DC699" w14:textId="2B8D904E" w:rsidR="00CE4BCD" w:rsidRDefault="00671F63" w:rsidP="00906481">
      <w:pPr>
        <w:spacing w:line="360" w:lineRule="auto"/>
        <w:jc w:val="both"/>
        <w:rPr>
          <w:rFonts w:ascii="Times New Roman" w:hAnsi="Times New Roman" w:cs="Times New Roman"/>
        </w:rPr>
      </w:pPr>
      <w:r w:rsidRPr="00671F63">
        <w:rPr>
          <w:rFonts w:ascii="Times New Roman" w:hAnsi="Times New Roman" w:cs="Times New Roman"/>
          <w:b/>
          <w:bCs/>
        </w:rPr>
        <w:t>Soft-Start and Pulse-Delay Curing Modes</w:t>
      </w:r>
      <w:r w:rsidR="00695D5F">
        <w:rPr>
          <w:rFonts w:ascii="Times New Roman" w:hAnsi="Times New Roman" w:cs="Times New Roman"/>
          <w:b/>
          <w:bCs/>
        </w:rPr>
        <w:t>:</w:t>
      </w:r>
      <w:r w:rsidRPr="00671F63">
        <w:rPr>
          <w:rFonts w:ascii="Times New Roman" w:hAnsi="Times New Roman" w:cs="Times New Roman"/>
        </w:rPr>
        <w:t xml:space="preserve"> </w:t>
      </w:r>
    </w:p>
    <w:p w14:paraId="5E2C88FE" w14:textId="3AAEBE4D" w:rsidR="00671F63" w:rsidRDefault="00695D5F" w:rsidP="00906481">
      <w:pPr>
        <w:spacing w:line="360" w:lineRule="auto"/>
        <w:jc w:val="both"/>
        <w:rPr>
          <w:rFonts w:ascii="Times New Roman" w:hAnsi="Times New Roman" w:cs="Times New Roman"/>
        </w:rPr>
      </w:pPr>
      <w:r>
        <w:rPr>
          <w:rFonts w:ascii="Times New Roman" w:hAnsi="Times New Roman" w:cs="Times New Roman"/>
        </w:rPr>
        <w:lastRenderedPageBreak/>
        <w:t>These</w:t>
      </w:r>
      <w:r w:rsidR="00671F63" w:rsidRPr="00671F63">
        <w:rPr>
          <w:rFonts w:ascii="Times New Roman" w:hAnsi="Times New Roman" w:cs="Times New Roman"/>
        </w:rPr>
        <w:t xml:space="preserve"> modes are advanced polymerization strategies designed to reduce polymerization stress, thereby minimizing shrinkage and improving restoration longevity [</w:t>
      </w:r>
      <w:r w:rsidR="00011C74">
        <w:rPr>
          <w:rFonts w:ascii="Times New Roman" w:hAnsi="Times New Roman" w:cs="Times New Roman"/>
        </w:rPr>
        <w:t>24</w:t>
      </w:r>
      <w:r w:rsidR="00671F63" w:rsidRPr="00671F63">
        <w:rPr>
          <w:rFonts w:ascii="Times New Roman" w:hAnsi="Times New Roman" w:cs="Times New Roman"/>
        </w:rPr>
        <w:t>].</w:t>
      </w:r>
    </w:p>
    <w:p w14:paraId="055710CB" w14:textId="2665337C" w:rsidR="00671F63" w:rsidRPr="002C4B50" w:rsidRDefault="00671F63" w:rsidP="002C4B50">
      <w:pPr>
        <w:pStyle w:val="ListParagraph"/>
        <w:numPr>
          <w:ilvl w:val="1"/>
          <w:numId w:val="16"/>
        </w:numPr>
        <w:spacing w:line="360" w:lineRule="auto"/>
        <w:jc w:val="both"/>
        <w:rPr>
          <w:rFonts w:ascii="Times New Roman" w:hAnsi="Times New Roman" w:cs="Times New Roman"/>
        </w:rPr>
      </w:pPr>
      <w:r w:rsidRPr="002C4B50">
        <w:rPr>
          <w:rFonts w:ascii="Times New Roman" w:hAnsi="Times New Roman" w:cs="Times New Roman"/>
          <w:b/>
          <w:bCs/>
        </w:rPr>
        <w:t>Soft-Start Mode</w:t>
      </w:r>
      <w:r w:rsidRPr="002C4B50">
        <w:rPr>
          <w:rFonts w:ascii="Times New Roman" w:hAnsi="Times New Roman" w:cs="Times New Roman"/>
        </w:rPr>
        <w:t>: This technique gradually increases the intensity of light over time, reducing polymerization shrinkage stress. The gradual ramp-up allows the composite to flow and adapt better to cavity walls before reaching full polymerization.</w:t>
      </w:r>
    </w:p>
    <w:p w14:paraId="33432EEC" w14:textId="5745C528" w:rsidR="00671F63" w:rsidRDefault="00671F63" w:rsidP="002C4B50">
      <w:pPr>
        <w:pStyle w:val="ListParagraph"/>
        <w:numPr>
          <w:ilvl w:val="1"/>
          <w:numId w:val="16"/>
        </w:numPr>
        <w:spacing w:line="360" w:lineRule="auto"/>
        <w:jc w:val="both"/>
        <w:rPr>
          <w:rFonts w:ascii="Times New Roman" w:hAnsi="Times New Roman" w:cs="Times New Roman"/>
        </w:rPr>
      </w:pPr>
      <w:r w:rsidRPr="002C4B50">
        <w:rPr>
          <w:rFonts w:ascii="Times New Roman" w:hAnsi="Times New Roman" w:cs="Times New Roman"/>
          <w:b/>
          <w:bCs/>
        </w:rPr>
        <w:t>Pulse-Delay Mode</w:t>
      </w:r>
      <w:r w:rsidRPr="002C4B50">
        <w:rPr>
          <w:rFonts w:ascii="Times New Roman" w:hAnsi="Times New Roman" w:cs="Times New Roman"/>
        </w:rPr>
        <w:t>: In this mode, the curing light is applied in short pulses with intermittent pauses. This technique helps relieve polymerization shrinkage stress, promoting better marginal adaptation and reducing post-operative sensitivity.</w:t>
      </w:r>
    </w:p>
    <w:p w14:paraId="2EC8F0AA" w14:textId="2AA97DFA" w:rsidR="00E22EB6" w:rsidRDefault="00E22EB6" w:rsidP="00E22EB6">
      <w:pPr>
        <w:pStyle w:val="ListParagraph"/>
        <w:spacing w:line="360" w:lineRule="auto"/>
        <w:jc w:val="both"/>
        <w:rPr>
          <w:rFonts w:ascii="Times New Roman" w:hAnsi="Times New Roman" w:cs="Times New Roman"/>
        </w:rPr>
      </w:pPr>
      <w:r>
        <w:rPr>
          <w:noProof/>
        </w:rPr>
        <w:drawing>
          <wp:anchor distT="0" distB="0" distL="114300" distR="114300" simplePos="0" relativeHeight="251663360" behindDoc="1" locked="0" layoutInCell="1" allowOverlap="1" wp14:anchorId="65A55110" wp14:editId="500C5ECD">
            <wp:simplePos x="0" y="0"/>
            <wp:positionH relativeFrom="margin">
              <wp:align>center</wp:align>
            </wp:positionH>
            <wp:positionV relativeFrom="paragraph">
              <wp:posOffset>23495</wp:posOffset>
            </wp:positionV>
            <wp:extent cx="2924175" cy="1022350"/>
            <wp:effectExtent l="0" t="0" r="9525" b="6350"/>
            <wp:wrapTight wrapText="bothSides">
              <wp:wrapPolygon edited="0">
                <wp:start x="0" y="0"/>
                <wp:lineTo x="0" y="21332"/>
                <wp:lineTo x="21530" y="21332"/>
                <wp:lineTo x="21530" y="0"/>
                <wp:lineTo x="0" y="0"/>
              </wp:wrapPolygon>
            </wp:wrapTight>
            <wp:docPr id="364890203" name="Picture 3" descr="A diagram of light and energ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90203" name="Picture 3" descr="A diagram of light and energ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175"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A0F589" w14:textId="3B2F4412" w:rsidR="00E22EB6" w:rsidRPr="00E22EB6" w:rsidRDefault="00E22EB6" w:rsidP="00E22EB6">
      <w:pPr>
        <w:spacing w:line="360" w:lineRule="auto"/>
        <w:jc w:val="both"/>
        <w:rPr>
          <w:rFonts w:ascii="Times New Roman" w:hAnsi="Times New Roman" w:cs="Times New Roman"/>
        </w:rPr>
      </w:pPr>
    </w:p>
    <w:p w14:paraId="5A75640F" w14:textId="706A4EF5" w:rsidR="00E22EB6" w:rsidRDefault="00E22EB6" w:rsidP="00E22EB6">
      <w:pPr>
        <w:spacing w:line="360" w:lineRule="auto"/>
        <w:jc w:val="both"/>
        <w:rPr>
          <w:rFonts w:ascii="Times New Roman" w:hAnsi="Times New Roman" w:cs="Times New Roman"/>
        </w:rPr>
      </w:pPr>
    </w:p>
    <w:p w14:paraId="36EEAC0F" w14:textId="70195EB8" w:rsidR="00E22EB6" w:rsidRPr="00E22EB6" w:rsidRDefault="00E22EB6" w:rsidP="00E22EB6">
      <w:pPr>
        <w:spacing w:line="360" w:lineRule="auto"/>
        <w:jc w:val="center"/>
        <w:rPr>
          <w:rFonts w:ascii="Times New Roman" w:hAnsi="Times New Roman" w:cs="Times New Roman"/>
        </w:rPr>
      </w:pPr>
      <w:r w:rsidRPr="00E22EB6">
        <w:rPr>
          <w:rFonts w:ascii="Times New Roman" w:hAnsi="Times New Roman" w:cs="Times New Roman"/>
        </w:rPr>
        <w:t xml:space="preserve">Figure </w:t>
      </w:r>
      <w:r>
        <w:rPr>
          <w:rFonts w:ascii="Times New Roman" w:hAnsi="Times New Roman" w:cs="Times New Roman"/>
        </w:rPr>
        <w:t>6</w:t>
      </w:r>
      <w:r w:rsidRPr="00E22EB6">
        <w:rPr>
          <w:rFonts w:ascii="Times New Roman" w:hAnsi="Times New Roman" w:cs="Times New Roman"/>
        </w:rPr>
        <w:t>: Soft-Start and Pulse-Delay Curing Modes</w:t>
      </w:r>
    </w:p>
    <w:p w14:paraId="6D905C3A" w14:textId="3C192CC3" w:rsidR="00671F63" w:rsidRPr="00671F63" w:rsidRDefault="00643D8F" w:rsidP="00906481">
      <w:pPr>
        <w:spacing w:line="360" w:lineRule="auto"/>
        <w:jc w:val="both"/>
        <w:rPr>
          <w:rFonts w:ascii="Times New Roman" w:hAnsi="Times New Roman" w:cs="Times New Roman"/>
        </w:rPr>
      </w:pPr>
      <w:r>
        <w:rPr>
          <w:rFonts w:ascii="Times New Roman" w:hAnsi="Times New Roman" w:cs="Times New Roman"/>
        </w:rPr>
        <w:t>A</w:t>
      </w:r>
      <w:r w:rsidRPr="00643D8F">
        <w:rPr>
          <w:rFonts w:ascii="Times New Roman" w:hAnsi="Times New Roman" w:cs="Times New Roman"/>
        </w:rPr>
        <w:t xml:space="preserve"> study by Ernst et al. (2003) evaluated the influence of a soft-start light-curing exposure on polymerization shrinkage stress and marginal integrity of adhesive restorations. The study found that the soft-start polymerization technique could reduce polymerization shrinkage stress and improve marginal integrity </w:t>
      </w:r>
      <w:r w:rsidR="00671F63" w:rsidRPr="00671F63">
        <w:rPr>
          <w:rFonts w:ascii="Times New Roman" w:hAnsi="Times New Roman" w:cs="Times New Roman"/>
        </w:rPr>
        <w:t>[</w:t>
      </w:r>
      <w:r w:rsidR="00D57BA9">
        <w:rPr>
          <w:rFonts w:ascii="Times New Roman" w:hAnsi="Times New Roman" w:cs="Times New Roman"/>
        </w:rPr>
        <w:t>25</w:t>
      </w:r>
      <w:r w:rsidR="00671F63" w:rsidRPr="00671F63">
        <w:rPr>
          <w:rFonts w:ascii="Times New Roman" w:hAnsi="Times New Roman" w:cs="Times New Roman"/>
        </w:rPr>
        <w:t>].</w:t>
      </w:r>
      <w:r w:rsidR="009E6A3E" w:rsidRPr="009E6A3E">
        <w:t xml:space="preserve"> </w:t>
      </w:r>
      <w:r w:rsidR="009E6A3E" w:rsidRPr="009E6A3E">
        <w:rPr>
          <w:rFonts w:ascii="Times New Roman" w:hAnsi="Times New Roman" w:cs="Times New Roman"/>
        </w:rPr>
        <w:t>Similarly, pulse-delay curing has been demonstrated to mitigate polymerization contraction by allowing incremental stress relief between pulses, which is particularly beneficial in deep cavities. These techniques contribute to better mechanical properties and increased durability of composite restorations, making them valuable additions to clinical practice.</w:t>
      </w:r>
    </w:p>
    <w:p w14:paraId="45B61468" w14:textId="77777777" w:rsidR="00CE4BCD" w:rsidRDefault="00671F63" w:rsidP="00906481">
      <w:pPr>
        <w:spacing w:line="360" w:lineRule="auto"/>
        <w:jc w:val="both"/>
        <w:rPr>
          <w:rFonts w:ascii="Times New Roman" w:hAnsi="Times New Roman" w:cs="Times New Roman"/>
          <w:b/>
          <w:bCs/>
        </w:rPr>
      </w:pPr>
      <w:r w:rsidRPr="00671F63">
        <w:rPr>
          <w:rFonts w:ascii="Times New Roman" w:hAnsi="Times New Roman" w:cs="Times New Roman"/>
          <w:b/>
          <w:bCs/>
        </w:rPr>
        <w:t>Importance of Using a Good Radiometer</w:t>
      </w:r>
      <w:r w:rsidR="00695D5F">
        <w:rPr>
          <w:rFonts w:ascii="Times New Roman" w:hAnsi="Times New Roman" w:cs="Times New Roman"/>
          <w:b/>
          <w:bCs/>
        </w:rPr>
        <w:t>:</w:t>
      </w:r>
    </w:p>
    <w:p w14:paraId="7D8C56B4" w14:textId="5C9F581C" w:rsidR="00695D5F" w:rsidRDefault="00671F63" w:rsidP="00906481">
      <w:pPr>
        <w:spacing w:line="360" w:lineRule="auto"/>
        <w:jc w:val="both"/>
        <w:rPr>
          <w:rFonts w:ascii="Times New Roman" w:hAnsi="Times New Roman" w:cs="Times New Roman"/>
        </w:rPr>
      </w:pPr>
      <w:r w:rsidRPr="00671F63">
        <w:rPr>
          <w:rFonts w:ascii="Times New Roman" w:hAnsi="Times New Roman" w:cs="Times New Roman"/>
        </w:rPr>
        <w:t xml:space="preserve"> A reliable radiometer is essential for ensuring curing light performance. Over time, curing lights can degrade, reducing their output and affecting composite polymerization [</w:t>
      </w:r>
      <w:r w:rsidR="00D57BA9">
        <w:rPr>
          <w:rFonts w:ascii="Times New Roman" w:hAnsi="Times New Roman" w:cs="Times New Roman"/>
        </w:rPr>
        <w:t>26</w:t>
      </w:r>
      <w:r w:rsidRPr="00671F63">
        <w:rPr>
          <w:rFonts w:ascii="Times New Roman" w:hAnsi="Times New Roman" w:cs="Times New Roman"/>
        </w:rPr>
        <w:t>].</w:t>
      </w:r>
      <w:r w:rsidRPr="00671F63">
        <w:t xml:space="preserve"> </w:t>
      </w:r>
      <w:r w:rsidRPr="00671F63">
        <w:rPr>
          <w:rFonts w:ascii="Times New Roman" w:hAnsi="Times New Roman" w:cs="Times New Roman"/>
        </w:rPr>
        <w:t xml:space="preserve">A good radiometer helps clinicians regularly check their curing lights' output, ensuring consistent performance and preventing under-curing or excessive heat generation. Without proper monitoring, a weakened </w:t>
      </w:r>
      <w:r w:rsidRPr="00671F63">
        <w:rPr>
          <w:rFonts w:ascii="Times New Roman" w:hAnsi="Times New Roman" w:cs="Times New Roman"/>
        </w:rPr>
        <w:lastRenderedPageBreak/>
        <w:t xml:space="preserve">curing light may fail to deliver adequate energy, resulting in compromised restorations that are </w:t>
      </w:r>
      <w:r w:rsidR="007E5403" w:rsidRPr="00E22EB6">
        <w:rPr>
          <w:rFonts w:ascii="Times New Roman" w:hAnsi="Times New Roman" w:cs="Times New Roman"/>
          <w:noProof/>
        </w:rPr>
        <w:drawing>
          <wp:anchor distT="0" distB="0" distL="114300" distR="114300" simplePos="0" relativeHeight="251664384" behindDoc="1" locked="0" layoutInCell="1" allowOverlap="1" wp14:anchorId="5F393B55" wp14:editId="59E74787">
            <wp:simplePos x="0" y="0"/>
            <wp:positionH relativeFrom="margin">
              <wp:posOffset>1874772</wp:posOffset>
            </wp:positionH>
            <wp:positionV relativeFrom="paragraph">
              <wp:posOffset>611457</wp:posOffset>
            </wp:positionV>
            <wp:extent cx="1969770" cy="1257300"/>
            <wp:effectExtent l="0" t="0" r="0" b="0"/>
            <wp:wrapTight wrapText="bothSides">
              <wp:wrapPolygon edited="0">
                <wp:start x="0" y="0"/>
                <wp:lineTo x="0" y="21273"/>
                <wp:lineTo x="21308" y="21273"/>
                <wp:lineTo x="21308" y="0"/>
                <wp:lineTo x="0" y="0"/>
              </wp:wrapPolygon>
            </wp:wrapTight>
            <wp:docPr id="22" name="Picture 21">
              <a:extLst xmlns:a="http://schemas.openxmlformats.org/drawingml/2006/main">
                <a:ext uri="{FF2B5EF4-FFF2-40B4-BE49-F238E27FC236}">
                  <a16:creationId xmlns:a16="http://schemas.microsoft.com/office/drawing/2014/main" id="{638D4FCE-BDC8-ECF5-6776-747B3CDA03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638D4FCE-BDC8-ECF5-6776-747B3CDA03B8}"/>
                        </a:ext>
                      </a:extLst>
                    </pic:cNvPr>
                    <pic:cNvPicPr>
                      <a:picLocks noChangeAspect="1"/>
                    </pic:cNvPicPr>
                  </pic:nvPicPr>
                  <pic:blipFill rotWithShape="1">
                    <a:blip r:embed="rId14">
                      <a:extLst>
                        <a:ext uri="{28A0092B-C50C-407E-A947-70E740481C1C}">
                          <a14:useLocalDpi xmlns:a14="http://schemas.microsoft.com/office/drawing/2010/main" val="0"/>
                        </a:ext>
                      </a:extLst>
                    </a:blip>
                    <a:srcRect l="24452"/>
                    <a:stretch/>
                  </pic:blipFill>
                  <pic:spPr>
                    <a:xfrm>
                      <a:off x="0" y="0"/>
                      <a:ext cx="1969770" cy="1257300"/>
                    </a:xfrm>
                    <a:prstGeom prst="rect">
                      <a:avLst/>
                    </a:prstGeom>
                  </pic:spPr>
                </pic:pic>
              </a:graphicData>
            </a:graphic>
            <wp14:sizeRelH relativeFrom="margin">
              <wp14:pctWidth>0</wp14:pctWidth>
            </wp14:sizeRelH>
            <wp14:sizeRelV relativeFrom="margin">
              <wp14:pctHeight>0</wp14:pctHeight>
            </wp14:sizeRelV>
          </wp:anchor>
        </w:drawing>
      </w:r>
      <w:r w:rsidRPr="00671F63">
        <w:rPr>
          <w:rFonts w:ascii="Times New Roman" w:hAnsi="Times New Roman" w:cs="Times New Roman"/>
        </w:rPr>
        <w:t>prone to premature failure and secondary caries.</w:t>
      </w:r>
    </w:p>
    <w:p w14:paraId="7050995A" w14:textId="32A7B913" w:rsidR="00E22EB6" w:rsidRDefault="00E22EB6" w:rsidP="00906481">
      <w:pPr>
        <w:spacing w:line="360" w:lineRule="auto"/>
        <w:jc w:val="both"/>
        <w:rPr>
          <w:rFonts w:ascii="Times New Roman" w:hAnsi="Times New Roman" w:cs="Times New Roman"/>
        </w:rPr>
      </w:pPr>
    </w:p>
    <w:p w14:paraId="5B4B7D02" w14:textId="59F80D43" w:rsidR="00E22EB6" w:rsidRDefault="00E22EB6" w:rsidP="00906481">
      <w:pPr>
        <w:spacing w:line="360" w:lineRule="auto"/>
        <w:jc w:val="both"/>
        <w:rPr>
          <w:rFonts w:ascii="Times New Roman" w:hAnsi="Times New Roman" w:cs="Times New Roman"/>
        </w:rPr>
      </w:pPr>
    </w:p>
    <w:p w14:paraId="0EF62108" w14:textId="77777777" w:rsidR="00E22EB6" w:rsidRDefault="00E22EB6" w:rsidP="00906481">
      <w:pPr>
        <w:spacing w:line="360" w:lineRule="auto"/>
        <w:jc w:val="both"/>
        <w:rPr>
          <w:rFonts w:ascii="Times New Roman" w:hAnsi="Times New Roman" w:cs="Times New Roman"/>
        </w:rPr>
      </w:pPr>
    </w:p>
    <w:p w14:paraId="16221EAB" w14:textId="77777777" w:rsidR="00E22EB6" w:rsidRDefault="00E22EB6" w:rsidP="00906481">
      <w:pPr>
        <w:spacing w:line="360" w:lineRule="auto"/>
        <w:jc w:val="both"/>
        <w:rPr>
          <w:rFonts w:ascii="Times New Roman" w:hAnsi="Times New Roman" w:cs="Times New Roman"/>
        </w:rPr>
      </w:pPr>
    </w:p>
    <w:p w14:paraId="1F7344AA" w14:textId="151E8CCD" w:rsidR="00E22EB6" w:rsidRPr="00671F63" w:rsidRDefault="00E22EB6" w:rsidP="00E22EB6">
      <w:pPr>
        <w:spacing w:line="360" w:lineRule="auto"/>
        <w:jc w:val="center"/>
        <w:rPr>
          <w:rFonts w:ascii="Times New Roman" w:hAnsi="Times New Roman" w:cs="Times New Roman"/>
        </w:rPr>
      </w:pPr>
      <w:r w:rsidRPr="00E22EB6">
        <w:rPr>
          <w:rFonts w:ascii="Times New Roman" w:hAnsi="Times New Roman" w:cs="Times New Roman"/>
        </w:rPr>
        <w:t xml:space="preserve">Figure </w:t>
      </w:r>
      <w:r>
        <w:rPr>
          <w:rFonts w:ascii="Times New Roman" w:hAnsi="Times New Roman" w:cs="Times New Roman"/>
        </w:rPr>
        <w:t>7</w:t>
      </w:r>
      <w:r w:rsidRPr="00E22EB6">
        <w:rPr>
          <w:rFonts w:ascii="Times New Roman" w:hAnsi="Times New Roman" w:cs="Times New Roman"/>
        </w:rPr>
        <w:t xml:space="preserve">: </w:t>
      </w:r>
      <w:r>
        <w:rPr>
          <w:rFonts w:ascii="Times New Roman" w:hAnsi="Times New Roman" w:cs="Times New Roman"/>
        </w:rPr>
        <w:t>Radiometer</w:t>
      </w:r>
    </w:p>
    <w:p w14:paraId="49594FDD" w14:textId="77777777" w:rsidR="00CE4BCD" w:rsidRDefault="00671F63" w:rsidP="00906481">
      <w:pPr>
        <w:spacing w:line="360" w:lineRule="auto"/>
        <w:jc w:val="both"/>
        <w:rPr>
          <w:rFonts w:ascii="Times New Roman" w:hAnsi="Times New Roman" w:cs="Times New Roman"/>
          <w:b/>
          <w:bCs/>
        </w:rPr>
      </w:pPr>
      <w:r w:rsidRPr="00671F63">
        <w:rPr>
          <w:rFonts w:ascii="Times New Roman" w:hAnsi="Times New Roman" w:cs="Times New Roman"/>
          <w:b/>
          <w:bCs/>
        </w:rPr>
        <w:t>Sequelae of Under</w:t>
      </w:r>
      <w:r w:rsidR="002C4B50">
        <w:rPr>
          <w:rFonts w:ascii="Times New Roman" w:hAnsi="Times New Roman" w:cs="Times New Roman"/>
          <w:b/>
          <w:bCs/>
        </w:rPr>
        <w:t xml:space="preserve"> </w:t>
      </w:r>
      <w:r w:rsidRPr="00671F63">
        <w:rPr>
          <w:rFonts w:ascii="Times New Roman" w:hAnsi="Times New Roman" w:cs="Times New Roman"/>
          <w:b/>
          <w:bCs/>
        </w:rPr>
        <w:t>and Over-Curing of Resin Composites</w:t>
      </w:r>
      <w:r w:rsidR="00695D5F">
        <w:rPr>
          <w:rFonts w:ascii="Times New Roman" w:hAnsi="Times New Roman" w:cs="Times New Roman"/>
          <w:b/>
          <w:bCs/>
        </w:rPr>
        <w:t xml:space="preserve">: </w:t>
      </w:r>
    </w:p>
    <w:p w14:paraId="4723A3C6" w14:textId="58302070" w:rsidR="00671F63" w:rsidRPr="00671F63" w:rsidRDefault="00671F63" w:rsidP="00906481">
      <w:pPr>
        <w:spacing w:line="360" w:lineRule="auto"/>
        <w:jc w:val="both"/>
        <w:rPr>
          <w:rFonts w:ascii="Times New Roman" w:hAnsi="Times New Roman" w:cs="Times New Roman"/>
          <w:b/>
          <w:bCs/>
        </w:rPr>
      </w:pPr>
      <w:r w:rsidRPr="00671F63">
        <w:rPr>
          <w:rFonts w:ascii="Times New Roman" w:hAnsi="Times New Roman" w:cs="Times New Roman"/>
        </w:rPr>
        <w:t>Improper light curing, whether under-curing or over-curing, can have significant clinical consequences that compromise the longevity and performance of resin composite restorations</w:t>
      </w:r>
      <w:r w:rsidR="00D57BA9">
        <w:rPr>
          <w:rFonts w:ascii="Times New Roman" w:hAnsi="Times New Roman" w:cs="Times New Roman"/>
        </w:rPr>
        <w:t xml:space="preserve"> [27]</w:t>
      </w:r>
      <w:r w:rsidRPr="00671F63">
        <w:rPr>
          <w:rFonts w:ascii="Times New Roman" w:hAnsi="Times New Roman" w:cs="Times New Roman"/>
        </w:rPr>
        <w:t>.</w:t>
      </w:r>
    </w:p>
    <w:p w14:paraId="014DA96A" w14:textId="77777777" w:rsidR="00671F63" w:rsidRPr="00671F63" w:rsidRDefault="00671F63" w:rsidP="00906481">
      <w:pPr>
        <w:numPr>
          <w:ilvl w:val="0"/>
          <w:numId w:val="8"/>
        </w:numPr>
        <w:spacing w:line="360" w:lineRule="auto"/>
        <w:jc w:val="both"/>
        <w:rPr>
          <w:rFonts w:ascii="Times New Roman" w:hAnsi="Times New Roman" w:cs="Times New Roman"/>
        </w:rPr>
      </w:pPr>
      <w:r w:rsidRPr="00671F63">
        <w:rPr>
          <w:rFonts w:ascii="Times New Roman" w:hAnsi="Times New Roman" w:cs="Times New Roman"/>
          <w:b/>
          <w:bCs/>
        </w:rPr>
        <w:t>Sequelae of Under-Curing</w:t>
      </w:r>
      <w:r w:rsidRPr="00671F63">
        <w:rPr>
          <w:rFonts w:ascii="Times New Roman" w:hAnsi="Times New Roman" w:cs="Times New Roman"/>
        </w:rPr>
        <w:t>:</w:t>
      </w:r>
    </w:p>
    <w:p w14:paraId="1B690015" w14:textId="5726DD4C" w:rsidR="00671F63" w:rsidRPr="00671F63" w:rsidRDefault="00671F63" w:rsidP="002C4B50">
      <w:pPr>
        <w:numPr>
          <w:ilvl w:val="1"/>
          <w:numId w:val="17"/>
        </w:numPr>
        <w:spacing w:line="360" w:lineRule="auto"/>
        <w:jc w:val="both"/>
        <w:rPr>
          <w:rFonts w:ascii="Times New Roman" w:hAnsi="Times New Roman" w:cs="Times New Roman"/>
        </w:rPr>
      </w:pPr>
      <w:r w:rsidRPr="00671F63">
        <w:rPr>
          <w:rFonts w:ascii="Times New Roman" w:hAnsi="Times New Roman" w:cs="Times New Roman"/>
          <w:b/>
          <w:bCs/>
        </w:rPr>
        <w:t>Incomplete Polymerization</w:t>
      </w:r>
      <w:r w:rsidRPr="00671F63">
        <w:rPr>
          <w:rFonts w:ascii="Times New Roman" w:hAnsi="Times New Roman" w:cs="Times New Roman"/>
        </w:rPr>
        <w:t>: Under-curing results in insufficient conversion of monomers into polymers, leading to a weaker composite structure [</w:t>
      </w:r>
      <w:r w:rsidR="00D57BA9">
        <w:rPr>
          <w:rFonts w:ascii="Times New Roman" w:hAnsi="Times New Roman" w:cs="Times New Roman"/>
        </w:rPr>
        <w:t>2</w:t>
      </w:r>
      <w:r w:rsidRPr="00671F63">
        <w:rPr>
          <w:rFonts w:ascii="Times New Roman" w:hAnsi="Times New Roman" w:cs="Times New Roman"/>
        </w:rPr>
        <w:t>8].</w:t>
      </w:r>
    </w:p>
    <w:p w14:paraId="2634DE6D" w14:textId="0EBAAF0A" w:rsidR="00671F63" w:rsidRDefault="00671F63" w:rsidP="002C4B50">
      <w:pPr>
        <w:numPr>
          <w:ilvl w:val="1"/>
          <w:numId w:val="17"/>
        </w:numPr>
        <w:spacing w:line="360" w:lineRule="auto"/>
        <w:jc w:val="both"/>
        <w:rPr>
          <w:rFonts w:ascii="Times New Roman" w:hAnsi="Times New Roman" w:cs="Times New Roman"/>
        </w:rPr>
      </w:pPr>
      <w:r w:rsidRPr="00671F63">
        <w:rPr>
          <w:rFonts w:ascii="Times New Roman" w:hAnsi="Times New Roman" w:cs="Times New Roman"/>
          <w:b/>
          <w:bCs/>
        </w:rPr>
        <w:t>Increased Marginal Leakage</w:t>
      </w:r>
      <w:r w:rsidRPr="00671F63">
        <w:rPr>
          <w:rFonts w:ascii="Times New Roman" w:hAnsi="Times New Roman" w:cs="Times New Roman"/>
        </w:rPr>
        <w:t>: Inadequate polymerization weakens the bond between the composite and tooth structure, increasing the risk of secondary caries and post-operative sensitivity [</w:t>
      </w:r>
      <w:r w:rsidR="00D57BA9">
        <w:rPr>
          <w:rFonts w:ascii="Times New Roman" w:hAnsi="Times New Roman" w:cs="Times New Roman"/>
        </w:rPr>
        <w:t>2</w:t>
      </w:r>
      <w:r w:rsidRPr="00671F63">
        <w:rPr>
          <w:rFonts w:ascii="Times New Roman" w:hAnsi="Times New Roman" w:cs="Times New Roman"/>
        </w:rPr>
        <w:t>9].</w:t>
      </w:r>
    </w:p>
    <w:p w14:paraId="40E28160" w14:textId="20981EA6" w:rsidR="00671F63" w:rsidRPr="00671F63" w:rsidRDefault="00671F63" w:rsidP="002C4B50">
      <w:pPr>
        <w:numPr>
          <w:ilvl w:val="1"/>
          <w:numId w:val="17"/>
        </w:numPr>
        <w:spacing w:line="360" w:lineRule="auto"/>
        <w:jc w:val="both"/>
        <w:rPr>
          <w:rFonts w:ascii="Times New Roman" w:hAnsi="Times New Roman" w:cs="Times New Roman"/>
        </w:rPr>
      </w:pPr>
      <w:r w:rsidRPr="00671F63">
        <w:rPr>
          <w:rFonts w:ascii="Times New Roman" w:hAnsi="Times New Roman" w:cs="Times New Roman"/>
          <w:b/>
          <w:bCs/>
        </w:rPr>
        <w:t>Reduced Mechanical Properties</w:t>
      </w:r>
      <w:r w:rsidRPr="00671F63">
        <w:rPr>
          <w:rFonts w:ascii="Times New Roman" w:hAnsi="Times New Roman" w:cs="Times New Roman"/>
        </w:rPr>
        <w:t>: Under-cured composites exhibit lower hardness and wear resistance, making them prone to fracture under masticatory forces</w:t>
      </w:r>
      <w:r w:rsidR="00C657FA">
        <w:rPr>
          <w:rFonts w:ascii="Times New Roman" w:hAnsi="Times New Roman" w:cs="Times New Roman"/>
        </w:rPr>
        <w:t xml:space="preserve"> </w:t>
      </w:r>
      <w:r w:rsidR="00C657FA" w:rsidRPr="00671F63">
        <w:rPr>
          <w:rFonts w:ascii="Times New Roman" w:hAnsi="Times New Roman" w:cs="Times New Roman"/>
        </w:rPr>
        <w:t>[</w:t>
      </w:r>
      <w:r w:rsidR="00C657FA">
        <w:rPr>
          <w:rFonts w:ascii="Times New Roman" w:hAnsi="Times New Roman" w:cs="Times New Roman"/>
        </w:rPr>
        <w:t>2</w:t>
      </w:r>
      <w:r w:rsidR="00C657FA" w:rsidRPr="00671F63">
        <w:rPr>
          <w:rFonts w:ascii="Times New Roman" w:hAnsi="Times New Roman" w:cs="Times New Roman"/>
        </w:rPr>
        <w:t>8].</w:t>
      </w:r>
    </w:p>
    <w:p w14:paraId="266F2753" w14:textId="506A057B" w:rsidR="00671F63" w:rsidRPr="00671F63" w:rsidRDefault="00671F63" w:rsidP="002C4B50">
      <w:pPr>
        <w:numPr>
          <w:ilvl w:val="1"/>
          <w:numId w:val="17"/>
        </w:numPr>
        <w:spacing w:line="360" w:lineRule="auto"/>
        <w:jc w:val="both"/>
        <w:rPr>
          <w:rFonts w:ascii="Times New Roman" w:hAnsi="Times New Roman" w:cs="Times New Roman"/>
        </w:rPr>
      </w:pPr>
      <w:r w:rsidRPr="00671F63">
        <w:rPr>
          <w:rFonts w:ascii="Times New Roman" w:hAnsi="Times New Roman" w:cs="Times New Roman"/>
          <w:b/>
          <w:bCs/>
        </w:rPr>
        <w:t>Biocompatibility Concerns</w:t>
      </w:r>
      <w:r w:rsidRPr="00671F63">
        <w:rPr>
          <w:rFonts w:ascii="Times New Roman" w:hAnsi="Times New Roman" w:cs="Times New Roman"/>
        </w:rPr>
        <w:t>: Residual monomers in under-cured composites can cause cytotoxic effects and irritation to the surrounding tissues</w:t>
      </w:r>
      <w:r w:rsidR="00043AD7">
        <w:rPr>
          <w:rFonts w:ascii="Times New Roman" w:hAnsi="Times New Roman" w:cs="Times New Roman"/>
        </w:rPr>
        <w:t xml:space="preserve"> [30]</w:t>
      </w:r>
      <w:r w:rsidRPr="00671F63">
        <w:rPr>
          <w:rFonts w:ascii="Times New Roman" w:hAnsi="Times New Roman" w:cs="Times New Roman"/>
        </w:rPr>
        <w:t>.</w:t>
      </w:r>
    </w:p>
    <w:p w14:paraId="31DB176E" w14:textId="77777777" w:rsidR="002C4B50" w:rsidRDefault="00671F63" w:rsidP="002C4B50">
      <w:pPr>
        <w:spacing w:line="360" w:lineRule="auto"/>
        <w:jc w:val="both"/>
        <w:rPr>
          <w:rFonts w:ascii="Times New Roman" w:hAnsi="Times New Roman" w:cs="Times New Roman"/>
        </w:rPr>
      </w:pPr>
      <w:r w:rsidRPr="00671F63">
        <w:rPr>
          <w:rFonts w:ascii="Times New Roman" w:hAnsi="Times New Roman" w:cs="Times New Roman"/>
        </w:rPr>
        <w:t>A study by Garcia et al. (2021) compared the failure rates of restorations cured at different exposure times. The study concluded that under-cured restorations exhibited a significantly higher rate of marginal staining and secondary caries, while over-cured restorations were more prone to fractures and loss of marginal adaptation [</w:t>
      </w:r>
      <w:r w:rsidR="00D57BA9">
        <w:rPr>
          <w:rFonts w:ascii="Times New Roman" w:hAnsi="Times New Roman" w:cs="Times New Roman"/>
        </w:rPr>
        <w:t>3</w:t>
      </w:r>
      <w:r w:rsidR="00043AD7">
        <w:rPr>
          <w:rFonts w:ascii="Times New Roman" w:hAnsi="Times New Roman" w:cs="Times New Roman"/>
        </w:rPr>
        <w:t>1</w:t>
      </w:r>
      <w:r w:rsidRPr="00671F63">
        <w:rPr>
          <w:rFonts w:ascii="Times New Roman" w:hAnsi="Times New Roman" w:cs="Times New Roman"/>
        </w:rPr>
        <w:t>].</w:t>
      </w:r>
    </w:p>
    <w:p w14:paraId="73018C75" w14:textId="52BC181B" w:rsidR="00671F63" w:rsidRPr="002C4B50" w:rsidRDefault="00671F63" w:rsidP="002C4B50">
      <w:pPr>
        <w:pStyle w:val="ListParagraph"/>
        <w:numPr>
          <w:ilvl w:val="0"/>
          <w:numId w:val="9"/>
        </w:numPr>
        <w:spacing w:line="360" w:lineRule="auto"/>
        <w:jc w:val="both"/>
        <w:rPr>
          <w:rFonts w:ascii="Times New Roman" w:hAnsi="Times New Roman" w:cs="Times New Roman"/>
        </w:rPr>
      </w:pPr>
      <w:r w:rsidRPr="002C4B50">
        <w:rPr>
          <w:rFonts w:ascii="Times New Roman" w:hAnsi="Times New Roman" w:cs="Times New Roman"/>
          <w:b/>
          <w:bCs/>
        </w:rPr>
        <w:t>Sequelae of Over-Curing</w:t>
      </w:r>
      <w:r w:rsidRPr="002C4B50">
        <w:rPr>
          <w:rFonts w:ascii="Times New Roman" w:hAnsi="Times New Roman" w:cs="Times New Roman"/>
        </w:rPr>
        <w:t>:</w:t>
      </w:r>
    </w:p>
    <w:p w14:paraId="1D764DB5" w14:textId="75726EB3" w:rsidR="00671F63" w:rsidRPr="002C4B50" w:rsidRDefault="00671F63" w:rsidP="002C4B50">
      <w:pPr>
        <w:pStyle w:val="ListParagraph"/>
        <w:numPr>
          <w:ilvl w:val="1"/>
          <w:numId w:val="21"/>
        </w:numPr>
        <w:spacing w:line="360" w:lineRule="auto"/>
        <w:jc w:val="both"/>
        <w:rPr>
          <w:rFonts w:ascii="Times New Roman" w:hAnsi="Times New Roman" w:cs="Times New Roman"/>
        </w:rPr>
      </w:pPr>
      <w:r w:rsidRPr="002C4B50">
        <w:rPr>
          <w:rFonts w:ascii="Times New Roman" w:hAnsi="Times New Roman" w:cs="Times New Roman"/>
          <w:b/>
          <w:bCs/>
        </w:rPr>
        <w:lastRenderedPageBreak/>
        <w:t>Thermal Damage to Pulp</w:t>
      </w:r>
      <w:r w:rsidRPr="002C4B50">
        <w:rPr>
          <w:rFonts w:ascii="Times New Roman" w:hAnsi="Times New Roman" w:cs="Times New Roman"/>
        </w:rPr>
        <w:t xml:space="preserve">: </w:t>
      </w:r>
      <w:r w:rsidR="00C657FA" w:rsidRPr="002C4B50">
        <w:rPr>
          <w:rFonts w:ascii="Times New Roman" w:hAnsi="Times New Roman" w:cs="Times New Roman"/>
        </w:rPr>
        <w:t xml:space="preserve">study by Kim et al. (2022) investigated the thermal effects of high-intensity curing lights on pulp vitality. The findings suggested that prolonged exposure beyond recommended curing times increased the risk of irreversible pulpitis </w:t>
      </w:r>
      <w:r w:rsidRPr="002C4B50">
        <w:rPr>
          <w:rFonts w:ascii="Times New Roman" w:hAnsi="Times New Roman" w:cs="Times New Roman"/>
        </w:rPr>
        <w:t>[</w:t>
      </w:r>
      <w:r w:rsidR="00D57BA9" w:rsidRPr="002C4B50">
        <w:rPr>
          <w:rFonts w:ascii="Times New Roman" w:hAnsi="Times New Roman" w:cs="Times New Roman"/>
        </w:rPr>
        <w:t>3</w:t>
      </w:r>
      <w:r w:rsidR="00043AD7" w:rsidRPr="002C4B50">
        <w:rPr>
          <w:rFonts w:ascii="Times New Roman" w:hAnsi="Times New Roman" w:cs="Times New Roman"/>
        </w:rPr>
        <w:t>2</w:t>
      </w:r>
      <w:r w:rsidRPr="002C4B50">
        <w:rPr>
          <w:rFonts w:ascii="Times New Roman" w:hAnsi="Times New Roman" w:cs="Times New Roman"/>
        </w:rPr>
        <w:t>].</w:t>
      </w:r>
    </w:p>
    <w:p w14:paraId="4ADECC3D" w14:textId="2F7081DD" w:rsidR="00CE4BCD" w:rsidRDefault="00671F63" w:rsidP="00906481">
      <w:pPr>
        <w:spacing w:line="360" w:lineRule="auto"/>
        <w:jc w:val="both"/>
        <w:rPr>
          <w:rFonts w:ascii="Times New Roman" w:hAnsi="Times New Roman" w:cs="Times New Roman"/>
        </w:rPr>
      </w:pPr>
      <w:r w:rsidRPr="00671F63">
        <w:rPr>
          <w:rFonts w:ascii="Times New Roman" w:hAnsi="Times New Roman" w:cs="Times New Roman"/>
          <w:b/>
          <w:bCs/>
        </w:rPr>
        <w:t>Blue Light Hazard and Infection Control</w:t>
      </w:r>
      <w:r w:rsidR="00CE4BCD">
        <w:rPr>
          <w:rFonts w:ascii="Times New Roman" w:hAnsi="Times New Roman" w:cs="Times New Roman"/>
        </w:rPr>
        <w:t>:</w:t>
      </w:r>
    </w:p>
    <w:p w14:paraId="5E8FCD21" w14:textId="04FBCC71" w:rsidR="00671F63" w:rsidRDefault="00671F63" w:rsidP="00906481">
      <w:pPr>
        <w:spacing w:line="360" w:lineRule="auto"/>
        <w:jc w:val="both"/>
        <w:rPr>
          <w:rFonts w:ascii="Times New Roman" w:hAnsi="Times New Roman" w:cs="Times New Roman"/>
        </w:rPr>
      </w:pPr>
      <w:r w:rsidRPr="00671F63">
        <w:rPr>
          <w:rFonts w:ascii="Times New Roman" w:hAnsi="Times New Roman" w:cs="Times New Roman"/>
        </w:rPr>
        <w:t>Blue light emitted by curing lights poses potential risks to both clinicians and patients. Protective eyewear with orange filters is recommended to minimize the risks associated with blue light exposure [</w:t>
      </w:r>
      <w:r w:rsidR="00D57BA9">
        <w:rPr>
          <w:rFonts w:ascii="Times New Roman" w:hAnsi="Times New Roman" w:cs="Times New Roman"/>
        </w:rPr>
        <w:t>3</w:t>
      </w:r>
      <w:r w:rsidR="00043AD7">
        <w:rPr>
          <w:rFonts w:ascii="Times New Roman" w:hAnsi="Times New Roman" w:cs="Times New Roman"/>
        </w:rPr>
        <w:t>3</w:t>
      </w:r>
      <w:r w:rsidRPr="00671F63">
        <w:rPr>
          <w:rFonts w:ascii="Times New Roman" w:hAnsi="Times New Roman" w:cs="Times New Roman"/>
        </w:rPr>
        <w:t>].</w:t>
      </w:r>
    </w:p>
    <w:p w14:paraId="09C178A1" w14:textId="5AA438DC" w:rsidR="00ED3C31" w:rsidRDefault="00671F63" w:rsidP="00906481">
      <w:pPr>
        <w:spacing w:line="360" w:lineRule="auto"/>
        <w:jc w:val="both"/>
        <w:rPr>
          <w:rFonts w:ascii="Times New Roman" w:hAnsi="Times New Roman" w:cs="Times New Roman"/>
        </w:rPr>
      </w:pPr>
      <w:r w:rsidRPr="00671F63">
        <w:rPr>
          <w:rFonts w:ascii="Times New Roman" w:hAnsi="Times New Roman" w:cs="Times New Roman"/>
        </w:rPr>
        <w:t>Additionally, infection control is critical in dental settings. The use of infection control barriers on curing lights helps prevent cross-contamination</w:t>
      </w:r>
      <w:r w:rsidR="0041783A">
        <w:rPr>
          <w:rFonts w:ascii="Times New Roman" w:hAnsi="Times New Roman" w:cs="Times New Roman"/>
        </w:rPr>
        <w:t xml:space="preserve"> [3</w:t>
      </w:r>
      <w:r w:rsidR="00043AD7">
        <w:rPr>
          <w:rFonts w:ascii="Times New Roman" w:hAnsi="Times New Roman" w:cs="Times New Roman"/>
        </w:rPr>
        <w:t>4</w:t>
      </w:r>
      <w:r w:rsidR="0041783A">
        <w:rPr>
          <w:rFonts w:ascii="Times New Roman" w:hAnsi="Times New Roman" w:cs="Times New Roman"/>
        </w:rPr>
        <w:t>]</w:t>
      </w:r>
      <w:r w:rsidRPr="00671F63">
        <w:rPr>
          <w:rFonts w:ascii="Times New Roman" w:hAnsi="Times New Roman" w:cs="Times New Roman"/>
        </w:rPr>
        <w:t>. However, studies have shown that some barriers can attenuate light intensity, potentially compromising polymerization efficiency.</w:t>
      </w:r>
    </w:p>
    <w:p w14:paraId="77355F73" w14:textId="6020EDAD" w:rsidR="00ED3C31" w:rsidRDefault="00ED3C31" w:rsidP="00906481">
      <w:pPr>
        <w:spacing w:line="360" w:lineRule="auto"/>
        <w:jc w:val="both"/>
        <w:rPr>
          <w:noProof/>
        </w:rPr>
      </w:pPr>
      <w:r>
        <w:rPr>
          <w:noProof/>
        </w:rPr>
        <w:drawing>
          <wp:inline distT="0" distB="0" distL="0" distR="0" wp14:anchorId="1B14FE00" wp14:editId="5DA43BAB">
            <wp:extent cx="4838700" cy="1019175"/>
            <wp:effectExtent l="0" t="0" r="0" b="9525"/>
            <wp:docPr id="1546138517" name="Picture 4" descr="A close up of a t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38517" name="Picture 4" descr="A close up of a tool&#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8700" cy="1019175"/>
                    </a:xfrm>
                    <a:prstGeom prst="rect">
                      <a:avLst/>
                    </a:prstGeom>
                    <a:noFill/>
                    <a:ln>
                      <a:noFill/>
                    </a:ln>
                  </pic:spPr>
                </pic:pic>
              </a:graphicData>
            </a:graphic>
          </wp:inline>
        </w:drawing>
      </w:r>
    </w:p>
    <w:p w14:paraId="7A2DD7B6" w14:textId="64BA643C" w:rsidR="00ED3C31" w:rsidRPr="00ED3C31" w:rsidRDefault="00ED3C31" w:rsidP="00ED3C31">
      <w:pPr>
        <w:spacing w:line="360" w:lineRule="auto"/>
        <w:jc w:val="center"/>
        <w:rPr>
          <w:rFonts w:ascii="Times New Roman" w:hAnsi="Times New Roman" w:cs="Times New Roman"/>
        </w:rPr>
      </w:pPr>
      <w:r w:rsidRPr="00E22EB6">
        <w:rPr>
          <w:rFonts w:ascii="Times New Roman" w:hAnsi="Times New Roman" w:cs="Times New Roman"/>
        </w:rPr>
        <w:t xml:space="preserve">Figure </w:t>
      </w:r>
      <w:r>
        <w:rPr>
          <w:rFonts w:ascii="Times New Roman" w:hAnsi="Times New Roman" w:cs="Times New Roman"/>
        </w:rPr>
        <w:t>8</w:t>
      </w:r>
      <w:r w:rsidRPr="00E22EB6">
        <w:rPr>
          <w:rFonts w:ascii="Times New Roman" w:hAnsi="Times New Roman" w:cs="Times New Roman"/>
        </w:rPr>
        <w:t xml:space="preserve">: </w:t>
      </w:r>
      <w:r>
        <w:rPr>
          <w:rFonts w:ascii="Times New Roman" w:hAnsi="Times New Roman" w:cs="Times New Roman"/>
        </w:rPr>
        <w:t>Orange filter eyewear and Infection control barrier</w:t>
      </w:r>
    </w:p>
    <w:p w14:paraId="4DBD438E" w14:textId="5A66FA8E" w:rsidR="00671F63" w:rsidRPr="00671F63" w:rsidRDefault="00671F63" w:rsidP="00906481">
      <w:pPr>
        <w:spacing w:line="360" w:lineRule="auto"/>
        <w:jc w:val="both"/>
        <w:rPr>
          <w:rFonts w:ascii="Times New Roman" w:hAnsi="Times New Roman" w:cs="Times New Roman"/>
        </w:rPr>
      </w:pPr>
      <w:r w:rsidRPr="00671F63">
        <w:rPr>
          <w:rFonts w:ascii="Times New Roman" w:hAnsi="Times New Roman" w:cs="Times New Roman"/>
        </w:rPr>
        <w:t>Price et al. (20</w:t>
      </w:r>
      <w:r w:rsidR="0041783A">
        <w:rPr>
          <w:rFonts w:ascii="Times New Roman" w:hAnsi="Times New Roman" w:cs="Times New Roman"/>
        </w:rPr>
        <w:t>20</w:t>
      </w:r>
      <w:r w:rsidRPr="00671F63">
        <w:rPr>
          <w:rFonts w:ascii="Times New Roman" w:hAnsi="Times New Roman" w:cs="Times New Roman"/>
        </w:rPr>
        <w:t xml:space="preserve">) </w:t>
      </w:r>
      <w:r w:rsidR="0041783A" w:rsidRPr="0041783A">
        <w:rPr>
          <w:rFonts w:ascii="Times New Roman" w:hAnsi="Times New Roman" w:cs="Times New Roman"/>
        </w:rPr>
        <w:t xml:space="preserve">investigated the effect of infection control barriers on the light output from a multi-emitter LED curing light. The study concluded that correctly applied plastic barriers reduced light output by 5–8%, while incorrect application, such as wrinkling, led to reductions of 14–26%. </w:t>
      </w:r>
      <w:r w:rsidRPr="00671F63">
        <w:rPr>
          <w:rFonts w:ascii="Times New Roman" w:hAnsi="Times New Roman" w:cs="Times New Roman"/>
        </w:rPr>
        <w:t>[</w:t>
      </w:r>
      <w:r w:rsidR="0041783A">
        <w:rPr>
          <w:rFonts w:ascii="Times New Roman" w:hAnsi="Times New Roman" w:cs="Times New Roman"/>
        </w:rPr>
        <w:t>3</w:t>
      </w:r>
      <w:r w:rsidR="00043AD7">
        <w:rPr>
          <w:rFonts w:ascii="Times New Roman" w:hAnsi="Times New Roman" w:cs="Times New Roman"/>
        </w:rPr>
        <w:t>5</w:t>
      </w:r>
      <w:r w:rsidRPr="00671F63">
        <w:rPr>
          <w:rFonts w:ascii="Times New Roman" w:hAnsi="Times New Roman" w:cs="Times New Roman"/>
        </w:rPr>
        <w:t xml:space="preserve">]. Another study by </w:t>
      </w:r>
      <w:proofErr w:type="spellStart"/>
      <w:r w:rsidRPr="00671F63">
        <w:rPr>
          <w:rFonts w:ascii="Times New Roman" w:hAnsi="Times New Roman" w:cs="Times New Roman"/>
        </w:rPr>
        <w:t>Rueggeberg</w:t>
      </w:r>
      <w:proofErr w:type="spellEnd"/>
      <w:r w:rsidRPr="00671F63">
        <w:rPr>
          <w:rFonts w:ascii="Times New Roman" w:hAnsi="Times New Roman" w:cs="Times New Roman"/>
        </w:rPr>
        <w:t xml:space="preserve"> et al. (201</w:t>
      </w:r>
      <w:r w:rsidR="0041783A">
        <w:rPr>
          <w:rFonts w:ascii="Times New Roman" w:hAnsi="Times New Roman" w:cs="Times New Roman"/>
        </w:rPr>
        <w:t>5</w:t>
      </w:r>
      <w:r w:rsidRPr="00671F63">
        <w:rPr>
          <w:rFonts w:ascii="Times New Roman" w:hAnsi="Times New Roman" w:cs="Times New Roman"/>
        </w:rPr>
        <w:t>) emphasized the importance of selecting high-transmittance barriers to ensure optimal curing performance while maintaining infection control standards [</w:t>
      </w:r>
      <w:r w:rsidR="0041783A">
        <w:rPr>
          <w:rFonts w:ascii="Times New Roman" w:hAnsi="Times New Roman" w:cs="Times New Roman"/>
        </w:rPr>
        <w:t>3</w:t>
      </w:r>
      <w:r w:rsidR="00043AD7">
        <w:rPr>
          <w:rFonts w:ascii="Times New Roman" w:hAnsi="Times New Roman" w:cs="Times New Roman"/>
        </w:rPr>
        <w:t>6</w:t>
      </w:r>
      <w:r w:rsidRPr="00671F63">
        <w:rPr>
          <w:rFonts w:ascii="Times New Roman" w:hAnsi="Times New Roman" w:cs="Times New Roman"/>
        </w:rPr>
        <w:t>].</w:t>
      </w:r>
    </w:p>
    <w:p w14:paraId="186C1203" w14:textId="0A32C159" w:rsidR="00CE4BCD" w:rsidRDefault="00671F63" w:rsidP="00906481">
      <w:pPr>
        <w:spacing w:line="360" w:lineRule="auto"/>
        <w:jc w:val="both"/>
        <w:rPr>
          <w:rFonts w:ascii="Times New Roman" w:hAnsi="Times New Roman" w:cs="Times New Roman"/>
          <w:b/>
          <w:bCs/>
        </w:rPr>
      </w:pPr>
      <w:r w:rsidRPr="00671F63">
        <w:rPr>
          <w:rFonts w:ascii="Times New Roman" w:hAnsi="Times New Roman" w:cs="Times New Roman"/>
          <w:b/>
          <w:bCs/>
        </w:rPr>
        <w:t>Conclusion</w:t>
      </w:r>
      <w:r w:rsidR="00CE4BCD">
        <w:rPr>
          <w:rFonts w:ascii="Times New Roman" w:hAnsi="Times New Roman" w:cs="Times New Roman"/>
          <w:b/>
          <w:bCs/>
        </w:rPr>
        <w:t>:</w:t>
      </w:r>
    </w:p>
    <w:p w14:paraId="70D56CE2" w14:textId="6D0CA03C" w:rsidR="00671F63" w:rsidRDefault="00671F63" w:rsidP="00906481">
      <w:pPr>
        <w:spacing w:line="360" w:lineRule="auto"/>
        <w:jc w:val="both"/>
        <w:rPr>
          <w:rFonts w:ascii="Times New Roman" w:hAnsi="Times New Roman" w:cs="Times New Roman"/>
        </w:rPr>
      </w:pPr>
      <w:r w:rsidRPr="00671F63">
        <w:rPr>
          <w:rFonts w:ascii="Times New Roman" w:hAnsi="Times New Roman" w:cs="Times New Roman"/>
        </w:rPr>
        <w:t xml:space="preserve"> Proper light curing of resin composites is a multifaceted process requiring careful selection of curing lights, adherence to recommended protocols, and awareness of factors affecting polymerization efficiency. The integration of </w:t>
      </w:r>
      <w:proofErr w:type="spellStart"/>
      <w:r w:rsidRPr="00671F63">
        <w:rPr>
          <w:rFonts w:ascii="Times New Roman" w:hAnsi="Times New Roman" w:cs="Times New Roman"/>
        </w:rPr>
        <w:t>polywave</w:t>
      </w:r>
      <w:proofErr w:type="spellEnd"/>
      <w:r w:rsidRPr="00671F63">
        <w:rPr>
          <w:rFonts w:ascii="Times New Roman" w:hAnsi="Times New Roman" w:cs="Times New Roman"/>
        </w:rPr>
        <w:t xml:space="preserve"> technology, advanced curing modes, and safety measures enhances the longevity and performance of composite restorations. Ongoing research continues to refine light curing techniques, ensuring improved clinical outcomes in restorative dentistry.</w:t>
      </w:r>
    </w:p>
    <w:p w14:paraId="6C30F58D" w14:textId="74AD0ED7" w:rsidR="00671F63" w:rsidRPr="00464CC7" w:rsidRDefault="00671F63" w:rsidP="00906481">
      <w:pPr>
        <w:spacing w:line="360" w:lineRule="auto"/>
        <w:jc w:val="both"/>
        <w:rPr>
          <w:rFonts w:ascii="Times New Roman" w:hAnsi="Times New Roman" w:cs="Times New Roman"/>
          <w:b/>
          <w:bCs/>
        </w:rPr>
      </w:pPr>
      <w:bookmarkStart w:id="1" w:name="_GoBack"/>
      <w:bookmarkEnd w:id="1"/>
      <w:r w:rsidRPr="00671F63">
        <w:rPr>
          <w:rFonts w:ascii="Times New Roman" w:hAnsi="Times New Roman" w:cs="Times New Roman"/>
          <w:b/>
          <w:bCs/>
        </w:rPr>
        <w:lastRenderedPageBreak/>
        <w:t>References</w:t>
      </w:r>
    </w:p>
    <w:p w14:paraId="1E4CA618" w14:textId="77777777" w:rsidR="0041783A" w:rsidRPr="0041783A" w:rsidRDefault="0041783A" w:rsidP="0041783A">
      <w:pPr>
        <w:pStyle w:val="ListParagraph"/>
        <w:numPr>
          <w:ilvl w:val="0"/>
          <w:numId w:val="6"/>
        </w:numPr>
        <w:spacing w:line="360" w:lineRule="auto"/>
        <w:jc w:val="both"/>
        <w:rPr>
          <w:rFonts w:ascii="Times New Roman" w:hAnsi="Times New Roman" w:cs="Times New Roman"/>
        </w:rPr>
      </w:pPr>
      <w:r w:rsidRPr="0041783A">
        <w:rPr>
          <w:rFonts w:ascii="Times New Roman" w:hAnsi="Times New Roman" w:cs="Times New Roman"/>
        </w:rPr>
        <w:t xml:space="preserve">Smith DC. Composition and characteristics of dental composites. J </w:t>
      </w:r>
      <w:proofErr w:type="spellStart"/>
      <w:r w:rsidRPr="0041783A">
        <w:rPr>
          <w:rFonts w:ascii="Times New Roman" w:hAnsi="Times New Roman" w:cs="Times New Roman"/>
        </w:rPr>
        <w:t>Prosthet</w:t>
      </w:r>
      <w:proofErr w:type="spellEnd"/>
      <w:r w:rsidRPr="0041783A">
        <w:rPr>
          <w:rFonts w:ascii="Times New Roman" w:hAnsi="Times New Roman" w:cs="Times New Roman"/>
        </w:rPr>
        <w:t xml:space="preserve"> Dent. 2020;124(3):235-41.</w:t>
      </w:r>
    </w:p>
    <w:p w14:paraId="7D8CA9C7" w14:textId="77777777" w:rsidR="0041783A" w:rsidRPr="0041783A" w:rsidRDefault="0041783A" w:rsidP="0041783A">
      <w:pPr>
        <w:pStyle w:val="ListParagraph"/>
        <w:numPr>
          <w:ilvl w:val="0"/>
          <w:numId w:val="6"/>
        </w:numPr>
        <w:spacing w:line="360" w:lineRule="auto"/>
        <w:jc w:val="both"/>
        <w:rPr>
          <w:rFonts w:ascii="Times New Roman" w:hAnsi="Times New Roman" w:cs="Times New Roman"/>
        </w:rPr>
      </w:pPr>
      <w:r w:rsidRPr="0041783A">
        <w:rPr>
          <w:rFonts w:ascii="Times New Roman" w:hAnsi="Times New Roman" w:cs="Times New Roman"/>
        </w:rPr>
        <w:t>Park JG, Ferracane JL, Morgan CR, Lu H. The effect of curing protocols on polymerization shrinkage stress in dental composites. Dent Mater. 2021;37(4):589-97.</w:t>
      </w:r>
    </w:p>
    <w:p w14:paraId="185A26F0" w14:textId="77777777" w:rsidR="0041783A" w:rsidRPr="0041783A" w:rsidRDefault="0041783A" w:rsidP="0041783A">
      <w:pPr>
        <w:pStyle w:val="ListParagraph"/>
        <w:numPr>
          <w:ilvl w:val="0"/>
          <w:numId w:val="6"/>
        </w:numPr>
        <w:spacing w:line="360" w:lineRule="auto"/>
        <w:jc w:val="both"/>
        <w:rPr>
          <w:rFonts w:ascii="Times New Roman" w:hAnsi="Times New Roman" w:cs="Times New Roman"/>
        </w:rPr>
      </w:pPr>
      <w:r w:rsidRPr="0041783A">
        <w:rPr>
          <w:rFonts w:ascii="Times New Roman" w:hAnsi="Times New Roman" w:cs="Times New Roman"/>
        </w:rPr>
        <w:t xml:space="preserve">Price RB, Strassler HE, Price HL. The impact of light curing variables on composite polymerization. J </w:t>
      </w:r>
      <w:proofErr w:type="spellStart"/>
      <w:r w:rsidRPr="0041783A">
        <w:rPr>
          <w:rFonts w:ascii="Times New Roman" w:hAnsi="Times New Roman" w:cs="Times New Roman"/>
        </w:rPr>
        <w:t>Esthet</w:t>
      </w:r>
      <w:proofErr w:type="spellEnd"/>
      <w:r w:rsidRPr="0041783A">
        <w:rPr>
          <w:rFonts w:ascii="Times New Roman" w:hAnsi="Times New Roman" w:cs="Times New Roman"/>
        </w:rPr>
        <w:t xml:space="preserve"> </w:t>
      </w:r>
      <w:proofErr w:type="spellStart"/>
      <w:r w:rsidRPr="0041783A">
        <w:rPr>
          <w:rFonts w:ascii="Times New Roman" w:hAnsi="Times New Roman" w:cs="Times New Roman"/>
        </w:rPr>
        <w:t>Restor</w:t>
      </w:r>
      <w:proofErr w:type="spellEnd"/>
      <w:r w:rsidRPr="0041783A">
        <w:rPr>
          <w:rFonts w:ascii="Times New Roman" w:hAnsi="Times New Roman" w:cs="Times New Roman"/>
        </w:rPr>
        <w:t xml:space="preserve"> Dent. 2020;32(2):204-12.</w:t>
      </w:r>
    </w:p>
    <w:p w14:paraId="5594918A" w14:textId="77777777" w:rsidR="0041783A" w:rsidRPr="0041783A" w:rsidRDefault="0041783A" w:rsidP="0041783A">
      <w:pPr>
        <w:pStyle w:val="ListParagraph"/>
        <w:numPr>
          <w:ilvl w:val="0"/>
          <w:numId w:val="6"/>
        </w:numPr>
        <w:spacing w:line="360" w:lineRule="auto"/>
        <w:jc w:val="both"/>
        <w:rPr>
          <w:rFonts w:ascii="Times New Roman" w:hAnsi="Times New Roman" w:cs="Times New Roman"/>
        </w:rPr>
      </w:pPr>
      <w:proofErr w:type="spellStart"/>
      <w:r w:rsidRPr="0041783A">
        <w:rPr>
          <w:rFonts w:ascii="Times New Roman" w:hAnsi="Times New Roman" w:cs="Times New Roman"/>
        </w:rPr>
        <w:t>Rueggeberg</w:t>
      </w:r>
      <w:proofErr w:type="spellEnd"/>
      <w:r w:rsidRPr="0041783A">
        <w:rPr>
          <w:rFonts w:ascii="Times New Roman" w:hAnsi="Times New Roman" w:cs="Times New Roman"/>
        </w:rPr>
        <w:t xml:space="preserve"> FA, Giannini M, </w:t>
      </w:r>
      <w:proofErr w:type="spellStart"/>
      <w:r w:rsidRPr="0041783A">
        <w:rPr>
          <w:rFonts w:ascii="Times New Roman" w:hAnsi="Times New Roman" w:cs="Times New Roman"/>
        </w:rPr>
        <w:t>Arrais</w:t>
      </w:r>
      <w:proofErr w:type="spellEnd"/>
      <w:r w:rsidRPr="0041783A">
        <w:rPr>
          <w:rFonts w:ascii="Times New Roman" w:hAnsi="Times New Roman" w:cs="Times New Roman"/>
        </w:rPr>
        <w:t xml:space="preserve"> CA, Price RB. Light curing in dentistry: A review of the clinical implications. Oper Dent. 2017;42(4):537-49.</w:t>
      </w:r>
    </w:p>
    <w:p w14:paraId="3FA0387E" w14:textId="77777777" w:rsidR="0041783A" w:rsidRPr="0041783A" w:rsidRDefault="0041783A" w:rsidP="0041783A">
      <w:pPr>
        <w:pStyle w:val="ListParagraph"/>
        <w:numPr>
          <w:ilvl w:val="0"/>
          <w:numId w:val="6"/>
        </w:numPr>
        <w:spacing w:line="360" w:lineRule="auto"/>
        <w:jc w:val="both"/>
        <w:rPr>
          <w:rFonts w:ascii="Times New Roman" w:hAnsi="Times New Roman" w:cs="Times New Roman"/>
        </w:rPr>
      </w:pPr>
      <w:r w:rsidRPr="0041783A">
        <w:rPr>
          <w:rFonts w:ascii="Times New Roman" w:hAnsi="Times New Roman" w:cs="Times New Roman"/>
        </w:rPr>
        <w:t>Garcia D, Yaman P, Dennison JB, Neiva GF. Polymerization efficacy of LED curing lights in composite restorations. J Am Dent Assoc. 2021;152(1):45-52.</w:t>
      </w:r>
    </w:p>
    <w:p w14:paraId="32254EDF" w14:textId="77777777" w:rsidR="00C657FA" w:rsidRDefault="00C657FA" w:rsidP="0041783A">
      <w:pPr>
        <w:pStyle w:val="ListParagraph"/>
        <w:numPr>
          <w:ilvl w:val="0"/>
          <w:numId w:val="6"/>
        </w:numPr>
        <w:spacing w:line="360" w:lineRule="auto"/>
        <w:jc w:val="both"/>
        <w:rPr>
          <w:rFonts w:ascii="Times New Roman" w:hAnsi="Times New Roman" w:cs="Times New Roman"/>
        </w:rPr>
      </w:pPr>
      <w:r w:rsidRPr="00C657FA">
        <w:rPr>
          <w:rFonts w:ascii="Times New Roman" w:hAnsi="Times New Roman" w:cs="Times New Roman"/>
        </w:rPr>
        <w:t xml:space="preserve">Price RB, Ferracane JL, Shortall AC. Light-curing units: A review of what we need to know. </w:t>
      </w:r>
      <w:r w:rsidRPr="00C657FA">
        <w:rPr>
          <w:rFonts w:ascii="Times New Roman" w:hAnsi="Times New Roman" w:cs="Times New Roman"/>
          <w:i/>
          <w:iCs/>
        </w:rPr>
        <w:t>J Dent Res.</w:t>
      </w:r>
      <w:r w:rsidRPr="00C657FA">
        <w:rPr>
          <w:rFonts w:ascii="Times New Roman" w:hAnsi="Times New Roman" w:cs="Times New Roman"/>
        </w:rPr>
        <w:t xml:space="preserve"> 2015 Sep;94(9):1179-86. </w:t>
      </w:r>
    </w:p>
    <w:p w14:paraId="336E6A3D" w14:textId="24B0EA9D" w:rsidR="0041783A" w:rsidRPr="0041783A" w:rsidRDefault="0041783A" w:rsidP="0041783A">
      <w:pPr>
        <w:pStyle w:val="ListParagraph"/>
        <w:numPr>
          <w:ilvl w:val="0"/>
          <w:numId w:val="6"/>
        </w:numPr>
        <w:spacing w:line="360" w:lineRule="auto"/>
        <w:jc w:val="both"/>
        <w:rPr>
          <w:rFonts w:ascii="Times New Roman" w:hAnsi="Times New Roman" w:cs="Times New Roman"/>
        </w:rPr>
      </w:pPr>
      <w:r w:rsidRPr="0041783A">
        <w:rPr>
          <w:rFonts w:ascii="Times New Roman" w:hAnsi="Times New Roman" w:cs="Times New Roman"/>
        </w:rPr>
        <w:t xml:space="preserve">Johnson PM, Felix CA, Cook WD. The role of </w:t>
      </w:r>
      <w:proofErr w:type="spellStart"/>
      <w:r w:rsidRPr="0041783A">
        <w:rPr>
          <w:rFonts w:ascii="Times New Roman" w:hAnsi="Times New Roman" w:cs="Times New Roman"/>
        </w:rPr>
        <w:t>photoinitiators</w:t>
      </w:r>
      <w:proofErr w:type="spellEnd"/>
      <w:r w:rsidRPr="0041783A">
        <w:rPr>
          <w:rFonts w:ascii="Times New Roman" w:hAnsi="Times New Roman" w:cs="Times New Roman"/>
        </w:rPr>
        <w:t xml:space="preserve"> in resin-based composites. Dent Mater. 2021;37(6):835-45.</w:t>
      </w:r>
    </w:p>
    <w:p w14:paraId="2DEE85FF" w14:textId="77777777" w:rsidR="0041783A" w:rsidRPr="0041783A" w:rsidRDefault="0041783A" w:rsidP="0041783A">
      <w:pPr>
        <w:pStyle w:val="ListParagraph"/>
        <w:numPr>
          <w:ilvl w:val="0"/>
          <w:numId w:val="6"/>
        </w:numPr>
        <w:spacing w:line="360" w:lineRule="auto"/>
        <w:jc w:val="both"/>
        <w:rPr>
          <w:rFonts w:ascii="Times New Roman" w:hAnsi="Times New Roman" w:cs="Times New Roman"/>
        </w:rPr>
      </w:pPr>
      <w:proofErr w:type="spellStart"/>
      <w:r w:rsidRPr="0041783A">
        <w:rPr>
          <w:rFonts w:ascii="Times New Roman" w:hAnsi="Times New Roman" w:cs="Times New Roman"/>
        </w:rPr>
        <w:t>Rueggeberg</w:t>
      </w:r>
      <w:proofErr w:type="spellEnd"/>
      <w:r w:rsidRPr="0041783A">
        <w:rPr>
          <w:rFonts w:ascii="Times New Roman" w:hAnsi="Times New Roman" w:cs="Times New Roman"/>
        </w:rPr>
        <w:t xml:space="preserve"> FA. State-of-the-art dental curing lights and their effect on polymerization efficiency. J Dent. </w:t>
      </w:r>
      <w:proofErr w:type="gramStart"/>
      <w:r w:rsidRPr="0041783A">
        <w:rPr>
          <w:rFonts w:ascii="Times New Roman" w:hAnsi="Times New Roman" w:cs="Times New Roman"/>
        </w:rPr>
        <w:t>2019;82:16</w:t>
      </w:r>
      <w:proofErr w:type="gramEnd"/>
      <w:r w:rsidRPr="0041783A">
        <w:rPr>
          <w:rFonts w:ascii="Times New Roman" w:hAnsi="Times New Roman" w:cs="Times New Roman"/>
        </w:rPr>
        <w:t>-23.</w:t>
      </w:r>
    </w:p>
    <w:p w14:paraId="329752D4" w14:textId="77777777" w:rsidR="0041783A" w:rsidRPr="0041783A" w:rsidRDefault="0041783A" w:rsidP="0041783A">
      <w:pPr>
        <w:pStyle w:val="ListParagraph"/>
        <w:numPr>
          <w:ilvl w:val="0"/>
          <w:numId w:val="6"/>
        </w:numPr>
        <w:spacing w:line="360" w:lineRule="auto"/>
        <w:jc w:val="both"/>
        <w:rPr>
          <w:rFonts w:ascii="Times New Roman" w:hAnsi="Times New Roman" w:cs="Times New Roman"/>
        </w:rPr>
      </w:pPr>
      <w:r w:rsidRPr="0041783A">
        <w:rPr>
          <w:rFonts w:ascii="Times New Roman" w:hAnsi="Times New Roman" w:cs="Times New Roman"/>
        </w:rPr>
        <w:t>Ferracane JL. Resin-based composite performance: Curing and mechanical properties. Dent Mater. 2021;37(3</w:t>
      </w:r>
      <w:proofErr w:type="gramStart"/>
      <w:r w:rsidRPr="0041783A">
        <w:rPr>
          <w:rFonts w:ascii="Times New Roman" w:hAnsi="Times New Roman" w:cs="Times New Roman"/>
        </w:rPr>
        <w:t>):e</w:t>
      </w:r>
      <w:proofErr w:type="gramEnd"/>
      <w:r w:rsidRPr="0041783A">
        <w:rPr>
          <w:rFonts w:ascii="Times New Roman" w:hAnsi="Times New Roman" w:cs="Times New Roman"/>
        </w:rPr>
        <w:t>15-28.</w:t>
      </w:r>
    </w:p>
    <w:p w14:paraId="72516046" w14:textId="4A2D5705" w:rsidR="0041783A" w:rsidRPr="0041783A" w:rsidRDefault="00C657FA" w:rsidP="0041783A">
      <w:pPr>
        <w:pStyle w:val="ListParagraph"/>
        <w:numPr>
          <w:ilvl w:val="0"/>
          <w:numId w:val="6"/>
        </w:numPr>
        <w:spacing w:line="360" w:lineRule="auto"/>
        <w:jc w:val="both"/>
        <w:rPr>
          <w:rFonts w:ascii="Times New Roman" w:hAnsi="Times New Roman" w:cs="Times New Roman"/>
        </w:rPr>
      </w:pPr>
      <w:proofErr w:type="spellStart"/>
      <w:r w:rsidRPr="00C657FA">
        <w:rPr>
          <w:rFonts w:ascii="Times New Roman" w:hAnsi="Times New Roman" w:cs="Times New Roman"/>
        </w:rPr>
        <w:t>Rueggeberg</w:t>
      </w:r>
      <w:proofErr w:type="spellEnd"/>
      <w:r w:rsidRPr="00C657FA">
        <w:rPr>
          <w:rFonts w:ascii="Times New Roman" w:hAnsi="Times New Roman" w:cs="Times New Roman"/>
        </w:rPr>
        <w:t xml:space="preserve"> FA, </w:t>
      </w:r>
      <w:proofErr w:type="spellStart"/>
      <w:r w:rsidRPr="00C657FA">
        <w:rPr>
          <w:rFonts w:ascii="Times New Roman" w:hAnsi="Times New Roman" w:cs="Times New Roman"/>
        </w:rPr>
        <w:t>Caughman</w:t>
      </w:r>
      <w:proofErr w:type="spellEnd"/>
      <w:r w:rsidRPr="00C657FA">
        <w:rPr>
          <w:rFonts w:ascii="Times New Roman" w:hAnsi="Times New Roman" w:cs="Times New Roman"/>
        </w:rPr>
        <w:t xml:space="preserve"> WF, Curtis JW. Effect of light intensity and exposure duration on cure of resin composite. </w:t>
      </w:r>
      <w:r w:rsidRPr="00C657FA">
        <w:rPr>
          <w:rFonts w:ascii="Times New Roman" w:hAnsi="Times New Roman" w:cs="Times New Roman"/>
          <w:i/>
          <w:iCs/>
        </w:rPr>
        <w:t>Oper Dent.</w:t>
      </w:r>
      <w:r w:rsidRPr="00C657FA">
        <w:rPr>
          <w:rFonts w:ascii="Times New Roman" w:hAnsi="Times New Roman" w:cs="Times New Roman"/>
        </w:rPr>
        <w:t xml:space="preserve"> 1994 Mar-Apr;19(1):26-32</w:t>
      </w:r>
      <w:r w:rsidR="0041783A" w:rsidRPr="0041783A">
        <w:rPr>
          <w:rFonts w:ascii="Times New Roman" w:hAnsi="Times New Roman" w:cs="Times New Roman"/>
        </w:rPr>
        <w:t>.</w:t>
      </w:r>
    </w:p>
    <w:p w14:paraId="72A07D68" w14:textId="77777777" w:rsidR="0095565E" w:rsidRDefault="0095565E" w:rsidP="0041783A">
      <w:pPr>
        <w:pStyle w:val="ListParagraph"/>
        <w:numPr>
          <w:ilvl w:val="0"/>
          <w:numId w:val="6"/>
        </w:numPr>
        <w:spacing w:line="360" w:lineRule="auto"/>
        <w:jc w:val="both"/>
        <w:rPr>
          <w:rFonts w:ascii="Times New Roman" w:hAnsi="Times New Roman" w:cs="Times New Roman"/>
        </w:rPr>
      </w:pPr>
      <w:r w:rsidRPr="0041783A">
        <w:rPr>
          <w:rFonts w:ascii="Times New Roman" w:hAnsi="Times New Roman" w:cs="Times New Roman"/>
        </w:rPr>
        <w:t>Yap AU, Soh MS, Siow KS. Influence of curing light intensity and exposure time on degree of conversion. Oper Dent. 2018;43(2):196-205</w:t>
      </w:r>
    </w:p>
    <w:p w14:paraId="7E7C664C" w14:textId="663AA388" w:rsidR="0095565E" w:rsidRPr="0041783A" w:rsidRDefault="0095565E" w:rsidP="0041783A">
      <w:pPr>
        <w:pStyle w:val="ListParagraph"/>
        <w:numPr>
          <w:ilvl w:val="0"/>
          <w:numId w:val="6"/>
        </w:numPr>
        <w:spacing w:line="360" w:lineRule="auto"/>
        <w:jc w:val="both"/>
        <w:rPr>
          <w:rFonts w:ascii="Times New Roman" w:hAnsi="Times New Roman" w:cs="Times New Roman"/>
        </w:rPr>
      </w:pPr>
      <w:r w:rsidRPr="0095565E">
        <w:rPr>
          <w:rFonts w:ascii="Times New Roman" w:hAnsi="Times New Roman" w:cs="Times New Roman"/>
        </w:rPr>
        <w:t xml:space="preserve">Price RB, Shortall AC, Palin WM. Effect of irradiance distribution and beam homogeneity on dental resin-based composite polymerization. </w:t>
      </w:r>
      <w:r w:rsidRPr="0095565E">
        <w:rPr>
          <w:rFonts w:ascii="Times New Roman" w:hAnsi="Times New Roman" w:cs="Times New Roman"/>
          <w:i/>
          <w:iCs/>
        </w:rPr>
        <w:t>J Dent Res.</w:t>
      </w:r>
      <w:r w:rsidRPr="0095565E">
        <w:rPr>
          <w:rFonts w:ascii="Times New Roman" w:hAnsi="Times New Roman" w:cs="Times New Roman"/>
        </w:rPr>
        <w:t xml:space="preserve"> 2015;94(10):1310-1316.</w:t>
      </w:r>
    </w:p>
    <w:p w14:paraId="09C65F95" w14:textId="77777777" w:rsidR="0095565E" w:rsidRDefault="0095565E" w:rsidP="0041783A">
      <w:pPr>
        <w:pStyle w:val="ListParagraph"/>
        <w:numPr>
          <w:ilvl w:val="0"/>
          <w:numId w:val="6"/>
        </w:numPr>
        <w:spacing w:line="360" w:lineRule="auto"/>
        <w:jc w:val="both"/>
        <w:rPr>
          <w:rFonts w:ascii="Times New Roman" w:hAnsi="Times New Roman" w:cs="Times New Roman"/>
        </w:rPr>
      </w:pPr>
      <w:proofErr w:type="spellStart"/>
      <w:r w:rsidRPr="0095565E">
        <w:rPr>
          <w:rFonts w:ascii="Times New Roman" w:hAnsi="Times New Roman" w:cs="Times New Roman"/>
        </w:rPr>
        <w:t>Shimokawa</w:t>
      </w:r>
      <w:proofErr w:type="spellEnd"/>
      <w:r w:rsidRPr="0095565E">
        <w:rPr>
          <w:rFonts w:ascii="Times New Roman" w:hAnsi="Times New Roman" w:cs="Times New Roman"/>
        </w:rPr>
        <w:t xml:space="preserve"> CAK, </w:t>
      </w:r>
      <w:proofErr w:type="spellStart"/>
      <w:r w:rsidRPr="0095565E">
        <w:rPr>
          <w:rFonts w:ascii="Times New Roman" w:hAnsi="Times New Roman" w:cs="Times New Roman"/>
        </w:rPr>
        <w:t>Turbino</w:t>
      </w:r>
      <w:proofErr w:type="spellEnd"/>
      <w:r w:rsidRPr="0095565E">
        <w:rPr>
          <w:rFonts w:ascii="Times New Roman" w:hAnsi="Times New Roman" w:cs="Times New Roman"/>
        </w:rPr>
        <w:t xml:space="preserve"> ML, Giannini M, Price RB. Effect of curing light and exposure time on the polymerization of bulk-fill resin-based composites in molar teeth. </w:t>
      </w:r>
      <w:r w:rsidRPr="0095565E">
        <w:rPr>
          <w:rFonts w:ascii="Times New Roman" w:hAnsi="Times New Roman" w:cs="Times New Roman"/>
          <w:i/>
          <w:iCs/>
        </w:rPr>
        <w:t>Oper Dent.</w:t>
      </w:r>
      <w:r w:rsidRPr="0095565E">
        <w:rPr>
          <w:rFonts w:ascii="Times New Roman" w:hAnsi="Times New Roman" w:cs="Times New Roman"/>
        </w:rPr>
        <w:t xml:space="preserve"> 2020 May;45(3</w:t>
      </w:r>
      <w:proofErr w:type="gramStart"/>
      <w:r w:rsidRPr="0095565E">
        <w:rPr>
          <w:rFonts w:ascii="Times New Roman" w:hAnsi="Times New Roman" w:cs="Times New Roman"/>
        </w:rPr>
        <w:t>):E</w:t>
      </w:r>
      <w:proofErr w:type="gramEnd"/>
      <w:r w:rsidRPr="0095565E">
        <w:rPr>
          <w:rFonts w:ascii="Times New Roman" w:hAnsi="Times New Roman" w:cs="Times New Roman"/>
        </w:rPr>
        <w:t>141-E152.</w:t>
      </w:r>
    </w:p>
    <w:p w14:paraId="09DE064F" w14:textId="77777777" w:rsidR="0095565E" w:rsidRDefault="0095565E" w:rsidP="002055F9">
      <w:pPr>
        <w:pStyle w:val="ListParagraph"/>
        <w:numPr>
          <w:ilvl w:val="0"/>
          <w:numId w:val="6"/>
        </w:numPr>
        <w:spacing w:line="360" w:lineRule="auto"/>
        <w:jc w:val="both"/>
        <w:rPr>
          <w:rFonts w:ascii="Times New Roman" w:hAnsi="Times New Roman" w:cs="Times New Roman"/>
        </w:rPr>
      </w:pPr>
      <w:r w:rsidRPr="0095565E">
        <w:rPr>
          <w:rFonts w:ascii="Times New Roman" w:hAnsi="Times New Roman" w:cs="Times New Roman"/>
        </w:rPr>
        <w:t xml:space="preserve">Ko H, Kim D, Park SH. Homogeneity of dental curing unit beam profile and its effect on microhardness of dental composites with varying thicknesses. </w:t>
      </w:r>
      <w:r w:rsidRPr="0095565E">
        <w:rPr>
          <w:rFonts w:ascii="Times New Roman" w:hAnsi="Times New Roman" w:cs="Times New Roman"/>
          <w:i/>
          <w:iCs/>
        </w:rPr>
        <w:t>Dent Mater.</w:t>
      </w:r>
      <w:r w:rsidRPr="0095565E">
        <w:rPr>
          <w:rFonts w:ascii="Times New Roman" w:hAnsi="Times New Roman" w:cs="Times New Roman"/>
        </w:rPr>
        <w:t xml:space="preserve"> 2022 Aug;38(8</w:t>
      </w:r>
      <w:proofErr w:type="gramStart"/>
      <w:r w:rsidRPr="0095565E">
        <w:rPr>
          <w:rFonts w:ascii="Times New Roman" w:hAnsi="Times New Roman" w:cs="Times New Roman"/>
        </w:rPr>
        <w:t>):e</w:t>
      </w:r>
      <w:proofErr w:type="gramEnd"/>
      <w:r w:rsidRPr="0095565E">
        <w:rPr>
          <w:rFonts w:ascii="Times New Roman" w:hAnsi="Times New Roman" w:cs="Times New Roman"/>
        </w:rPr>
        <w:t xml:space="preserve">231-e243. </w:t>
      </w:r>
    </w:p>
    <w:p w14:paraId="2DADA936" w14:textId="7DC857D2" w:rsidR="007919C4" w:rsidRDefault="007919C4" w:rsidP="002055F9">
      <w:pPr>
        <w:pStyle w:val="ListParagraph"/>
        <w:numPr>
          <w:ilvl w:val="0"/>
          <w:numId w:val="6"/>
        </w:numPr>
        <w:spacing w:line="360" w:lineRule="auto"/>
        <w:jc w:val="both"/>
        <w:rPr>
          <w:rFonts w:ascii="Times New Roman" w:hAnsi="Times New Roman" w:cs="Times New Roman"/>
        </w:rPr>
      </w:pPr>
      <w:r w:rsidRPr="007919C4">
        <w:rPr>
          <w:rFonts w:ascii="Times New Roman" w:hAnsi="Times New Roman" w:cs="Times New Roman"/>
        </w:rPr>
        <w:lastRenderedPageBreak/>
        <w:t xml:space="preserve">Nitta K. Effect of light guide tip diameter of LED-light curing unit on polymerization of light-cured composites. </w:t>
      </w:r>
      <w:r w:rsidRPr="007919C4">
        <w:rPr>
          <w:rFonts w:ascii="Times New Roman" w:hAnsi="Times New Roman" w:cs="Times New Roman"/>
          <w:i/>
          <w:iCs/>
        </w:rPr>
        <w:t>Dent Mater.</w:t>
      </w:r>
      <w:r w:rsidRPr="007919C4">
        <w:rPr>
          <w:rFonts w:ascii="Times New Roman" w:hAnsi="Times New Roman" w:cs="Times New Roman"/>
        </w:rPr>
        <w:t xml:space="preserve"> 2005 Mar;21(3):217-23.</w:t>
      </w:r>
    </w:p>
    <w:p w14:paraId="09BF7556" w14:textId="29F16B49" w:rsidR="007919C4" w:rsidRDefault="007919C4" w:rsidP="002055F9">
      <w:pPr>
        <w:pStyle w:val="ListParagraph"/>
        <w:numPr>
          <w:ilvl w:val="0"/>
          <w:numId w:val="6"/>
        </w:numPr>
        <w:spacing w:line="360" w:lineRule="auto"/>
        <w:jc w:val="both"/>
        <w:rPr>
          <w:rFonts w:ascii="Times New Roman" w:hAnsi="Times New Roman" w:cs="Times New Roman"/>
        </w:rPr>
      </w:pPr>
      <w:r w:rsidRPr="007919C4">
        <w:rPr>
          <w:rFonts w:ascii="Times New Roman" w:hAnsi="Times New Roman" w:cs="Times New Roman"/>
        </w:rPr>
        <w:t xml:space="preserve">Segal P, </w:t>
      </w:r>
      <w:proofErr w:type="spellStart"/>
      <w:r w:rsidRPr="007919C4">
        <w:rPr>
          <w:rFonts w:ascii="Times New Roman" w:hAnsi="Times New Roman" w:cs="Times New Roman"/>
        </w:rPr>
        <w:t>Lugassy</w:t>
      </w:r>
      <w:proofErr w:type="spellEnd"/>
      <w:r w:rsidRPr="007919C4">
        <w:rPr>
          <w:rFonts w:ascii="Times New Roman" w:hAnsi="Times New Roman" w:cs="Times New Roman"/>
        </w:rPr>
        <w:t xml:space="preserve"> D, </w:t>
      </w:r>
      <w:proofErr w:type="spellStart"/>
      <w:r w:rsidRPr="007919C4">
        <w:rPr>
          <w:rFonts w:ascii="Times New Roman" w:hAnsi="Times New Roman" w:cs="Times New Roman"/>
        </w:rPr>
        <w:t>Mijiritsky</w:t>
      </w:r>
      <w:proofErr w:type="spellEnd"/>
      <w:r w:rsidRPr="007919C4">
        <w:rPr>
          <w:rFonts w:ascii="Times New Roman" w:hAnsi="Times New Roman" w:cs="Times New Roman"/>
        </w:rPr>
        <w:t xml:space="preserve"> E, </w:t>
      </w:r>
      <w:proofErr w:type="spellStart"/>
      <w:r w:rsidRPr="007919C4">
        <w:rPr>
          <w:rFonts w:ascii="Times New Roman" w:hAnsi="Times New Roman" w:cs="Times New Roman"/>
        </w:rPr>
        <w:t>Dekel</w:t>
      </w:r>
      <w:proofErr w:type="spellEnd"/>
      <w:r w:rsidRPr="007919C4">
        <w:rPr>
          <w:rFonts w:ascii="Times New Roman" w:hAnsi="Times New Roman" w:cs="Times New Roman"/>
        </w:rPr>
        <w:t xml:space="preserve"> M, Ben-Amar A, </w:t>
      </w:r>
      <w:proofErr w:type="spellStart"/>
      <w:r w:rsidRPr="007919C4">
        <w:rPr>
          <w:rFonts w:ascii="Times New Roman" w:hAnsi="Times New Roman" w:cs="Times New Roman"/>
        </w:rPr>
        <w:t>Ormianer</w:t>
      </w:r>
      <w:proofErr w:type="spellEnd"/>
      <w:r w:rsidRPr="007919C4">
        <w:rPr>
          <w:rFonts w:ascii="Times New Roman" w:hAnsi="Times New Roman" w:cs="Times New Roman"/>
        </w:rPr>
        <w:t xml:space="preserve"> Z, </w:t>
      </w:r>
      <w:proofErr w:type="spellStart"/>
      <w:r w:rsidRPr="007919C4">
        <w:rPr>
          <w:rFonts w:ascii="Times New Roman" w:hAnsi="Times New Roman" w:cs="Times New Roman"/>
        </w:rPr>
        <w:t>Matalon</w:t>
      </w:r>
      <w:proofErr w:type="spellEnd"/>
      <w:r w:rsidRPr="007919C4">
        <w:rPr>
          <w:rFonts w:ascii="Times New Roman" w:hAnsi="Times New Roman" w:cs="Times New Roman"/>
        </w:rPr>
        <w:t xml:space="preserve"> S. The effect of the light intensity and light distances of LED and QTH curing devices on the hardness of two light-cured nano-resin composites. </w:t>
      </w:r>
      <w:r w:rsidRPr="007919C4">
        <w:rPr>
          <w:rFonts w:ascii="Times New Roman" w:hAnsi="Times New Roman" w:cs="Times New Roman"/>
          <w:i/>
          <w:iCs/>
        </w:rPr>
        <w:t>Mater Sci Appl.</w:t>
      </w:r>
      <w:r w:rsidRPr="007919C4">
        <w:rPr>
          <w:rFonts w:ascii="Times New Roman" w:hAnsi="Times New Roman" w:cs="Times New Roman"/>
        </w:rPr>
        <w:t xml:space="preserve"> 2015;6(11):1071-1083. </w:t>
      </w:r>
    </w:p>
    <w:p w14:paraId="6FEB4942" w14:textId="6DDB1B9E" w:rsidR="00FF4F13" w:rsidRDefault="00FF4F13" w:rsidP="002055F9">
      <w:pPr>
        <w:pStyle w:val="ListParagraph"/>
        <w:numPr>
          <w:ilvl w:val="0"/>
          <w:numId w:val="6"/>
        </w:numPr>
        <w:spacing w:line="360" w:lineRule="auto"/>
        <w:jc w:val="both"/>
        <w:rPr>
          <w:rFonts w:ascii="Times New Roman" w:hAnsi="Times New Roman" w:cs="Times New Roman"/>
        </w:rPr>
      </w:pPr>
      <w:r w:rsidRPr="00FF4F13">
        <w:rPr>
          <w:rFonts w:ascii="Times New Roman" w:hAnsi="Times New Roman" w:cs="Times New Roman"/>
        </w:rPr>
        <w:t xml:space="preserve">Malhotra S, Kaur R, </w:t>
      </w:r>
      <w:proofErr w:type="spellStart"/>
      <w:r w:rsidRPr="00FF4F13">
        <w:rPr>
          <w:rFonts w:ascii="Times New Roman" w:hAnsi="Times New Roman" w:cs="Times New Roman"/>
        </w:rPr>
        <w:t>Saroa</w:t>
      </w:r>
      <w:proofErr w:type="spellEnd"/>
      <w:r w:rsidRPr="00FF4F13">
        <w:rPr>
          <w:rFonts w:ascii="Times New Roman" w:hAnsi="Times New Roman" w:cs="Times New Roman"/>
        </w:rPr>
        <w:t xml:space="preserve"> PK, Kaur K, Sandhu KK, Thukral V. Effect of curing distance for cure depth in composite resin. </w:t>
      </w:r>
      <w:r w:rsidRPr="00FF4F13">
        <w:rPr>
          <w:rFonts w:ascii="Times New Roman" w:hAnsi="Times New Roman" w:cs="Times New Roman"/>
          <w:i/>
          <w:iCs/>
        </w:rPr>
        <w:t>Bioinformation.</w:t>
      </w:r>
      <w:r w:rsidRPr="00FF4F13">
        <w:rPr>
          <w:rFonts w:ascii="Times New Roman" w:hAnsi="Times New Roman" w:cs="Times New Roman"/>
        </w:rPr>
        <w:t xml:space="preserve"> 2023 Dec 31;19(13):1353-1358. </w:t>
      </w:r>
    </w:p>
    <w:p w14:paraId="25D03135" w14:textId="5DD282A8" w:rsidR="00FF4F13" w:rsidRDefault="00FF4F13" w:rsidP="002055F9">
      <w:pPr>
        <w:pStyle w:val="ListParagraph"/>
        <w:numPr>
          <w:ilvl w:val="0"/>
          <w:numId w:val="6"/>
        </w:numPr>
        <w:spacing w:line="360" w:lineRule="auto"/>
        <w:jc w:val="both"/>
        <w:rPr>
          <w:rFonts w:ascii="Times New Roman" w:hAnsi="Times New Roman" w:cs="Times New Roman"/>
        </w:rPr>
      </w:pPr>
      <w:r w:rsidRPr="00FF4F13">
        <w:rPr>
          <w:rFonts w:ascii="Times New Roman" w:hAnsi="Times New Roman" w:cs="Times New Roman"/>
        </w:rPr>
        <w:t xml:space="preserve">Bin Jabr A, et al. Effect of polymerization time and shade on the depth of cure of nano-hybrid resin composites. </w:t>
      </w:r>
      <w:r w:rsidRPr="00FF4F13">
        <w:rPr>
          <w:rFonts w:ascii="Times New Roman" w:hAnsi="Times New Roman" w:cs="Times New Roman"/>
          <w:i/>
          <w:iCs/>
        </w:rPr>
        <w:t>J Clin Exp Dent.</w:t>
      </w:r>
      <w:r w:rsidRPr="00FF4F13">
        <w:rPr>
          <w:rFonts w:ascii="Times New Roman" w:hAnsi="Times New Roman" w:cs="Times New Roman"/>
        </w:rPr>
        <w:t xml:space="preserve"> 2021 Jun;13(6</w:t>
      </w:r>
      <w:proofErr w:type="gramStart"/>
      <w:r w:rsidRPr="00FF4F13">
        <w:rPr>
          <w:rFonts w:ascii="Times New Roman" w:hAnsi="Times New Roman" w:cs="Times New Roman"/>
        </w:rPr>
        <w:t>):e</w:t>
      </w:r>
      <w:proofErr w:type="gramEnd"/>
      <w:r w:rsidRPr="00FF4F13">
        <w:rPr>
          <w:rFonts w:ascii="Times New Roman" w:hAnsi="Times New Roman" w:cs="Times New Roman"/>
        </w:rPr>
        <w:t>550-e556</w:t>
      </w:r>
    </w:p>
    <w:p w14:paraId="29AE55C0" w14:textId="58DCB31C" w:rsidR="002055F9" w:rsidRDefault="002055F9" w:rsidP="002055F9">
      <w:pPr>
        <w:pStyle w:val="ListParagraph"/>
        <w:numPr>
          <w:ilvl w:val="0"/>
          <w:numId w:val="6"/>
        </w:numPr>
        <w:spacing w:line="360" w:lineRule="auto"/>
        <w:jc w:val="both"/>
        <w:rPr>
          <w:rFonts w:ascii="Times New Roman" w:hAnsi="Times New Roman" w:cs="Times New Roman"/>
        </w:rPr>
      </w:pPr>
      <w:r w:rsidRPr="0041783A">
        <w:rPr>
          <w:rFonts w:ascii="Times New Roman" w:hAnsi="Times New Roman" w:cs="Times New Roman"/>
        </w:rPr>
        <w:t>Harlow JE, Sullivan B, Shortall AC, Labrie D, Price RB. Investigation of irradiance distribution and beam homogeneity in curing lights. Dent Mater. 2020;36(9):1165-73.</w:t>
      </w:r>
    </w:p>
    <w:p w14:paraId="79CF9C56" w14:textId="08B6924C" w:rsidR="002055F9" w:rsidRPr="0041783A" w:rsidRDefault="002055F9" w:rsidP="0041783A">
      <w:pPr>
        <w:pStyle w:val="ListParagraph"/>
        <w:numPr>
          <w:ilvl w:val="0"/>
          <w:numId w:val="6"/>
        </w:numPr>
        <w:spacing w:line="360" w:lineRule="auto"/>
        <w:jc w:val="both"/>
        <w:rPr>
          <w:rFonts w:ascii="Times New Roman" w:hAnsi="Times New Roman" w:cs="Times New Roman"/>
        </w:rPr>
      </w:pPr>
      <w:r w:rsidRPr="002055F9">
        <w:rPr>
          <w:rFonts w:ascii="Times New Roman" w:hAnsi="Times New Roman" w:cs="Times New Roman"/>
        </w:rPr>
        <w:t xml:space="preserve">Al Shaafi MM, et al. Emission characteristics and effect of battery drain in "budget" curing lights. </w:t>
      </w:r>
      <w:r w:rsidRPr="002055F9">
        <w:rPr>
          <w:rFonts w:ascii="Times New Roman" w:hAnsi="Times New Roman" w:cs="Times New Roman"/>
          <w:i/>
          <w:iCs/>
        </w:rPr>
        <w:t>Oper Dent.</w:t>
      </w:r>
      <w:r w:rsidRPr="002055F9">
        <w:rPr>
          <w:rFonts w:ascii="Times New Roman" w:hAnsi="Times New Roman" w:cs="Times New Roman"/>
        </w:rPr>
        <w:t xml:space="preserve"> 2015;40(5):501-9.</w:t>
      </w:r>
    </w:p>
    <w:p w14:paraId="4B669DF0" w14:textId="77777777" w:rsidR="002055F9" w:rsidRDefault="002055F9" w:rsidP="0041783A">
      <w:pPr>
        <w:pStyle w:val="ListParagraph"/>
        <w:numPr>
          <w:ilvl w:val="0"/>
          <w:numId w:val="6"/>
        </w:numPr>
        <w:spacing w:line="360" w:lineRule="auto"/>
        <w:jc w:val="both"/>
        <w:rPr>
          <w:rFonts w:ascii="Times New Roman" w:hAnsi="Times New Roman" w:cs="Times New Roman"/>
        </w:rPr>
      </w:pPr>
      <w:r w:rsidRPr="002055F9">
        <w:rPr>
          <w:rFonts w:ascii="Times New Roman" w:hAnsi="Times New Roman" w:cs="Times New Roman"/>
        </w:rPr>
        <w:t xml:space="preserve">Kowalska A, Sokolowski J, </w:t>
      </w:r>
      <w:proofErr w:type="spellStart"/>
      <w:r w:rsidRPr="002055F9">
        <w:rPr>
          <w:rFonts w:ascii="Times New Roman" w:hAnsi="Times New Roman" w:cs="Times New Roman"/>
        </w:rPr>
        <w:t>Bociong</w:t>
      </w:r>
      <w:proofErr w:type="spellEnd"/>
      <w:r w:rsidRPr="002055F9">
        <w:rPr>
          <w:rFonts w:ascii="Times New Roman" w:hAnsi="Times New Roman" w:cs="Times New Roman"/>
        </w:rPr>
        <w:t xml:space="preserve"> K. The </w:t>
      </w:r>
      <w:proofErr w:type="spellStart"/>
      <w:r w:rsidRPr="002055F9">
        <w:rPr>
          <w:rFonts w:ascii="Times New Roman" w:hAnsi="Times New Roman" w:cs="Times New Roman"/>
        </w:rPr>
        <w:t>photoinitiators</w:t>
      </w:r>
      <w:proofErr w:type="spellEnd"/>
      <w:r w:rsidRPr="002055F9">
        <w:rPr>
          <w:rFonts w:ascii="Times New Roman" w:hAnsi="Times New Roman" w:cs="Times New Roman"/>
        </w:rPr>
        <w:t xml:space="preserve"> used in resin-based dental composites—A review and future perspectives. </w:t>
      </w:r>
      <w:r w:rsidRPr="002055F9">
        <w:rPr>
          <w:rFonts w:ascii="Times New Roman" w:hAnsi="Times New Roman" w:cs="Times New Roman"/>
          <w:i/>
          <w:iCs/>
        </w:rPr>
        <w:t>Polymers.</w:t>
      </w:r>
      <w:r w:rsidRPr="002055F9">
        <w:rPr>
          <w:rFonts w:ascii="Times New Roman" w:hAnsi="Times New Roman" w:cs="Times New Roman"/>
        </w:rPr>
        <w:t xml:space="preserve"> 2021;13(3):470.</w:t>
      </w:r>
    </w:p>
    <w:p w14:paraId="290B2AE7" w14:textId="77777777" w:rsidR="002055F9" w:rsidRDefault="002055F9" w:rsidP="0041783A">
      <w:pPr>
        <w:pStyle w:val="ListParagraph"/>
        <w:numPr>
          <w:ilvl w:val="0"/>
          <w:numId w:val="6"/>
        </w:numPr>
        <w:spacing w:line="360" w:lineRule="auto"/>
        <w:jc w:val="both"/>
        <w:rPr>
          <w:rFonts w:ascii="Times New Roman" w:hAnsi="Times New Roman" w:cs="Times New Roman"/>
        </w:rPr>
      </w:pPr>
      <w:r w:rsidRPr="002055F9">
        <w:rPr>
          <w:rFonts w:ascii="Times New Roman" w:hAnsi="Times New Roman" w:cs="Times New Roman"/>
        </w:rPr>
        <w:t xml:space="preserve">Marović D, </w:t>
      </w:r>
      <w:proofErr w:type="spellStart"/>
      <w:r w:rsidRPr="002055F9">
        <w:rPr>
          <w:rFonts w:ascii="Times New Roman" w:hAnsi="Times New Roman" w:cs="Times New Roman"/>
        </w:rPr>
        <w:t>Daničić</w:t>
      </w:r>
      <w:proofErr w:type="spellEnd"/>
      <w:r w:rsidRPr="002055F9">
        <w:rPr>
          <w:rFonts w:ascii="Times New Roman" w:hAnsi="Times New Roman" w:cs="Times New Roman"/>
        </w:rPr>
        <w:t xml:space="preserve"> P, </w:t>
      </w:r>
      <w:proofErr w:type="spellStart"/>
      <w:r w:rsidRPr="002055F9">
        <w:rPr>
          <w:rFonts w:ascii="Times New Roman" w:hAnsi="Times New Roman" w:cs="Times New Roman"/>
        </w:rPr>
        <w:t>Bojo</w:t>
      </w:r>
      <w:proofErr w:type="spellEnd"/>
      <w:r w:rsidRPr="002055F9">
        <w:rPr>
          <w:rFonts w:ascii="Times New Roman" w:hAnsi="Times New Roman" w:cs="Times New Roman"/>
        </w:rPr>
        <w:t xml:space="preserve"> G, Par M, </w:t>
      </w:r>
      <w:proofErr w:type="spellStart"/>
      <w:r w:rsidRPr="002055F9">
        <w:rPr>
          <w:rFonts w:ascii="Times New Roman" w:hAnsi="Times New Roman" w:cs="Times New Roman"/>
        </w:rPr>
        <w:t>Tarle</w:t>
      </w:r>
      <w:proofErr w:type="spellEnd"/>
      <w:r w:rsidRPr="002055F9">
        <w:rPr>
          <w:rFonts w:ascii="Times New Roman" w:hAnsi="Times New Roman" w:cs="Times New Roman"/>
        </w:rPr>
        <w:t xml:space="preserve"> Z. </w:t>
      </w:r>
      <w:proofErr w:type="spellStart"/>
      <w:r w:rsidRPr="002055F9">
        <w:rPr>
          <w:rFonts w:ascii="Times New Roman" w:hAnsi="Times New Roman" w:cs="Times New Roman"/>
        </w:rPr>
        <w:t>Monowave</w:t>
      </w:r>
      <w:proofErr w:type="spellEnd"/>
      <w:r w:rsidRPr="002055F9">
        <w:rPr>
          <w:rFonts w:ascii="Times New Roman" w:hAnsi="Times New Roman" w:cs="Times New Roman"/>
        </w:rPr>
        <w:t xml:space="preserve"> vs. </w:t>
      </w:r>
      <w:proofErr w:type="spellStart"/>
      <w:r w:rsidRPr="002055F9">
        <w:rPr>
          <w:rFonts w:ascii="Times New Roman" w:hAnsi="Times New Roman" w:cs="Times New Roman"/>
        </w:rPr>
        <w:t>Polywave</w:t>
      </w:r>
      <w:proofErr w:type="spellEnd"/>
      <w:r w:rsidRPr="002055F9">
        <w:rPr>
          <w:rFonts w:ascii="Times New Roman" w:hAnsi="Times New Roman" w:cs="Times New Roman"/>
        </w:rPr>
        <w:t xml:space="preserve"> light-curing units: Effect on light transmission of composite without alternative </w:t>
      </w:r>
      <w:proofErr w:type="spellStart"/>
      <w:r w:rsidRPr="002055F9">
        <w:rPr>
          <w:rFonts w:ascii="Times New Roman" w:hAnsi="Times New Roman" w:cs="Times New Roman"/>
        </w:rPr>
        <w:t>photoinitiators</w:t>
      </w:r>
      <w:proofErr w:type="spellEnd"/>
      <w:r w:rsidRPr="002055F9">
        <w:rPr>
          <w:rFonts w:ascii="Times New Roman" w:hAnsi="Times New Roman" w:cs="Times New Roman"/>
        </w:rPr>
        <w:t xml:space="preserve">. Acta </w:t>
      </w:r>
      <w:proofErr w:type="spellStart"/>
      <w:r w:rsidRPr="002055F9">
        <w:rPr>
          <w:rFonts w:ascii="Times New Roman" w:hAnsi="Times New Roman" w:cs="Times New Roman"/>
        </w:rPr>
        <w:t>Stomatol</w:t>
      </w:r>
      <w:proofErr w:type="spellEnd"/>
      <w:r w:rsidRPr="002055F9">
        <w:rPr>
          <w:rFonts w:ascii="Times New Roman" w:hAnsi="Times New Roman" w:cs="Times New Roman"/>
        </w:rPr>
        <w:t xml:space="preserve"> Croat. 2024 Mar;58(1):30-8.</w:t>
      </w:r>
    </w:p>
    <w:p w14:paraId="7F7ABE56" w14:textId="02C70B5A" w:rsidR="00643D8F" w:rsidRDefault="00643D8F" w:rsidP="0041783A">
      <w:pPr>
        <w:pStyle w:val="ListParagraph"/>
        <w:numPr>
          <w:ilvl w:val="0"/>
          <w:numId w:val="6"/>
        </w:numPr>
        <w:spacing w:line="360" w:lineRule="auto"/>
        <w:jc w:val="both"/>
        <w:rPr>
          <w:rFonts w:ascii="Times New Roman" w:hAnsi="Times New Roman" w:cs="Times New Roman"/>
        </w:rPr>
      </w:pPr>
      <w:r w:rsidRPr="00643D8F">
        <w:rPr>
          <w:rFonts w:ascii="Times New Roman" w:hAnsi="Times New Roman" w:cs="Times New Roman"/>
        </w:rPr>
        <w:t xml:space="preserve">Varshney I, Jha P, Nikhil V. Effect of </w:t>
      </w:r>
      <w:proofErr w:type="spellStart"/>
      <w:r w:rsidRPr="00643D8F">
        <w:rPr>
          <w:rFonts w:ascii="Times New Roman" w:hAnsi="Times New Roman" w:cs="Times New Roman"/>
        </w:rPr>
        <w:t>monowave</w:t>
      </w:r>
      <w:proofErr w:type="spellEnd"/>
      <w:r w:rsidRPr="00643D8F">
        <w:rPr>
          <w:rFonts w:ascii="Times New Roman" w:hAnsi="Times New Roman" w:cs="Times New Roman"/>
        </w:rPr>
        <w:t xml:space="preserve"> and </w:t>
      </w:r>
      <w:proofErr w:type="spellStart"/>
      <w:r w:rsidRPr="00643D8F">
        <w:rPr>
          <w:rFonts w:ascii="Times New Roman" w:hAnsi="Times New Roman" w:cs="Times New Roman"/>
        </w:rPr>
        <w:t>polywave</w:t>
      </w:r>
      <w:proofErr w:type="spellEnd"/>
      <w:r w:rsidRPr="00643D8F">
        <w:rPr>
          <w:rFonts w:ascii="Times New Roman" w:hAnsi="Times New Roman" w:cs="Times New Roman"/>
        </w:rPr>
        <w:t xml:space="preserve"> light curing on the degree of conversion and microhardness of composites with different </w:t>
      </w:r>
      <w:proofErr w:type="spellStart"/>
      <w:r w:rsidRPr="00643D8F">
        <w:rPr>
          <w:rFonts w:ascii="Times New Roman" w:hAnsi="Times New Roman" w:cs="Times New Roman"/>
        </w:rPr>
        <w:t>photoinitiators</w:t>
      </w:r>
      <w:proofErr w:type="spellEnd"/>
      <w:r w:rsidRPr="00643D8F">
        <w:rPr>
          <w:rFonts w:ascii="Times New Roman" w:hAnsi="Times New Roman" w:cs="Times New Roman"/>
        </w:rPr>
        <w:t xml:space="preserve">: An in vitro study. </w:t>
      </w:r>
      <w:r w:rsidRPr="00643D8F">
        <w:rPr>
          <w:rFonts w:ascii="Times New Roman" w:hAnsi="Times New Roman" w:cs="Times New Roman"/>
          <w:i/>
          <w:iCs/>
        </w:rPr>
        <w:t xml:space="preserve">J </w:t>
      </w:r>
      <w:proofErr w:type="spellStart"/>
      <w:r w:rsidRPr="00643D8F">
        <w:rPr>
          <w:rFonts w:ascii="Times New Roman" w:hAnsi="Times New Roman" w:cs="Times New Roman"/>
          <w:i/>
          <w:iCs/>
        </w:rPr>
        <w:t>Conserv</w:t>
      </w:r>
      <w:proofErr w:type="spellEnd"/>
      <w:r w:rsidRPr="00643D8F">
        <w:rPr>
          <w:rFonts w:ascii="Times New Roman" w:hAnsi="Times New Roman" w:cs="Times New Roman"/>
          <w:i/>
          <w:iCs/>
        </w:rPr>
        <w:t xml:space="preserve"> Dent.</w:t>
      </w:r>
      <w:r w:rsidRPr="00643D8F">
        <w:rPr>
          <w:rFonts w:ascii="Times New Roman" w:hAnsi="Times New Roman" w:cs="Times New Roman"/>
        </w:rPr>
        <w:t xml:space="preserve"> 2022 Nov-Dec;25(6):661-5. </w:t>
      </w:r>
    </w:p>
    <w:p w14:paraId="280A9245" w14:textId="77777777" w:rsidR="00643D8F" w:rsidRDefault="00643D8F" w:rsidP="0041783A">
      <w:pPr>
        <w:pStyle w:val="ListParagraph"/>
        <w:numPr>
          <w:ilvl w:val="0"/>
          <w:numId w:val="6"/>
        </w:numPr>
        <w:spacing w:line="360" w:lineRule="auto"/>
        <w:jc w:val="both"/>
        <w:rPr>
          <w:rFonts w:ascii="Times New Roman" w:hAnsi="Times New Roman" w:cs="Times New Roman"/>
        </w:rPr>
      </w:pPr>
      <w:proofErr w:type="spellStart"/>
      <w:r w:rsidRPr="00643D8F">
        <w:rPr>
          <w:rFonts w:ascii="Times New Roman" w:hAnsi="Times New Roman" w:cs="Times New Roman"/>
        </w:rPr>
        <w:t>Sideridou</w:t>
      </w:r>
      <w:proofErr w:type="spellEnd"/>
      <w:r w:rsidRPr="00643D8F">
        <w:rPr>
          <w:rFonts w:ascii="Times New Roman" w:hAnsi="Times New Roman" w:cs="Times New Roman"/>
        </w:rPr>
        <w:t xml:space="preserve"> I, </w:t>
      </w:r>
      <w:proofErr w:type="spellStart"/>
      <w:r w:rsidRPr="00643D8F">
        <w:rPr>
          <w:rFonts w:ascii="Times New Roman" w:hAnsi="Times New Roman" w:cs="Times New Roman"/>
        </w:rPr>
        <w:t>Achilleos</w:t>
      </w:r>
      <w:proofErr w:type="spellEnd"/>
      <w:r w:rsidRPr="00643D8F">
        <w:rPr>
          <w:rFonts w:ascii="Times New Roman" w:hAnsi="Times New Roman" w:cs="Times New Roman"/>
        </w:rPr>
        <w:t xml:space="preserve"> D. Soft-start and pulse-delay curing modes in reducing polymerization shrinkage stress and improving restoration longevity. </w:t>
      </w:r>
      <w:r w:rsidRPr="00643D8F">
        <w:rPr>
          <w:rFonts w:ascii="Times New Roman" w:hAnsi="Times New Roman" w:cs="Times New Roman"/>
          <w:i/>
          <w:iCs/>
        </w:rPr>
        <w:t>J Dent.</w:t>
      </w:r>
      <w:r w:rsidRPr="00643D8F">
        <w:rPr>
          <w:rFonts w:ascii="Times New Roman" w:hAnsi="Times New Roman" w:cs="Times New Roman"/>
        </w:rPr>
        <w:t xml:space="preserve"> 2016 </w:t>
      </w:r>
      <w:proofErr w:type="gramStart"/>
      <w:r w:rsidRPr="00643D8F">
        <w:rPr>
          <w:rFonts w:ascii="Times New Roman" w:hAnsi="Times New Roman" w:cs="Times New Roman"/>
        </w:rPr>
        <w:t>May;44:1</w:t>
      </w:r>
      <w:proofErr w:type="gramEnd"/>
      <w:r w:rsidRPr="00643D8F">
        <w:rPr>
          <w:rFonts w:ascii="Times New Roman" w:hAnsi="Times New Roman" w:cs="Times New Roman"/>
        </w:rPr>
        <w:t xml:space="preserve">-8. </w:t>
      </w:r>
    </w:p>
    <w:p w14:paraId="119EDC4B" w14:textId="292C6AD1" w:rsidR="00643D8F" w:rsidRDefault="00643D8F" w:rsidP="0041783A">
      <w:pPr>
        <w:pStyle w:val="ListParagraph"/>
        <w:numPr>
          <w:ilvl w:val="0"/>
          <w:numId w:val="6"/>
        </w:numPr>
        <w:spacing w:line="360" w:lineRule="auto"/>
        <w:jc w:val="both"/>
        <w:rPr>
          <w:rFonts w:ascii="Times New Roman" w:hAnsi="Times New Roman" w:cs="Times New Roman"/>
        </w:rPr>
      </w:pPr>
      <w:r w:rsidRPr="00643D8F">
        <w:rPr>
          <w:rFonts w:ascii="Times New Roman" w:hAnsi="Times New Roman" w:cs="Times New Roman"/>
        </w:rPr>
        <w:t xml:space="preserve">Ernst CP, Meyer GR, Müller J, </w:t>
      </w:r>
      <w:proofErr w:type="spellStart"/>
      <w:r w:rsidRPr="00643D8F">
        <w:rPr>
          <w:rFonts w:ascii="Times New Roman" w:hAnsi="Times New Roman" w:cs="Times New Roman"/>
        </w:rPr>
        <w:t>Willershausen</w:t>
      </w:r>
      <w:proofErr w:type="spellEnd"/>
      <w:r w:rsidRPr="00643D8F">
        <w:rPr>
          <w:rFonts w:ascii="Times New Roman" w:hAnsi="Times New Roman" w:cs="Times New Roman"/>
        </w:rPr>
        <w:t xml:space="preserve"> B. Influence of a soft-start polymerization on polymerization shrinkage stress and marginal integrity of adhesive restorations. Dent Mater. 2003 Jul;19(7):567-75.</w:t>
      </w:r>
    </w:p>
    <w:p w14:paraId="3DD963A6" w14:textId="3EF68025" w:rsidR="0041783A" w:rsidRPr="0041783A" w:rsidRDefault="00643D8F" w:rsidP="0041783A">
      <w:pPr>
        <w:pStyle w:val="ListParagraph"/>
        <w:numPr>
          <w:ilvl w:val="0"/>
          <w:numId w:val="6"/>
        </w:numPr>
        <w:spacing w:line="360" w:lineRule="auto"/>
        <w:jc w:val="both"/>
        <w:rPr>
          <w:rFonts w:ascii="Times New Roman" w:hAnsi="Times New Roman" w:cs="Times New Roman"/>
        </w:rPr>
      </w:pPr>
      <w:r w:rsidRPr="00643D8F">
        <w:rPr>
          <w:rFonts w:ascii="Times New Roman" w:hAnsi="Times New Roman" w:cs="Times New Roman"/>
        </w:rPr>
        <w:t xml:space="preserve">Assaf C, Fahd JC, Sabbagh J. Assessing dental light-curing units' output using radiometers: A narrative review. </w:t>
      </w:r>
      <w:r w:rsidRPr="00643D8F">
        <w:rPr>
          <w:rFonts w:ascii="Times New Roman" w:hAnsi="Times New Roman" w:cs="Times New Roman"/>
          <w:i/>
          <w:iCs/>
        </w:rPr>
        <w:t>J Int Soc Prev Community Dent.</w:t>
      </w:r>
      <w:r w:rsidRPr="00643D8F">
        <w:rPr>
          <w:rFonts w:ascii="Times New Roman" w:hAnsi="Times New Roman" w:cs="Times New Roman"/>
        </w:rPr>
        <w:t xml:space="preserve"> 2020 Jan 24;10(1):1-8</w:t>
      </w:r>
      <w:r w:rsidR="0041783A" w:rsidRPr="0041783A">
        <w:rPr>
          <w:rFonts w:ascii="Times New Roman" w:hAnsi="Times New Roman" w:cs="Times New Roman"/>
        </w:rPr>
        <w:t>.</w:t>
      </w:r>
    </w:p>
    <w:p w14:paraId="28A963CC" w14:textId="57D0AC46" w:rsidR="00FD5A08" w:rsidRDefault="0041783A" w:rsidP="0041783A">
      <w:pPr>
        <w:pStyle w:val="ListParagraph"/>
        <w:numPr>
          <w:ilvl w:val="0"/>
          <w:numId w:val="6"/>
        </w:numPr>
        <w:spacing w:line="360" w:lineRule="auto"/>
        <w:jc w:val="both"/>
        <w:rPr>
          <w:rFonts w:ascii="Times New Roman" w:hAnsi="Times New Roman" w:cs="Times New Roman"/>
        </w:rPr>
      </w:pPr>
      <w:proofErr w:type="spellStart"/>
      <w:r w:rsidRPr="0041783A">
        <w:rPr>
          <w:rFonts w:ascii="Times New Roman" w:hAnsi="Times New Roman" w:cs="Times New Roman"/>
        </w:rPr>
        <w:t>Brugnera</w:t>
      </w:r>
      <w:proofErr w:type="spellEnd"/>
      <w:r w:rsidRPr="0041783A">
        <w:rPr>
          <w:rFonts w:ascii="Times New Roman" w:hAnsi="Times New Roman" w:cs="Times New Roman"/>
        </w:rPr>
        <w:t xml:space="preserve"> A Jr, </w:t>
      </w:r>
      <w:proofErr w:type="spellStart"/>
      <w:r w:rsidRPr="0041783A">
        <w:rPr>
          <w:rFonts w:ascii="Times New Roman" w:hAnsi="Times New Roman" w:cs="Times New Roman"/>
        </w:rPr>
        <w:t>Zanin</w:t>
      </w:r>
      <w:proofErr w:type="spellEnd"/>
      <w:r w:rsidRPr="0041783A">
        <w:rPr>
          <w:rFonts w:ascii="Times New Roman" w:hAnsi="Times New Roman" w:cs="Times New Roman"/>
        </w:rPr>
        <w:t xml:space="preserve"> F, Cury-Lopez E. Photopolymerization of dental materials: Light source effectiveness. Braz Oral Res. 2021;</w:t>
      </w:r>
      <w:proofErr w:type="gramStart"/>
      <w:r w:rsidRPr="0041783A">
        <w:rPr>
          <w:rFonts w:ascii="Times New Roman" w:hAnsi="Times New Roman" w:cs="Times New Roman"/>
        </w:rPr>
        <w:t>35:e</w:t>
      </w:r>
      <w:proofErr w:type="gramEnd"/>
      <w:r w:rsidRPr="0041783A">
        <w:rPr>
          <w:rFonts w:ascii="Times New Roman" w:hAnsi="Times New Roman" w:cs="Times New Roman"/>
        </w:rPr>
        <w:t>122</w:t>
      </w:r>
    </w:p>
    <w:p w14:paraId="622C1071" w14:textId="6D390F8D" w:rsidR="0041783A" w:rsidRDefault="00791DF8" w:rsidP="0041783A">
      <w:pPr>
        <w:pStyle w:val="ListParagraph"/>
        <w:numPr>
          <w:ilvl w:val="0"/>
          <w:numId w:val="6"/>
        </w:numPr>
        <w:spacing w:line="360" w:lineRule="auto"/>
        <w:jc w:val="both"/>
        <w:rPr>
          <w:rFonts w:ascii="Times New Roman" w:hAnsi="Times New Roman" w:cs="Times New Roman"/>
        </w:rPr>
      </w:pPr>
      <w:r w:rsidRPr="00791DF8">
        <w:rPr>
          <w:rFonts w:ascii="Times New Roman" w:hAnsi="Times New Roman" w:cs="Times New Roman"/>
        </w:rPr>
        <w:lastRenderedPageBreak/>
        <w:t xml:space="preserve">Moldovan M, </w:t>
      </w:r>
      <w:proofErr w:type="spellStart"/>
      <w:r w:rsidRPr="00791DF8">
        <w:rPr>
          <w:rFonts w:ascii="Times New Roman" w:hAnsi="Times New Roman" w:cs="Times New Roman"/>
        </w:rPr>
        <w:t>Balazsi</w:t>
      </w:r>
      <w:proofErr w:type="spellEnd"/>
      <w:r w:rsidRPr="00791DF8">
        <w:rPr>
          <w:rFonts w:ascii="Times New Roman" w:hAnsi="Times New Roman" w:cs="Times New Roman"/>
        </w:rPr>
        <w:t xml:space="preserve"> R, </w:t>
      </w:r>
      <w:proofErr w:type="spellStart"/>
      <w:r w:rsidRPr="00791DF8">
        <w:rPr>
          <w:rFonts w:ascii="Times New Roman" w:hAnsi="Times New Roman" w:cs="Times New Roman"/>
        </w:rPr>
        <w:t>Soanca</w:t>
      </w:r>
      <w:proofErr w:type="spellEnd"/>
      <w:r w:rsidRPr="00791DF8">
        <w:rPr>
          <w:rFonts w:ascii="Times New Roman" w:hAnsi="Times New Roman" w:cs="Times New Roman"/>
        </w:rPr>
        <w:t xml:space="preserve"> A, Roman A, Sarosi C, Prodan D, </w:t>
      </w:r>
      <w:proofErr w:type="spellStart"/>
      <w:r w:rsidRPr="00791DF8">
        <w:rPr>
          <w:rFonts w:ascii="Times New Roman" w:hAnsi="Times New Roman" w:cs="Times New Roman"/>
        </w:rPr>
        <w:t>Vlassa</w:t>
      </w:r>
      <w:proofErr w:type="spellEnd"/>
      <w:r w:rsidRPr="00791DF8">
        <w:rPr>
          <w:rFonts w:ascii="Times New Roman" w:hAnsi="Times New Roman" w:cs="Times New Roman"/>
        </w:rPr>
        <w:t xml:space="preserve"> M, </w:t>
      </w:r>
      <w:proofErr w:type="spellStart"/>
      <w:r w:rsidRPr="00791DF8">
        <w:rPr>
          <w:rFonts w:ascii="Times New Roman" w:hAnsi="Times New Roman" w:cs="Times New Roman"/>
        </w:rPr>
        <w:t>Cojocaru</w:t>
      </w:r>
      <w:proofErr w:type="spellEnd"/>
      <w:r w:rsidRPr="00791DF8">
        <w:rPr>
          <w:rFonts w:ascii="Times New Roman" w:hAnsi="Times New Roman" w:cs="Times New Roman"/>
        </w:rPr>
        <w:t xml:space="preserve"> I, </w:t>
      </w:r>
      <w:proofErr w:type="spellStart"/>
      <w:r w:rsidRPr="00791DF8">
        <w:rPr>
          <w:rFonts w:ascii="Times New Roman" w:hAnsi="Times New Roman" w:cs="Times New Roman"/>
        </w:rPr>
        <w:t>Saceleanu</w:t>
      </w:r>
      <w:proofErr w:type="spellEnd"/>
      <w:r w:rsidRPr="00791DF8">
        <w:rPr>
          <w:rFonts w:ascii="Times New Roman" w:hAnsi="Times New Roman" w:cs="Times New Roman"/>
        </w:rPr>
        <w:t xml:space="preserve"> V, </w:t>
      </w:r>
      <w:proofErr w:type="spellStart"/>
      <w:r w:rsidRPr="00791DF8">
        <w:rPr>
          <w:rFonts w:ascii="Times New Roman" w:hAnsi="Times New Roman" w:cs="Times New Roman"/>
        </w:rPr>
        <w:t>Cristescu</w:t>
      </w:r>
      <w:proofErr w:type="spellEnd"/>
      <w:r w:rsidRPr="00791DF8">
        <w:rPr>
          <w:rFonts w:ascii="Times New Roman" w:hAnsi="Times New Roman" w:cs="Times New Roman"/>
        </w:rPr>
        <w:t xml:space="preserve"> I. Evaluation of the degree of conversion, residual monomers and mechanical properties of some light-cured dental resin composites. Materials (Basel). 2019 Jun 30;12(13):2109</w:t>
      </w:r>
      <w:r w:rsidR="0041783A" w:rsidRPr="0041783A">
        <w:rPr>
          <w:rFonts w:ascii="Times New Roman" w:hAnsi="Times New Roman" w:cs="Times New Roman"/>
        </w:rPr>
        <w:t>.</w:t>
      </w:r>
    </w:p>
    <w:p w14:paraId="3F321108" w14:textId="5C4F7F93" w:rsidR="0041783A" w:rsidRDefault="00791DF8" w:rsidP="0041783A">
      <w:pPr>
        <w:pStyle w:val="ListParagraph"/>
        <w:numPr>
          <w:ilvl w:val="0"/>
          <w:numId w:val="6"/>
        </w:numPr>
        <w:spacing w:line="360" w:lineRule="auto"/>
        <w:jc w:val="both"/>
        <w:rPr>
          <w:rFonts w:ascii="Times New Roman" w:hAnsi="Times New Roman" w:cs="Times New Roman"/>
        </w:rPr>
      </w:pPr>
      <w:r w:rsidRPr="00791DF8">
        <w:rPr>
          <w:rFonts w:ascii="Times New Roman" w:hAnsi="Times New Roman" w:cs="Times New Roman"/>
        </w:rPr>
        <w:t xml:space="preserve">Cheung GS. Reducing marginal leakage of posterior composite resin restorations: a review of clinical techniques. J </w:t>
      </w:r>
      <w:proofErr w:type="spellStart"/>
      <w:r w:rsidRPr="00791DF8">
        <w:rPr>
          <w:rFonts w:ascii="Times New Roman" w:hAnsi="Times New Roman" w:cs="Times New Roman"/>
        </w:rPr>
        <w:t>Prosthet</w:t>
      </w:r>
      <w:proofErr w:type="spellEnd"/>
      <w:r w:rsidRPr="00791DF8">
        <w:rPr>
          <w:rFonts w:ascii="Times New Roman" w:hAnsi="Times New Roman" w:cs="Times New Roman"/>
        </w:rPr>
        <w:t xml:space="preserve"> Dent. 1990 Mar;63(3):286-8</w:t>
      </w:r>
    </w:p>
    <w:p w14:paraId="3CFAA86A" w14:textId="59C1D303" w:rsidR="00043AD7" w:rsidRDefault="00043AD7" w:rsidP="0041783A">
      <w:pPr>
        <w:pStyle w:val="ListParagraph"/>
        <w:numPr>
          <w:ilvl w:val="0"/>
          <w:numId w:val="6"/>
        </w:numPr>
        <w:spacing w:line="360" w:lineRule="auto"/>
        <w:jc w:val="both"/>
        <w:rPr>
          <w:rFonts w:ascii="Times New Roman" w:hAnsi="Times New Roman" w:cs="Times New Roman"/>
        </w:rPr>
      </w:pPr>
      <w:proofErr w:type="spellStart"/>
      <w:r w:rsidRPr="00043AD7">
        <w:rPr>
          <w:rFonts w:ascii="Times New Roman" w:hAnsi="Times New Roman" w:cs="Times New Roman"/>
        </w:rPr>
        <w:t>Moharamzadeh</w:t>
      </w:r>
      <w:proofErr w:type="spellEnd"/>
      <w:r w:rsidRPr="00043AD7">
        <w:rPr>
          <w:rFonts w:ascii="Times New Roman" w:hAnsi="Times New Roman" w:cs="Times New Roman"/>
        </w:rPr>
        <w:t xml:space="preserve"> K, Brook IM, Van Noort R. Biocompatibility of resin-based dental materials. </w:t>
      </w:r>
      <w:r w:rsidRPr="00043AD7">
        <w:rPr>
          <w:rFonts w:ascii="Times New Roman" w:hAnsi="Times New Roman" w:cs="Times New Roman"/>
          <w:i/>
          <w:iCs/>
        </w:rPr>
        <w:t>Materials (Basel).</w:t>
      </w:r>
      <w:r w:rsidRPr="00043AD7">
        <w:rPr>
          <w:rFonts w:ascii="Times New Roman" w:hAnsi="Times New Roman" w:cs="Times New Roman"/>
        </w:rPr>
        <w:t xml:space="preserve"> 2009 Apr 28;2(2):514-48.</w:t>
      </w:r>
    </w:p>
    <w:p w14:paraId="74CAB6FA" w14:textId="6661FCB9" w:rsidR="0041783A" w:rsidRDefault="00C1314C" w:rsidP="0041783A">
      <w:pPr>
        <w:pStyle w:val="ListParagraph"/>
        <w:numPr>
          <w:ilvl w:val="0"/>
          <w:numId w:val="6"/>
        </w:numPr>
        <w:spacing w:line="360" w:lineRule="auto"/>
        <w:jc w:val="both"/>
        <w:rPr>
          <w:rFonts w:ascii="Times New Roman" w:hAnsi="Times New Roman" w:cs="Times New Roman"/>
        </w:rPr>
      </w:pPr>
      <w:r w:rsidRPr="00C1314C">
        <w:rPr>
          <w:rFonts w:ascii="Times New Roman" w:hAnsi="Times New Roman" w:cs="Times New Roman"/>
        </w:rPr>
        <w:t>Sakaguchi RL, Powers JM. Craig’s Restorative Dental Materials. 14th ed. Philadelphia: Elsevier; 2022.</w:t>
      </w:r>
    </w:p>
    <w:p w14:paraId="3AC5B4FD" w14:textId="77777777" w:rsidR="00C657FA" w:rsidRDefault="00C657FA" w:rsidP="00C1314C">
      <w:pPr>
        <w:pStyle w:val="ListParagraph"/>
        <w:numPr>
          <w:ilvl w:val="0"/>
          <w:numId w:val="6"/>
        </w:numPr>
        <w:spacing w:line="360" w:lineRule="auto"/>
        <w:jc w:val="both"/>
        <w:rPr>
          <w:rFonts w:ascii="Times New Roman" w:hAnsi="Times New Roman" w:cs="Times New Roman"/>
        </w:rPr>
      </w:pPr>
      <w:r w:rsidRPr="00C657FA">
        <w:rPr>
          <w:rFonts w:ascii="Times New Roman" w:hAnsi="Times New Roman" w:cs="Times New Roman"/>
        </w:rPr>
        <w:t xml:space="preserve">Kim RJY, Lee IB, Park SJ. Heat generation during light curing of resin composites and its effects on pulp vitality. </w:t>
      </w:r>
      <w:r w:rsidRPr="00C657FA">
        <w:rPr>
          <w:rFonts w:ascii="Times New Roman" w:hAnsi="Times New Roman" w:cs="Times New Roman"/>
          <w:i/>
          <w:iCs/>
        </w:rPr>
        <w:t xml:space="preserve">J </w:t>
      </w:r>
      <w:proofErr w:type="spellStart"/>
      <w:r w:rsidRPr="00C657FA">
        <w:rPr>
          <w:rFonts w:ascii="Times New Roman" w:hAnsi="Times New Roman" w:cs="Times New Roman"/>
          <w:i/>
          <w:iCs/>
        </w:rPr>
        <w:t>Endod</w:t>
      </w:r>
      <w:proofErr w:type="spellEnd"/>
      <w:r w:rsidRPr="00C657FA">
        <w:rPr>
          <w:rFonts w:ascii="Times New Roman" w:hAnsi="Times New Roman" w:cs="Times New Roman"/>
          <w:i/>
          <w:iCs/>
        </w:rPr>
        <w:t>.</w:t>
      </w:r>
      <w:r w:rsidRPr="00C657FA">
        <w:rPr>
          <w:rFonts w:ascii="Times New Roman" w:hAnsi="Times New Roman" w:cs="Times New Roman"/>
        </w:rPr>
        <w:t xml:space="preserve"> 2022;48(3):322-9.</w:t>
      </w:r>
    </w:p>
    <w:p w14:paraId="74FFBC37" w14:textId="06D1D42F" w:rsidR="00C1314C" w:rsidRPr="00C1314C" w:rsidRDefault="00C1314C" w:rsidP="00C1314C">
      <w:pPr>
        <w:pStyle w:val="ListParagraph"/>
        <w:numPr>
          <w:ilvl w:val="0"/>
          <w:numId w:val="6"/>
        </w:numPr>
        <w:spacing w:line="360" w:lineRule="auto"/>
        <w:jc w:val="both"/>
        <w:rPr>
          <w:rFonts w:ascii="Times New Roman" w:hAnsi="Times New Roman" w:cs="Times New Roman"/>
        </w:rPr>
      </w:pPr>
      <w:proofErr w:type="spellStart"/>
      <w:r w:rsidRPr="00C1314C">
        <w:rPr>
          <w:rFonts w:ascii="Times New Roman" w:hAnsi="Times New Roman" w:cs="Times New Roman"/>
        </w:rPr>
        <w:t>Anusavice</w:t>
      </w:r>
      <w:proofErr w:type="spellEnd"/>
      <w:r w:rsidRPr="00C1314C">
        <w:rPr>
          <w:rFonts w:ascii="Times New Roman" w:hAnsi="Times New Roman" w:cs="Times New Roman"/>
        </w:rPr>
        <w:t xml:space="preserve"> KJ, Shen C, Rawls HR. Phillips' Science of Dental Materials. 13th ed. St. Louis: Elsevier; 2022.</w:t>
      </w:r>
    </w:p>
    <w:p w14:paraId="11E47967" w14:textId="77777777" w:rsidR="00C1314C" w:rsidRPr="00C1314C" w:rsidRDefault="00C1314C" w:rsidP="00C1314C">
      <w:pPr>
        <w:pStyle w:val="ListParagraph"/>
        <w:numPr>
          <w:ilvl w:val="0"/>
          <w:numId w:val="6"/>
        </w:numPr>
        <w:spacing w:line="360" w:lineRule="auto"/>
        <w:jc w:val="both"/>
        <w:rPr>
          <w:rFonts w:ascii="Times New Roman" w:hAnsi="Times New Roman" w:cs="Times New Roman"/>
        </w:rPr>
      </w:pPr>
      <w:r w:rsidRPr="00C1314C">
        <w:rPr>
          <w:rFonts w:ascii="Times New Roman" w:hAnsi="Times New Roman" w:cs="Times New Roman"/>
        </w:rPr>
        <w:t>Ferracane JL. Materials in Dentistry: Principles and Applications. 3rd ed. Philadelphia: Lippincott Williams &amp; Wilkins; 2019.</w:t>
      </w:r>
    </w:p>
    <w:p w14:paraId="589F2A51" w14:textId="6D030B8D" w:rsidR="00C1314C" w:rsidRDefault="00C1314C" w:rsidP="0041783A">
      <w:pPr>
        <w:pStyle w:val="ListParagraph"/>
        <w:numPr>
          <w:ilvl w:val="0"/>
          <w:numId w:val="6"/>
        </w:numPr>
        <w:spacing w:line="360" w:lineRule="auto"/>
        <w:jc w:val="both"/>
        <w:rPr>
          <w:rFonts w:ascii="Times New Roman" w:hAnsi="Times New Roman" w:cs="Times New Roman"/>
        </w:rPr>
      </w:pPr>
      <w:r w:rsidRPr="00C1314C">
        <w:rPr>
          <w:rFonts w:ascii="Times New Roman" w:hAnsi="Times New Roman" w:cs="Times New Roman"/>
        </w:rPr>
        <w:t xml:space="preserve">Price RB, Shortall AC, Palin WM. Effect of infection control barriers on the light output from a multi-emitter LED curing light. J Dent. </w:t>
      </w:r>
      <w:proofErr w:type="gramStart"/>
      <w:r w:rsidRPr="00C1314C">
        <w:rPr>
          <w:rFonts w:ascii="Times New Roman" w:hAnsi="Times New Roman" w:cs="Times New Roman"/>
        </w:rPr>
        <w:t>2020;100:103437</w:t>
      </w:r>
      <w:proofErr w:type="gramEnd"/>
      <w:r w:rsidRPr="00C1314C">
        <w:rPr>
          <w:rFonts w:ascii="Times New Roman" w:hAnsi="Times New Roman" w:cs="Times New Roman"/>
        </w:rPr>
        <w:t>.</w:t>
      </w:r>
    </w:p>
    <w:p w14:paraId="5ED405C6" w14:textId="1D08D792" w:rsidR="00C1314C" w:rsidRPr="00671F63" w:rsidRDefault="00C1314C" w:rsidP="0041783A">
      <w:pPr>
        <w:pStyle w:val="ListParagraph"/>
        <w:numPr>
          <w:ilvl w:val="0"/>
          <w:numId w:val="6"/>
        </w:numPr>
        <w:spacing w:line="360" w:lineRule="auto"/>
        <w:jc w:val="both"/>
        <w:rPr>
          <w:rFonts w:ascii="Times New Roman" w:hAnsi="Times New Roman" w:cs="Times New Roman"/>
        </w:rPr>
      </w:pPr>
      <w:proofErr w:type="spellStart"/>
      <w:r w:rsidRPr="00C1314C">
        <w:rPr>
          <w:rFonts w:ascii="Times New Roman" w:hAnsi="Times New Roman" w:cs="Times New Roman"/>
        </w:rPr>
        <w:t>Rueggeberg</w:t>
      </w:r>
      <w:proofErr w:type="spellEnd"/>
      <w:r w:rsidRPr="00C1314C">
        <w:rPr>
          <w:rFonts w:ascii="Times New Roman" w:hAnsi="Times New Roman" w:cs="Times New Roman"/>
        </w:rPr>
        <w:t xml:space="preserve"> FA, Giannini M, </w:t>
      </w:r>
      <w:proofErr w:type="spellStart"/>
      <w:r w:rsidRPr="00C1314C">
        <w:rPr>
          <w:rFonts w:ascii="Times New Roman" w:hAnsi="Times New Roman" w:cs="Times New Roman"/>
        </w:rPr>
        <w:t>Arrais</w:t>
      </w:r>
      <w:proofErr w:type="spellEnd"/>
      <w:r w:rsidRPr="00C1314C">
        <w:rPr>
          <w:rFonts w:ascii="Times New Roman" w:hAnsi="Times New Roman" w:cs="Times New Roman"/>
        </w:rPr>
        <w:t xml:space="preserve"> CA, Price RB. Light curing barriers and light types affect radiant exposure and composite conversion. Oper Dent. 2015;40(6):697-708.</w:t>
      </w:r>
    </w:p>
    <w:sectPr w:rsidR="00C1314C" w:rsidRPr="00671F6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D06D4" w14:textId="77777777" w:rsidR="00E37572" w:rsidRDefault="00E37572" w:rsidP="007E5403">
      <w:pPr>
        <w:spacing w:after="0" w:line="240" w:lineRule="auto"/>
      </w:pPr>
      <w:r>
        <w:separator/>
      </w:r>
    </w:p>
  </w:endnote>
  <w:endnote w:type="continuationSeparator" w:id="0">
    <w:p w14:paraId="23A5737B" w14:textId="77777777" w:rsidR="00E37572" w:rsidRDefault="00E37572" w:rsidP="007E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F906D" w14:textId="77777777" w:rsidR="007E5403" w:rsidRDefault="007E5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B3D0C" w14:textId="77777777" w:rsidR="007E5403" w:rsidRDefault="007E54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11EA" w14:textId="77777777" w:rsidR="007E5403" w:rsidRDefault="007E5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C416" w14:textId="77777777" w:rsidR="00E37572" w:rsidRDefault="00E37572" w:rsidP="007E5403">
      <w:pPr>
        <w:spacing w:after="0" w:line="240" w:lineRule="auto"/>
      </w:pPr>
      <w:r>
        <w:separator/>
      </w:r>
    </w:p>
  </w:footnote>
  <w:footnote w:type="continuationSeparator" w:id="0">
    <w:p w14:paraId="58C1FC53" w14:textId="77777777" w:rsidR="00E37572" w:rsidRDefault="00E37572" w:rsidP="007E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020DC" w14:textId="6AF1A4F1" w:rsidR="007E5403" w:rsidRDefault="007E5403">
    <w:pPr>
      <w:pStyle w:val="Header"/>
    </w:pPr>
    <w:r>
      <w:rPr>
        <w:noProof/>
      </w:rPr>
      <w:pict w14:anchorId="008E3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0598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1239" w14:textId="2896A2FE" w:rsidR="007E5403" w:rsidRDefault="007E5403">
    <w:pPr>
      <w:pStyle w:val="Header"/>
    </w:pPr>
    <w:r>
      <w:rPr>
        <w:noProof/>
      </w:rPr>
      <w:pict w14:anchorId="7571C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0598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58F6A" w14:textId="68614826" w:rsidR="007E5403" w:rsidRDefault="007E5403">
    <w:pPr>
      <w:pStyle w:val="Header"/>
    </w:pPr>
    <w:r>
      <w:rPr>
        <w:noProof/>
      </w:rPr>
      <w:pict w14:anchorId="499EB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05984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7116"/>
    <w:multiLevelType w:val="multilevel"/>
    <w:tmpl w:val="3BBAB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B18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4B38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629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2049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C67C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DD6C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B32A5E"/>
    <w:multiLevelType w:val="multilevel"/>
    <w:tmpl w:val="007E517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1EFD0E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0B10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4E021E"/>
    <w:multiLevelType w:val="multilevel"/>
    <w:tmpl w:val="B7722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F5B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D33099"/>
    <w:multiLevelType w:val="multilevel"/>
    <w:tmpl w:val="22940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854F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F456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F57093"/>
    <w:multiLevelType w:val="multilevel"/>
    <w:tmpl w:val="27A416EE"/>
    <w:lvl w:ilvl="0">
      <w:start w:val="2"/>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41A64A92"/>
    <w:multiLevelType w:val="multilevel"/>
    <w:tmpl w:val="3036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691C27"/>
    <w:multiLevelType w:val="multilevel"/>
    <w:tmpl w:val="86AA8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976B5B"/>
    <w:multiLevelType w:val="multilevel"/>
    <w:tmpl w:val="83D0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B093E"/>
    <w:multiLevelType w:val="hybridMultilevel"/>
    <w:tmpl w:val="A30EE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D04E86"/>
    <w:multiLevelType w:val="multilevel"/>
    <w:tmpl w:val="3FF2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7"/>
  </w:num>
  <w:num w:numId="3">
    <w:abstractNumId w:val="12"/>
  </w:num>
  <w:num w:numId="4">
    <w:abstractNumId w:val="16"/>
  </w:num>
  <w:num w:numId="5">
    <w:abstractNumId w:val="10"/>
  </w:num>
  <w:num w:numId="6">
    <w:abstractNumId w:val="19"/>
  </w:num>
  <w:num w:numId="7">
    <w:abstractNumId w:val="20"/>
  </w:num>
  <w:num w:numId="8">
    <w:abstractNumId w:val="7"/>
  </w:num>
  <w:num w:numId="9">
    <w:abstractNumId w:val="15"/>
  </w:num>
  <w:num w:numId="10">
    <w:abstractNumId w:val="0"/>
  </w:num>
  <w:num w:numId="11">
    <w:abstractNumId w:val="3"/>
  </w:num>
  <w:num w:numId="12">
    <w:abstractNumId w:val="6"/>
  </w:num>
  <w:num w:numId="13">
    <w:abstractNumId w:val="5"/>
  </w:num>
  <w:num w:numId="14">
    <w:abstractNumId w:val="4"/>
  </w:num>
  <w:num w:numId="15">
    <w:abstractNumId w:val="2"/>
  </w:num>
  <w:num w:numId="16">
    <w:abstractNumId w:val="9"/>
  </w:num>
  <w:num w:numId="17">
    <w:abstractNumId w:val="11"/>
  </w:num>
  <w:num w:numId="18">
    <w:abstractNumId w:val="14"/>
  </w:num>
  <w:num w:numId="19">
    <w:abstractNumId w:val="8"/>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08"/>
    <w:rsid w:val="00011C74"/>
    <w:rsid w:val="00043AD7"/>
    <w:rsid w:val="000463D0"/>
    <w:rsid w:val="00127A7E"/>
    <w:rsid w:val="002055F9"/>
    <w:rsid w:val="002304C7"/>
    <w:rsid w:val="002C4B50"/>
    <w:rsid w:val="0033293B"/>
    <w:rsid w:val="00393E2F"/>
    <w:rsid w:val="00397DA2"/>
    <w:rsid w:val="0041783A"/>
    <w:rsid w:val="00464CC7"/>
    <w:rsid w:val="00485800"/>
    <w:rsid w:val="00532B8C"/>
    <w:rsid w:val="005D7A29"/>
    <w:rsid w:val="006309A5"/>
    <w:rsid w:val="00643D8F"/>
    <w:rsid w:val="00664008"/>
    <w:rsid w:val="00671F63"/>
    <w:rsid w:val="00691B9C"/>
    <w:rsid w:val="00695D5F"/>
    <w:rsid w:val="00730B7B"/>
    <w:rsid w:val="007919C4"/>
    <w:rsid w:val="00791DF8"/>
    <w:rsid w:val="007E5403"/>
    <w:rsid w:val="00850CB5"/>
    <w:rsid w:val="009005C0"/>
    <w:rsid w:val="00906481"/>
    <w:rsid w:val="0092749E"/>
    <w:rsid w:val="0095565E"/>
    <w:rsid w:val="009E6A3E"/>
    <w:rsid w:val="00A77669"/>
    <w:rsid w:val="00B60F84"/>
    <w:rsid w:val="00B7044F"/>
    <w:rsid w:val="00B85EF5"/>
    <w:rsid w:val="00B9085C"/>
    <w:rsid w:val="00C1314C"/>
    <w:rsid w:val="00C657FA"/>
    <w:rsid w:val="00CE4BCD"/>
    <w:rsid w:val="00D472D9"/>
    <w:rsid w:val="00D57BA9"/>
    <w:rsid w:val="00D7577D"/>
    <w:rsid w:val="00E22EB6"/>
    <w:rsid w:val="00E37572"/>
    <w:rsid w:val="00ED3C31"/>
    <w:rsid w:val="00EF12EC"/>
    <w:rsid w:val="00FD5A08"/>
    <w:rsid w:val="00FD7AA2"/>
    <w:rsid w:val="00FF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2BFC68"/>
  <w15:chartTrackingRefBased/>
  <w15:docId w15:val="{4D265AEE-7462-4784-9601-1A3A3740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5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A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A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A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A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A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A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A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A08"/>
    <w:rPr>
      <w:rFonts w:eastAsiaTheme="majorEastAsia" w:cstheme="majorBidi"/>
      <w:color w:val="272727" w:themeColor="text1" w:themeTint="D8"/>
    </w:rPr>
  </w:style>
  <w:style w:type="paragraph" w:styleId="Title">
    <w:name w:val="Title"/>
    <w:basedOn w:val="Normal"/>
    <w:next w:val="Normal"/>
    <w:link w:val="TitleChar"/>
    <w:uiPriority w:val="10"/>
    <w:qFormat/>
    <w:rsid w:val="00FD5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A08"/>
    <w:pPr>
      <w:spacing w:before="160"/>
      <w:jc w:val="center"/>
    </w:pPr>
    <w:rPr>
      <w:i/>
      <w:iCs/>
      <w:color w:val="404040" w:themeColor="text1" w:themeTint="BF"/>
    </w:rPr>
  </w:style>
  <w:style w:type="character" w:customStyle="1" w:styleId="QuoteChar">
    <w:name w:val="Quote Char"/>
    <w:basedOn w:val="DefaultParagraphFont"/>
    <w:link w:val="Quote"/>
    <w:uiPriority w:val="29"/>
    <w:rsid w:val="00FD5A08"/>
    <w:rPr>
      <w:i/>
      <w:iCs/>
      <w:color w:val="404040" w:themeColor="text1" w:themeTint="BF"/>
    </w:rPr>
  </w:style>
  <w:style w:type="paragraph" w:styleId="ListParagraph">
    <w:name w:val="List Paragraph"/>
    <w:basedOn w:val="Normal"/>
    <w:uiPriority w:val="34"/>
    <w:qFormat/>
    <w:rsid w:val="00FD5A08"/>
    <w:pPr>
      <w:ind w:left="720"/>
      <w:contextualSpacing/>
    </w:pPr>
  </w:style>
  <w:style w:type="character" w:styleId="IntenseEmphasis">
    <w:name w:val="Intense Emphasis"/>
    <w:basedOn w:val="DefaultParagraphFont"/>
    <w:uiPriority w:val="21"/>
    <w:qFormat/>
    <w:rsid w:val="00FD5A08"/>
    <w:rPr>
      <w:i/>
      <w:iCs/>
      <w:color w:val="0F4761" w:themeColor="accent1" w:themeShade="BF"/>
    </w:rPr>
  </w:style>
  <w:style w:type="paragraph" w:styleId="IntenseQuote">
    <w:name w:val="Intense Quote"/>
    <w:basedOn w:val="Normal"/>
    <w:next w:val="Normal"/>
    <w:link w:val="IntenseQuoteChar"/>
    <w:uiPriority w:val="30"/>
    <w:qFormat/>
    <w:rsid w:val="00FD5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A08"/>
    <w:rPr>
      <w:i/>
      <w:iCs/>
      <w:color w:val="0F4761" w:themeColor="accent1" w:themeShade="BF"/>
    </w:rPr>
  </w:style>
  <w:style w:type="character" w:styleId="IntenseReference">
    <w:name w:val="Intense Reference"/>
    <w:basedOn w:val="DefaultParagraphFont"/>
    <w:uiPriority w:val="32"/>
    <w:qFormat/>
    <w:rsid w:val="00FD5A08"/>
    <w:rPr>
      <w:b/>
      <w:bCs/>
      <w:smallCaps/>
      <w:color w:val="0F4761" w:themeColor="accent1" w:themeShade="BF"/>
      <w:spacing w:val="5"/>
    </w:rPr>
  </w:style>
  <w:style w:type="character" w:styleId="Hyperlink">
    <w:name w:val="Hyperlink"/>
    <w:basedOn w:val="DefaultParagraphFont"/>
    <w:uiPriority w:val="99"/>
    <w:unhideWhenUsed/>
    <w:rsid w:val="00A77669"/>
    <w:rPr>
      <w:color w:val="467886" w:themeColor="hyperlink"/>
      <w:u w:val="single"/>
    </w:rPr>
  </w:style>
  <w:style w:type="character" w:styleId="UnresolvedMention">
    <w:name w:val="Unresolved Mention"/>
    <w:basedOn w:val="DefaultParagraphFont"/>
    <w:uiPriority w:val="99"/>
    <w:semiHidden/>
    <w:unhideWhenUsed/>
    <w:rsid w:val="00A77669"/>
    <w:rPr>
      <w:color w:val="605E5C"/>
      <w:shd w:val="clear" w:color="auto" w:fill="E1DFDD"/>
    </w:rPr>
  </w:style>
  <w:style w:type="paragraph" w:styleId="Header">
    <w:name w:val="header"/>
    <w:basedOn w:val="Normal"/>
    <w:link w:val="HeaderChar"/>
    <w:uiPriority w:val="99"/>
    <w:unhideWhenUsed/>
    <w:rsid w:val="007E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403"/>
  </w:style>
  <w:style w:type="paragraph" w:styleId="Footer">
    <w:name w:val="footer"/>
    <w:basedOn w:val="Normal"/>
    <w:link w:val="FooterChar"/>
    <w:uiPriority w:val="99"/>
    <w:unhideWhenUsed/>
    <w:rsid w:val="007E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5169">
      <w:bodyDiv w:val="1"/>
      <w:marLeft w:val="0"/>
      <w:marRight w:val="0"/>
      <w:marTop w:val="0"/>
      <w:marBottom w:val="0"/>
      <w:divBdr>
        <w:top w:val="none" w:sz="0" w:space="0" w:color="auto"/>
        <w:left w:val="none" w:sz="0" w:space="0" w:color="auto"/>
        <w:bottom w:val="none" w:sz="0" w:space="0" w:color="auto"/>
        <w:right w:val="none" w:sz="0" w:space="0" w:color="auto"/>
      </w:divBdr>
    </w:div>
    <w:div w:id="18166915">
      <w:bodyDiv w:val="1"/>
      <w:marLeft w:val="0"/>
      <w:marRight w:val="0"/>
      <w:marTop w:val="0"/>
      <w:marBottom w:val="0"/>
      <w:divBdr>
        <w:top w:val="none" w:sz="0" w:space="0" w:color="auto"/>
        <w:left w:val="none" w:sz="0" w:space="0" w:color="auto"/>
        <w:bottom w:val="none" w:sz="0" w:space="0" w:color="auto"/>
        <w:right w:val="none" w:sz="0" w:space="0" w:color="auto"/>
      </w:divBdr>
    </w:div>
    <w:div w:id="24798950">
      <w:bodyDiv w:val="1"/>
      <w:marLeft w:val="0"/>
      <w:marRight w:val="0"/>
      <w:marTop w:val="0"/>
      <w:marBottom w:val="0"/>
      <w:divBdr>
        <w:top w:val="none" w:sz="0" w:space="0" w:color="auto"/>
        <w:left w:val="none" w:sz="0" w:space="0" w:color="auto"/>
        <w:bottom w:val="none" w:sz="0" w:space="0" w:color="auto"/>
        <w:right w:val="none" w:sz="0" w:space="0" w:color="auto"/>
      </w:divBdr>
    </w:div>
    <w:div w:id="75174560">
      <w:bodyDiv w:val="1"/>
      <w:marLeft w:val="0"/>
      <w:marRight w:val="0"/>
      <w:marTop w:val="0"/>
      <w:marBottom w:val="0"/>
      <w:divBdr>
        <w:top w:val="none" w:sz="0" w:space="0" w:color="auto"/>
        <w:left w:val="none" w:sz="0" w:space="0" w:color="auto"/>
        <w:bottom w:val="none" w:sz="0" w:space="0" w:color="auto"/>
        <w:right w:val="none" w:sz="0" w:space="0" w:color="auto"/>
      </w:divBdr>
    </w:div>
    <w:div w:id="115759415">
      <w:bodyDiv w:val="1"/>
      <w:marLeft w:val="0"/>
      <w:marRight w:val="0"/>
      <w:marTop w:val="0"/>
      <w:marBottom w:val="0"/>
      <w:divBdr>
        <w:top w:val="none" w:sz="0" w:space="0" w:color="auto"/>
        <w:left w:val="none" w:sz="0" w:space="0" w:color="auto"/>
        <w:bottom w:val="none" w:sz="0" w:space="0" w:color="auto"/>
        <w:right w:val="none" w:sz="0" w:space="0" w:color="auto"/>
      </w:divBdr>
    </w:div>
    <w:div w:id="134877791">
      <w:bodyDiv w:val="1"/>
      <w:marLeft w:val="0"/>
      <w:marRight w:val="0"/>
      <w:marTop w:val="0"/>
      <w:marBottom w:val="0"/>
      <w:divBdr>
        <w:top w:val="none" w:sz="0" w:space="0" w:color="auto"/>
        <w:left w:val="none" w:sz="0" w:space="0" w:color="auto"/>
        <w:bottom w:val="none" w:sz="0" w:space="0" w:color="auto"/>
        <w:right w:val="none" w:sz="0" w:space="0" w:color="auto"/>
      </w:divBdr>
    </w:div>
    <w:div w:id="137378082">
      <w:bodyDiv w:val="1"/>
      <w:marLeft w:val="0"/>
      <w:marRight w:val="0"/>
      <w:marTop w:val="0"/>
      <w:marBottom w:val="0"/>
      <w:divBdr>
        <w:top w:val="none" w:sz="0" w:space="0" w:color="auto"/>
        <w:left w:val="none" w:sz="0" w:space="0" w:color="auto"/>
        <w:bottom w:val="none" w:sz="0" w:space="0" w:color="auto"/>
        <w:right w:val="none" w:sz="0" w:space="0" w:color="auto"/>
      </w:divBdr>
    </w:div>
    <w:div w:id="158815422">
      <w:bodyDiv w:val="1"/>
      <w:marLeft w:val="0"/>
      <w:marRight w:val="0"/>
      <w:marTop w:val="0"/>
      <w:marBottom w:val="0"/>
      <w:divBdr>
        <w:top w:val="none" w:sz="0" w:space="0" w:color="auto"/>
        <w:left w:val="none" w:sz="0" w:space="0" w:color="auto"/>
        <w:bottom w:val="none" w:sz="0" w:space="0" w:color="auto"/>
        <w:right w:val="none" w:sz="0" w:space="0" w:color="auto"/>
      </w:divBdr>
    </w:div>
    <w:div w:id="170224847">
      <w:bodyDiv w:val="1"/>
      <w:marLeft w:val="0"/>
      <w:marRight w:val="0"/>
      <w:marTop w:val="0"/>
      <w:marBottom w:val="0"/>
      <w:divBdr>
        <w:top w:val="none" w:sz="0" w:space="0" w:color="auto"/>
        <w:left w:val="none" w:sz="0" w:space="0" w:color="auto"/>
        <w:bottom w:val="none" w:sz="0" w:space="0" w:color="auto"/>
        <w:right w:val="none" w:sz="0" w:space="0" w:color="auto"/>
      </w:divBdr>
    </w:div>
    <w:div w:id="188491454">
      <w:bodyDiv w:val="1"/>
      <w:marLeft w:val="0"/>
      <w:marRight w:val="0"/>
      <w:marTop w:val="0"/>
      <w:marBottom w:val="0"/>
      <w:divBdr>
        <w:top w:val="none" w:sz="0" w:space="0" w:color="auto"/>
        <w:left w:val="none" w:sz="0" w:space="0" w:color="auto"/>
        <w:bottom w:val="none" w:sz="0" w:space="0" w:color="auto"/>
        <w:right w:val="none" w:sz="0" w:space="0" w:color="auto"/>
      </w:divBdr>
    </w:div>
    <w:div w:id="200560724">
      <w:bodyDiv w:val="1"/>
      <w:marLeft w:val="0"/>
      <w:marRight w:val="0"/>
      <w:marTop w:val="0"/>
      <w:marBottom w:val="0"/>
      <w:divBdr>
        <w:top w:val="none" w:sz="0" w:space="0" w:color="auto"/>
        <w:left w:val="none" w:sz="0" w:space="0" w:color="auto"/>
        <w:bottom w:val="none" w:sz="0" w:space="0" w:color="auto"/>
        <w:right w:val="none" w:sz="0" w:space="0" w:color="auto"/>
      </w:divBdr>
    </w:div>
    <w:div w:id="217907314">
      <w:bodyDiv w:val="1"/>
      <w:marLeft w:val="0"/>
      <w:marRight w:val="0"/>
      <w:marTop w:val="0"/>
      <w:marBottom w:val="0"/>
      <w:divBdr>
        <w:top w:val="none" w:sz="0" w:space="0" w:color="auto"/>
        <w:left w:val="none" w:sz="0" w:space="0" w:color="auto"/>
        <w:bottom w:val="none" w:sz="0" w:space="0" w:color="auto"/>
        <w:right w:val="none" w:sz="0" w:space="0" w:color="auto"/>
      </w:divBdr>
    </w:div>
    <w:div w:id="231359230">
      <w:bodyDiv w:val="1"/>
      <w:marLeft w:val="0"/>
      <w:marRight w:val="0"/>
      <w:marTop w:val="0"/>
      <w:marBottom w:val="0"/>
      <w:divBdr>
        <w:top w:val="none" w:sz="0" w:space="0" w:color="auto"/>
        <w:left w:val="none" w:sz="0" w:space="0" w:color="auto"/>
        <w:bottom w:val="none" w:sz="0" w:space="0" w:color="auto"/>
        <w:right w:val="none" w:sz="0" w:space="0" w:color="auto"/>
      </w:divBdr>
    </w:div>
    <w:div w:id="243609804">
      <w:bodyDiv w:val="1"/>
      <w:marLeft w:val="0"/>
      <w:marRight w:val="0"/>
      <w:marTop w:val="0"/>
      <w:marBottom w:val="0"/>
      <w:divBdr>
        <w:top w:val="none" w:sz="0" w:space="0" w:color="auto"/>
        <w:left w:val="none" w:sz="0" w:space="0" w:color="auto"/>
        <w:bottom w:val="none" w:sz="0" w:space="0" w:color="auto"/>
        <w:right w:val="none" w:sz="0" w:space="0" w:color="auto"/>
      </w:divBdr>
    </w:div>
    <w:div w:id="299769134">
      <w:bodyDiv w:val="1"/>
      <w:marLeft w:val="0"/>
      <w:marRight w:val="0"/>
      <w:marTop w:val="0"/>
      <w:marBottom w:val="0"/>
      <w:divBdr>
        <w:top w:val="none" w:sz="0" w:space="0" w:color="auto"/>
        <w:left w:val="none" w:sz="0" w:space="0" w:color="auto"/>
        <w:bottom w:val="none" w:sz="0" w:space="0" w:color="auto"/>
        <w:right w:val="none" w:sz="0" w:space="0" w:color="auto"/>
      </w:divBdr>
    </w:div>
    <w:div w:id="337200149">
      <w:bodyDiv w:val="1"/>
      <w:marLeft w:val="0"/>
      <w:marRight w:val="0"/>
      <w:marTop w:val="0"/>
      <w:marBottom w:val="0"/>
      <w:divBdr>
        <w:top w:val="none" w:sz="0" w:space="0" w:color="auto"/>
        <w:left w:val="none" w:sz="0" w:space="0" w:color="auto"/>
        <w:bottom w:val="none" w:sz="0" w:space="0" w:color="auto"/>
        <w:right w:val="none" w:sz="0" w:space="0" w:color="auto"/>
      </w:divBdr>
    </w:div>
    <w:div w:id="376901274">
      <w:bodyDiv w:val="1"/>
      <w:marLeft w:val="0"/>
      <w:marRight w:val="0"/>
      <w:marTop w:val="0"/>
      <w:marBottom w:val="0"/>
      <w:divBdr>
        <w:top w:val="none" w:sz="0" w:space="0" w:color="auto"/>
        <w:left w:val="none" w:sz="0" w:space="0" w:color="auto"/>
        <w:bottom w:val="none" w:sz="0" w:space="0" w:color="auto"/>
        <w:right w:val="none" w:sz="0" w:space="0" w:color="auto"/>
      </w:divBdr>
    </w:div>
    <w:div w:id="391464956">
      <w:bodyDiv w:val="1"/>
      <w:marLeft w:val="0"/>
      <w:marRight w:val="0"/>
      <w:marTop w:val="0"/>
      <w:marBottom w:val="0"/>
      <w:divBdr>
        <w:top w:val="none" w:sz="0" w:space="0" w:color="auto"/>
        <w:left w:val="none" w:sz="0" w:space="0" w:color="auto"/>
        <w:bottom w:val="none" w:sz="0" w:space="0" w:color="auto"/>
        <w:right w:val="none" w:sz="0" w:space="0" w:color="auto"/>
      </w:divBdr>
    </w:div>
    <w:div w:id="392123277">
      <w:bodyDiv w:val="1"/>
      <w:marLeft w:val="0"/>
      <w:marRight w:val="0"/>
      <w:marTop w:val="0"/>
      <w:marBottom w:val="0"/>
      <w:divBdr>
        <w:top w:val="none" w:sz="0" w:space="0" w:color="auto"/>
        <w:left w:val="none" w:sz="0" w:space="0" w:color="auto"/>
        <w:bottom w:val="none" w:sz="0" w:space="0" w:color="auto"/>
        <w:right w:val="none" w:sz="0" w:space="0" w:color="auto"/>
      </w:divBdr>
    </w:div>
    <w:div w:id="443355269">
      <w:bodyDiv w:val="1"/>
      <w:marLeft w:val="0"/>
      <w:marRight w:val="0"/>
      <w:marTop w:val="0"/>
      <w:marBottom w:val="0"/>
      <w:divBdr>
        <w:top w:val="none" w:sz="0" w:space="0" w:color="auto"/>
        <w:left w:val="none" w:sz="0" w:space="0" w:color="auto"/>
        <w:bottom w:val="none" w:sz="0" w:space="0" w:color="auto"/>
        <w:right w:val="none" w:sz="0" w:space="0" w:color="auto"/>
      </w:divBdr>
    </w:div>
    <w:div w:id="491408758">
      <w:bodyDiv w:val="1"/>
      <w:marLeft w:val="0"/>
      <w:marRight w:val="0"/>
      <w:marTop w:val="0"/>
      <w:marBottom w:val="0"/>
      <w:divBdr>
        <w:top w:val="none" w:sz="0" w:space="0" w:color="auto"/>
        <w:left w:val="none" w:sz="0" w:space="0" w:color="auto"/>
        <w:bottom w:val="none" w:sz="0" w:space="0" w:color="auto"/>
        <w:right w:val="none" w:sz="0" w:space="0" w:color="auto"/>
      </w:divBdr>
    </w:div>
    <w:div w:id="509026856">
      <w:bodyDiv w:val="1"/>
      <w:marLeft w:val="0"/>
      <w:marRight w:val="0"/>
      <w:marTop w:val="0"/>
      <w:marBottom w:val="0"/>
      <w:divBdr>
        <w:top w:val="none" w:sz="0" w:space="0" w:color="auto"/>
        <w:left w:val="none" w:sz="0" w:space="0" w:color="auto"/>
        <w:bottom w:val="none" w:sz="0" w:space="0" w:color="auto"/>
        <w:right w:val="none" w:sz="0" w:space="0" w:color="auto"/>
      </w:divBdr>
    </w:div>
    <w:div w:id="525213432">
      <w:bodyDiv w:val="1"/>
      <w:marLeft w:val="0"/>
      <w:marRight w:val="0"/>
      <w:marTop w:val="0"/>
      <w:marBottom w:val="0"/>
      <w:divBdr>
        <w:top w:val="none" w:sz="0" w:space="0" w:color="auto"/>
        <w:left w:val="none" w:sz="0" w:space="0" w:color="auto"/>
        <w:bottom w:val="none" w:sz="0" w:space="0" w:color="auto"/>
        <w:right w:val="none" w:sz="0" w:space="0" w:color="auto"/>
      </w:divBdr>
    </w:div>
    <w:div w:id="544105578">
      <w:bodyDiv w:val="1"/>
      <w:marLeft w:val="0"/>
      <w:marRight w:val="0"/>
      <w:marTop w:val="0"/>
      <w:marBottom w:val="0"/>
      <w:divBdr>
        <w:top w:val="none" w:sz="0" w:space="0" w:color="auto"/>
        <w:left w:val="none" w:sz="0" w:space="0" w:color="auto"/>
        <w:bottom w:val="none" w:sz="0" w:space="0" w:color="auto"/>
        <w:right w:val="none" w:sz="0" w:space="0" w:color="auto"/>
      </w:divBdr>
    </w:div>
    <w:div w:id="556627824">
      <w:bodyDiv w:val="1"/>
      <w:marLeft w:val="0"/>
      <w:marRight w:val="0"/>
      <w:marTop w:val="0"/>
      <w:marBottom w:val="0"/>
      <w:divBdr>
        <w:top w:val="none" w:sz="0" w:space="0" w:color="auto"/>
        <w:left w:val="none" w:sz="0" w:space="0" w:color="auto"/>
        <w:bottom w:val="none" w:sz="0" w:space="0" w:color="auto"/>
        <w:right w:val="none" w:sz="0" w:space="0" w:color="auto"/>
      </w:divBdr>
    </w:div>
    <w:div w:id="558056217">
      <w:bodyDiv w:val="1"/>
      <w:marLeft w:val="0"/>
      <w:marRight w:val="0"/>
      <w:marTop w:val="0"/>
      <w:marBottom w:val="0"/>
      <w:divBdr>
        <w:top w:val="none" w:sz="0" w:space="0" w:color="auto"/>
        <w:left w:val="none" w:sz="0" w:space="0" w:color="auto"/>
        <w:bottom w:val="none" w:sz="0" w:space="0" w:color="auto"/>
        <w:right w:val="none" w:sz="0" w:space="0" w:color="auto"/>
      </w:divBdr>
    </w:div>
    <w:div w:id="582111213">
      <w:bodyDiv w:val="1"/>
      <w:marLeft w:val="0"/>
      <w:marRight w:val="0"/>
      <w:marTop w:val="0"/>
      <w:marBottom w:val="0"/>
      <w:divBdr>
        <w:top w:val="none" w:sz="0" w:space="0" w:color="auto"/>
        <w:left w:val="none" w:sz="0" w:space="0" w:color="auto"/>
        <w:bottom w:val="none" w:sz="0" w:space="0" w:color="auto"/>
        <w:right w:val="none" w:sz="0" w:space="0" w:color="auto"/>
      </w:divBdr>
    </w:div>
    <w:div w:id="622881231">
      <w:bodyDiv w:val="1"/>
      <w:marLeft w:val="0"/>
      <w:marRight w:val="0"/>
      <w:marTop w:val="0"/>
      <w:marBottom w:val="0"/>
      <w:divBdr>
        <w:top w:val="none" w:sz="0" w:space="0" w:color="auto"/>
        <w:left w:val="none" w:sz="0" w:space="0" w:color="auto"/>
        <w:bottom w:val="none" w:sz="0" w:space="0" w:color="auto"/>
        <w:right w:val="none" w:sz="0" w:space="0" w:color="auto"/>
      </w:divBdr>
    </w:div>
    <w:div w:id="666902298">
      <w:bodyDiv w:val="1"/>
      <w:marLeft w:val="0"/>
      <w:marRight w:val="0"/>
      <w:marTop w:val="0"/>
      <w:marBottom w:val="0"/>
      <w:divBdr>
        <w:top w:val="none" w:sz="0" w:space="0" w:color="auto"/>
        <w:left w:val="none" w:sz="0" w:space="0" w:color="auto"/>
        <w:bottom w:val="none" w:sz="0" w:space="0" w:color="auto"/>
        <w:right w:val="none" w:sz="0" w:space="0" w:color="auto"/>
      </w:divBdr>
    </w:div>
    <w:div w:id="670642998">
      <w:bodyDiv w:val="1"/>
      <w:marLeft w:val="0"/>
      <w:marRight w:val="0"/>
      <w:marTop w:val="0"/>
      <w:marBottom w:val="0"/>
      <w:divBdr>
        <w:top w:val="none" w:sz="0" w:space="0" w:color="auto"/>
        <w:left w:val="none" w:sz="0" w:space="0" w:color="auto"/>
        <w:bottom w:val="none" w:sz="0" w:space="0" w:color="auto"/>
        <w:right w:val="none" w:sz="0" w:space="0" w:color="auto"/>
      </w:divBdr>
    </w:div>
    <w:div w:id="680396127">
      <w:bodyDiv w:val="1"/>
      <w:marLeft w:val="0"/>
      <w:marRight w:val="0"/>
      <w:marTop w:val="0"/>
      <w:marBottom w:val="0"/>
      <w:divBdr>
        <w:top w:val="none" w:sz="0" w:space="0" w:color="auto"/>
        <w:left w:val="none" w:sz="0" w:space="0" w:color="auto"/>
        <w:bottom w:val="none" w:sz="0" w:space="0" w:color="auto"/>
        <w:right w:val="none" w:sz="0" w:space="0" w:color="auto"/>
      </w:divBdr>
    </w:div>
    <w:div w:id="688920361">
      <w:bodyDiv w:val="1"/>
      <w:marLeft w:val="0"/>
      <w:marRight w:val="0"/>
      <w:marTop w:val="0"/>
      <w:marBottom w:val="0"/>
      <w:divBdr>
        <w:top w:val="none" w:sz="0" w:space="0" w:color="auto"/>
        <w:left w:val="none" w:sz="0" w:space="0" w:color="auto"/>
        <w:bottom w:val="none" w:sz="0" w:space="0" w:color="auto"/>
        <w:right w:val="none" w:sz="0" w:space="0" w:color="auto"/>
      </w:divBdr>
    </w:div>
    <w:div w:id="691762739">
      <w:bodyDiv w:val="1"/>
      <w:marLeft w:val="0"/>
      <w:marRight w:val="0"/>
      <w:marTop w:val="0"/>
      <w:marBottom w:val="0"/>
      <w:divBdr>
        <w:top w:val="none" w:sz="0" w:space="0" w:color="auto"/>
        <w:left w:val="none" w:sz="0" w:space="0" w:color="auto"/>
        <w:bottom w:val="none" w:sz="0" w:space="0" w:color="auto"/>
        <w:right w:val="none" w:sz="0" w:space="0" w:color="auto"/>
      </w:divBdr>
    </w:div>
    <w:div w:id="730544812">
      <w:bodyDiv w:val="1"/>
      <w:marLeft w:val="0"/>
      <w:marRight w:val="0"/>
      <w:marTop w:val="0"/>
      <w:marBottom w:val="0"/>
      <w:divBdr>
        <w:top w:val="none" w:sz="0" w:space="0" w:color="auto"/>
        <w:left w:val="none" w:sz="0" w:space="0" w:color="auto"/>
        <w:bottom w:val="none" w:sz="0" w:space="0" w:color="auto"/>
        <w:right w:val="none" w:sz="0" w:space="0" w:color="auto"/>
      </w:divBdr>
    </w:div>
    <w:div w:id="733428575">
      <w:bodyDiv w:val="1"/>
      <w:marLeft w:val="0"/>
      <w:marRight w:val="0"/>
      <w:marTop w:val="0"/>
      <w:marBottom w:val="0"/>
      <w:divBdr>
        <w:top w:val="none" w:sz="0" w:space="0" w:color="auto"/>
        <w:left w:val="none" w:sz="0" w:space="0" w:color="auto"/>
        <w:bottom w:val="none" w:sz="0" w:space="0" w:color="auto"/>
        <w:right w:val="none" w:sz="0" w:space="0" w:color="auto"/>
      </w:divBdr>
    </w:div>
    <w:div w:id="861476514">
      <w:bodyDiv w:val="1"/>
      <w:marLeft w:val="0"/>
      <w:marRight w:val="0"/>
      <w:marTop w:val="0"/>
      <w:marBottom w:val="0"/>
      <w:divBdr>
        <w:top w:val="none" w:sz="0" w:space="0" w:color="auto"/>
        <w:left w:val="none" w:sz="0" w:space="0" w:color="auto"/>
        <w:bottom w:val="none" w:sz="0" w:space="0" w:color="auto"/>
        <w:right w:val="none" w:sz="0" w:space="0" w:color="auto"/>
      </w:divBdr>
    </w:div>
    <w:div w:id="873615246">
      <w:bodyDiv w:val="1"/>
      <w:marLeft w:val="0"/>
      <w:marRight w:val="0"/>
      <w:marTop w:val="0"/>
      <w:marBottom w:val="0"/>
      <w:divBdr>
        <w:top w:val="none" w:sz="0" w:space="0" w:color="auto"/>
        <w:left w:val="none" w:sz="0" w:space="0" w:color="auto"/>
        <w:bottom w:val="none" w:sz="0" w:space="0" w:color="auto"/>
        <w:right w:val="none" w:sz="0" w:space="0" w:color="auto"/>
      </w:divBdr>
    </w:div>
    <w:div w:id="936984913">
      <w:bodyDiv w:val="1"/>
      <w:marLeft w:val="0"/>
      <w:marRight w:val="0"/>
      <w:marTop w:val="0"/>
      <w:marBottom w:val="0"/>
      <w:divBdr>
        <w:top w:val="none" w:sz="0" w:space="0" w:color="auto"/>
        <w:left w:val="none" w:sz="0" w:space="0" w:color="auto"/>
        <w:bottom w:val="none" w:sz="0" w:space="0" w:color="auto"/>
        <w:right w:val="none" w:sz="0" w:space="0" w:color="auto"/>
      </w:divBdr>
    </w:div>
    <w:div w:id="1007559852">
      <w:bodyDiv w:val="1"/>
      <w:marLeft w:val="0"/>
      <w:marRight w:val="0"/>
      <w:marTop w:val="0"/>
      <w:marBottom w:val="0"/>
      <w:divBdr>
        <w:top w:val="none" w:sz="0" w:space="0" w:color="auto"/>
        <w:left w:val="none" w:sz="0" w:space="0" w:color="auto"/>
        <w:bottom w:val="none" w:sz="0" w:space="0" w:color="auto"/>
        <w:right w:val="none" w:sz="0" w:space="0" w:color="auto"/>
      </w:divBdr>
    </w:div>
    <w:div w:id="1033650978">
      <w:bodyDiv w:val="1"/>
      <w:marLeft w:val="0"/>
      <w:marRight w:val="0"/>
      <w:marTop w:val="0"/>
      <w:marBottom w:val="0"/>
      <w:divBdr>
        <w:top w:val="none" w:sz="0" w:space="0" w:color="auto"/>
        <w:left w:val="none" w:sz="0" w:space="0" w:color="auto"/>
        <w:bottom w:val="none" w:sz="0" w:space="0" w:color="auto"/>
        <w:right w:val="none" w:sz="0" w:space="0" w:color="auto"/>
      </w:divBdr>
    </w:div>
    <w:div w:id="1050030878">
      <w:bodyDiv w:val="1"/>
      <w:marLeft w:val="0"/>
      <w:marRight w:val="0"/>
      <w:marTop w:val="0"/>
      <w:marBottom w:val="0"/>
      <w:divBdr>
        <w:top w:val="none" w:sz="0" w:space="0" w:color="auto"/>
        <w:left w:val="none" w:sz="0" w:space="0" w:color="auto"/>
        <w:bottom w:val="none" w:sz="0" w:space="0" w:color="auto"/>
        <w:right w:val="none" w:sz="0" w:space="0" w:color="auto"/>
      </w:divBdr>
    </w:div>
    <w:div w:id="1109398168">
      <w:bodyDiv w:val="1"/>
      <w:marLeft w:val="0"/>
      <w:marRight w:val="0"/>
      <w:marTop w:val="0"/>
      <w:marBottom w:val="0"/>
      <w:divBdr>
        <w:top w:val="none" w:sz="0" w:space="0" w:color="auto"/>
        <w:left w:val="none" w:sz="0" w:space="0" w:color="auto"/>
        <w:bottom w:val="none" w:sz="0" w:space="0" w:color="auto"/>
        <w:right w:val="none" w:sz="0" w:space="0" w:color="auto"/>
      </w:divBdr>
    </w:div>
    <w:div w:id="1142502129">
      <w:bodyDiv w:val="1"/>
      <w:marLeft w:val="0"/>
      <w:marRight w:val="0"/>
      <w:marTop w:val="0"/>
      <w:marBottom w:val="0"/>
      <w:divBdr>
        <w:top w:val="none" w:sz="0" w:space="0" w:color="auto"/>
        <w:left w:val="none" w:sz="0" w:space="0" w:color="auto"/>
        <w:bottom w:val="none" w:sz="0" w:space="0" w:color="auto"/>
        <w:right w:val="none" w:sz="0" w:space="0" w:color="auto"/>
      </w:divBdr>
    </w:div>
    <w:div w:id="1172526201">
      <w:bodyDiv w:val="1"/>
      <w:marLeft w:val="0"/>
      <w:marRight w:val="0"/>
      <w:marTop w:val="0"/>
      <w:marBottom w:val="0"/>
      <w:divBdr>
        <w:top w:val="none" w:sz="0" w:space="0" w:color="auto"/>
        <w:left w:val="none" w:sz="0" w:space="0" w:color="auto"/>
        <w:bottom w:val="none" w:sz="0" w:space="0" w:color="auto"/>
        <w:right w:val="none" w:sz="0" w:space="0" w:color="auto"/>
      </w:divBdr>
    </w:div>
    <w:div w:id="1193031297">
      <w:bodyDiv w:val="1"/>
      <w:marLeft w:val="0"/>
      <w:marRight w:val="0"/>
      <w:marTop w:val="0"/>
      <w:marBottom w:val="0"/>
      <w:divBdr>
        <w:top w:val="none" w:sz="0" w:space="0" w:color="auto"/>
        <w:left w:val="none" w:sz="0" w:space="0" w:color="auto"/>
        <w:bottom w:val="none" w:sz="0" w:space="0" w:color="auto"/>
        <w:right w:val="none" w:sz="0" w:space="0" w:color="auto"/>
      </w:divBdr>
    </w:div>
    <w:div w:id="1207638771">
      <w:bodyDiv w:val="1"/>
      <w:marLeft w:val="0"/>
      <w:marRight w:val="0"/>
      <w:marTop w:val="0"/>
      <w:marBottom w:val="0"/>
      <w:divBdr>
        <w:top w:val="none" w:sz="0" w:space="0" w:color="auto"/>
        <w:left w:val="none" w:sz="0" w:space="0" w:color="auto"/>
        <w:bottom w:val="none" w:sz="0" w:space="0" w:color="auto"/>
        <w:right w:val="none" w:sz="0" w:space="0" w:color="auto"/>
      </w:divBdr>
    </w:div>
    <w:div w:id="1212883615">
      <w:bodyDiv w:val="1"/>
      <w:marLeft w:val="0"/>
      <w:marRight w:val="0"/>
      <w:marTop w:val="0"/>
      <w:marBottom w:val="0"/>
      <w:divBdr>
        <w:top w:val="none" w:sz="0" w:space="0" w:color="auto"/>
        <w:left w:val="none" w:sz="0" w:space="0" w:color="auto"/>
        <w:bottom w:val="none" w:sz="0" w:space="0" w:color="auto"/>
        <w:right w:val="none" w:sz="0" w:space="0" w:color="auto"/>
      </w:divBdr>
    </w:div>
    <w:div w:id="1215388199">
      <w:bodyDiv w:val="1"/>
      <w:marLeft w:val="0"/>
      <w:marRight w:val="0"/>
      <w:marTop w:val="0"/>
      <w:marBottom w:val="0"/>
      <w:divBdr>
        <w:top w:val="none" w:sz="0" w:space="0" w:color="auto"/>
        <w:left w:val="none" w:sz="0" w:space="0" w:color="auto"/>
        <w:bottom w:val="none" w:sz="0" w:space="0" w:color="auto"/>
        <w:right w:val="none" w:sz="0" w:space="0" w:color="auto"/>
      </w:divBdr>
    </w:div>
    <w:div w:id="1263806981">
      <w:bodyDiv w:val="1"/>
      <w:marLeft w:val="0"/>
      <w:marRight w:val="0"/>
      <w:marTop w:val="0"/>
      <w:marBottom w:val="0"/>
      <w:divBdr>
        <w:top w:val="none" w:sz="0" w:space="0" w:color="auto"/>
        <w:left w:val="none" w:sz="0" w:space="0" w:color="auto"/>
        <w:bottom w:val="none" w:sz="0" w:space="0" w:color="auto"/>
        <w:right w:val="none" w:sz="0" w:space="0" w:color="auto"/>
      </w:divBdr>
    </w:div>
    <w:div w:id="1303577008">
      <w:bodyDiv w:val="1"/>
      <w:marLeft w:val="0"/>
      <w:marRight w:val="0"/>
      <w:marTop w:val="0"/>
      <w:marBottom w:val="0"/>
      <w:divBdr>
        <w:top w:val="none" w:sz="0" w:space="0" w:color="auto"/>
        <w:left w:val="none" w:sz="0" w:space="0" w:color="auto"/>
        <w:bottom w:val="none" w:sz="0" w:space="0" w:color="auto"/>
        <w:right w:val="none" w:sz="0" w:space="0" w:color="auto"/>
      </w:divBdr>
    </w:div>
    <w:div w:id="1337883742">
      <w:bodyDiv w:val="1"/>
      <w:marLeft w:val="0"/>
      <w:marRight w:val="0"/>
      <w:marTop w:val="0"/>
      <w:marBottom w:val="0"/>
      <w:divBdr>
        <w:top w:val="none" w:sz="0" w:space="0" w:color="auto"/>
        <w:left w:val="none" w:sz="0" w:space="0" w:color="auto"/>
        <w:bottom w:val="none" w:sz="0" w:space="0" w:color="auto"/>
        <w:right w:val="none" w:sz="0" w:space="0" w:color="auto"/>
      </w:divBdr>
    </w:div>
    <w:div w:id="1339693051">
      <w:bodyDiv w:val="1"/>
      <w:marLeft w:val="0"/>
      <w:marRight w:val="0"/>
      <w:marTop w:val="0"/>
      <w:marBottom w:val="0"/>
      <w:divBdr>
        <w:top w:val="none" w:sz="0" w:space="0" w:color="auto"/>
        <w:left w:val="none" w:sz="0" w:space="0" w:color="auto"/>
        <w:bottom w:val="none" w:sz="0" w:space="0" w:color="auto"/>
        <w:right w:val="none" w:sz="0" w:space="0" w:color="auto"/>
      </w:divBdr>
    </w:div>
    <w:div w:id="1414813249">
      <w:bodyDiv w:val="1"/>
      <w:marLeft w:val="0"/>
      <w:marRight w:val="0"/>
      <w:marTop w:val="0"/>
      <w:marBottom w:val="0"/>
      <w:divBdr>
        <w:top w:val="none" w:sz="0" w:space="0" w:color="auto"/>
        <w:left w:val="none" w:sz="0" w:space="0" w:color="auto"/>
        <w:bottom w:val="none" w:sz="0" w:space="0" w:color="auto"/>
        <w:right w:val="none" w:sz="0" w:space="0" w:color="auto"/>
      </w:divBdr>
    </w:div>
    <w:div w:id="1418332283">
      <w:bodyDiv w:val="1"/>
      <w:marLeft w:val="0"/>
      <w:marRight w:val="0"/>
      <w:marTop w:val="0"/>
      <w:marBottom w:val="0"/>
      <w:divBdr>
        <w:top w:val="none" w:sz="0" w:space="0" w:color="auto"/>
        <w:left w:val="none" w:sz="0" w:space="0" w:color="auto"/>
        <w:bottom w:val="none" w:sz="0" w:space="0" w:color="auto"/>
        <w:right w:val="none" w:sz="0" w:space="0" w:color="auto"/>
      </w:divBdr>
    </w:div>
    <w:div w:id="1423836763">
      <w:bodyDiv w:val="1"/>
      <w:marLeft w:val="0"/>
      <w:marRight w:val="0"/>
      <w:marTop w:val="0"/>
      <w:marBottom w:val="0"/>
      <w:divBdr>
        <w:top w:val="none" w:sz="0" w:space="0" w:color="auto"/>
        <w:left w:val="none" w:sz="0" w:space="0" w:color="auto"/>
        <w:bottom w:val="none" w:sz="0" w:space="0" w:color="auto"/>
        <w:right w:val="none" w:sz="0" w:space="0" w:color="auto"/>
      </w:divBdr>
    </w:div>
    <w:div w:id="1437483767">
      <w:bodyDiv w:val="1"/>
      <w:marLeft w:val="0"/>
      <w:marRight w:val="0"/>
      <w:marTop w:val="0"/>
      <w:marBottom w:val="0"/>
      <w:divBdr>
        <w:top w:val="none" w:sz="0" w:space="0" w:color="auto"/>
        <w:left w:val="none" w:sz="0" w:space="0" w:color="auto"/>
        <w:bottom w:val="none" w:sz="0" w:space="0" w:color="auto"/>
        <w:right w:val="none" w:sz="0" w:space="0" w:color="auto"/>
      </w:divBdr>
    </w:div>
    <w:div w:id="1453011157">
      <w:bodyDiv w:val="1"/>
      <w:marLeft w:val="0"/>
      <w:marRight w:val="0"/>
      <w:marTop w:val="0"/>
      <w:marBottom w:val="0"/>
      <w:divBdr>
        <w:top w:val="none" w:sz="0" w:space="0" w:color="auto"/>
        <w:left w:val="none" w:sz="0" w:space="0" w:color="auto"/>
        <w:bottom w:val="none" w:sz="0" w:space="0" w:color="auto"/>
        <w:right w:val="none" w:sz="0" w:space="0" w:color="auto"/>
      </w:divBdr>
    </w:div>
    <w:div w:id="1506171030">
      <w:bodyDiv w:val="1"/>
      <w:marLeft w:val="0"/>
      <w:marRight w:val="0"/>
      <w:marTop w:val="0"/>
      <w:marBottom w:val="0"/>
      <w:divBdr>
        <w:top w:val="none" w:sz="0" w:space="0" w:color="auto"/>
        <w:left w:val="none" w:sz="0" w:space="0" w:color="auto"/>
        <w:bottom w:val="none" w:sz="0" w:space="0" w:color="auto"/>
        <w:right w:val="none" w:sz="0" w:space="0" w:color="auto"/>
      </w:divBdr>
    </w:div>
    <w:div w:id="1509054341">
      <w:bodyDiv w:val="1"/>
      <w:marLeft w:val="0"/>
      <w:marRight w:val="0"/>
      <w:marTop w:val="0"/>
      <w:marBottom w:val="0"/>
      <w:divBdr>
        <w:top w:val="none" w:sz="0" w:space="0" w:color="auto"/>
        <w:left w:val="none" w:sz="0" w:space="0" w:color="auto"/>
        <w:bottom w:val="none" w:sz="0" w:space="0" w:color="auto"/>
        <w:right w:val="none" w:sz="0" w:space="0" w:color="auto"/>
      </w:divBdr>
    </w:div>
    <w:div w:id="1510438156">
      <w:bodyDiv w:val="1"/>
      <w:marLeft w:val="0"/>
      <w:marRight w:val="0"/>
      <w:marTop w:val="0"/>
      <w:marBottom w:val="0"/>
      <w:divBdr>
        <w:top w:val="none" w:sz="0" w:space="0" w:color="auto"/>
        <w:left w:val="none" w:sz="0" w:space="0" w:color="auto"/>
        <w:bottom w:val="none" w:sz="0" w:space="0" w:color="auto"/>
        <w:right w:val="none" w:sz="0" w:space="0" w:color="auto"/>
      </w:divBdr>
    </w:div>
    <w:div w:id="1631284785">
      <w:bodyDiv w:val="1"/>
      <w:marLeft w:val="0"/>
      <w:marRight w:val="0"/>
      <w:marTop w:val="0"/>
      <w:marBottom w:val="0"/>
      <w:divBdr>
        <w:top w:val="none" w:sz="0" w:space="0" w:color="auto"/>
        <w:left w:val="none" w:sz="0" w:space="0" w:color="auto"/>
        <w:bottom w:val="none" w:sz="0" w:space="0" w:color="auto"/>
        <w:right w:val="none" w:sz="0" w:space="0" w:color="auto"/>
      </w:divBdr>
    </w:div>
    <w:div w:id="1680503473">
      <w:bodyDiv w:val="1"/>
      <w:marLeft w:val="0"/>
      <w:marRight w:val="0"/>
      <w:marTop w:val="0"/>
      <w:marBottom w:val="0"/>
      <w:divBdr>
        <w:top w:val="none" w:sz="0" w:space="0" w:color="auto"/>
        <w:left w:val="none" w:sz="0" w:space="0" w:color="auto"/>
        <w:bottom w:val="none" w:sz="0" w:space="0" w:color="auto"/>
        <w:right w:val="none" w:sz="0" w:space="0" w:color="auto"/>
      </w:divBdr>
    </w:div>
    <w:div w:id="1713841501">
      <w:bodyDiv w:val="1"/>
      <w:marLeft w:val="0"/>
      <w:marRight w:val="0"/>
      <w:marTop w:val="0"/>
      <w:marBottom w:val="0"/>
      <w:divBdr>
        <w:top w:val="none" w:sz="0" w:space="0" w:color="auto"/>
        <w:left w:val="none" w:sz="0" w:space="0" w:color="auto"/>
        <w:bottom w:val="none" w:sz="0" w:space="0" w:color="auto"/>
        <w:right w:val="none" w:sz="0" w:space="0" w:color="auto"/>
      </w:divBdr>
    </w:div>
    <w:div w:id="1722051527">
      <w:bodyDiv w:val="1"/>
      <w:marLeft w:val="0"/>
      <w:marRight w:val="0"/>
      <w:marTop w:val="0"/>
      <w:marBottom w:val="0"/>
      <w:divBdr>
        <w:top w:val="none" w:sz="0" w:space="0" w:color="auto"/>
        <w:left w:val="none" w:sz="0" w:space="0" w:color="auto"/>
        <w:bottom w:val="none" w:sz="0" w:space="0" w:color="auto"/>
        <w:right w:val="none" w:sz="0" w:space="0" w:color="auto"/>
      </w:divBdr>
    </w:div>
    <w:div w:id="1724017566">
      <w:bodyDiv w:val="1"/>
      <w:marLeft w:val="0"/>
      <w:marRight w:val="0"/>
      <w:marTop w:val="0"/>
      <w:marBottom w:val="0"/>
      <w:divBdr>
        <w:top w:val="none" w:sz="0" w:space="0" w:color="auto"/>
        <w:left w:val="none" w:sz="0" w:space="0" w:color="auto"/>
        <w:bottom w:val="none" w:sz="0" w:space="0" w:color="auto"/>
        <w:right w:val="none" w:sz="0" w:space="0" w:color="auto"/>
      </w:divBdr>
    </w:div>
    <w:div w:id="1752042822">
      <w:bodyDiv w:val="1"/>
      <w:marLeft w:val="0"/>
      <w:marRight w:val="0"/>
      <w:marTop w:val="0"/>
      <w:marBottom w:val="0"/>
      <w:divBdr>
        <w:top w:val="none" w:sz="0" w:space="0" w:color="auto"/>
        <w:left w:val="none" w:sz="0" w:space="0" w:color="auto"/>
        <w:bottom w:val="none" w:sz="0" w:space="0" w:color="auto"/>
        <w:right w:val="none" w:sz="0" w:space="0" w:color="auto"/>
      </w:divBdr>
    </w:div>
    <w:div w:id="1763142313">
      <w:bodyDiv w:val="1"/>
      <w:marLeft w:val="0"/>
      <w:marRight w:val="0"/>
      <w:marTop w:val="0"/>
      <w:marBottom w:val="0"/>
      <w:divBdr>
        <w:top w:val="none" w:sz="0" w:space="0" w:color="auto"/>
        <w:left w:val="none" w:sz="0" w:space="0" w:color="auto"/>
        <w:bottom w:val="none" w:sz="0" w:space="0" w:color="auto"/>
        <w:right w:val="none" w:sz="0" w:space="0" w:color="auto"/>
      </w:divBdr>
    </w:div>
    <w:div w:id="1789272846">
      <w:bodyDiv w:val="1"/>
      <w:marLeft w:val="0"/>
      <w:marRight w:val="0"/>
      <w:marTop w:val="0"/>
      <w:marBottom w:val="0"/>
      <w:divBdr>
        <w:top w:val="none" w:sz="0" w:space="0" w:color="auto"/>
        <w:left w:val="none" w:sz="0" w:space="0" w:color="auto"/>
        <w:bottom w:val="none" w:sz="0" w:space="0" w:color="auto"/>
        <w:right w:val="none" w:sz="0" w:space="0" w:color="auto"/>
      </w:divBdr>
    </w:div>
    <w:div w:id="1808471456">
      <w:bodyDiv w:val="1"/>
      <w:marLeft w:val="0"/>
      <w:marRight w:val="0"/>
      <w:marTop w:val="0"/>
      <w:marBottom w:val="0"/>
      <w:divBdr>
        <w:top w:val="none" w:sz="0" w:space="0" w:color="auto"/>
        <w:left w:val="none" w:sz="0" w:space="0" w:color="auto"/>
        <w:bottom w:val="none" w:sz="0" w:space="0" w:color="auto"/>
        <w:right w:val="none" w:sz="0" w:space="0" w:color="auto"/>
      </w:divBdr>
    </w:div>
    <w:div w:id="1839614217">
      <w:bodyDiv w:val="1"/>
      <w:marLeft w:val="0"/>
      <w:marRight w:val="0"/>
      <w:marTop w:val="0"/>
      <w:marBottom w:val="0"/>
      <w:divBdr>
        <w:top w:val="none" w:sz="0" w:space="0" w:color="auto"/>
        <w:left w:val="none" w:sz="0" w:space="0" w:color="auto"/>
        <w:bottom w:val="none" w:sz="0" w:space="0" w:color="auto"/>
        <w:right w:val="none" w:sz="0" w:space="0" w:color="auto"/>
      </w:divBdr>
    </w:div>
    <w:div w:id="1846901380">
      <w:bodyDiv w:val="1"/>
      <w:marLeft w:val="0"/>
      <w:marRight w:val="0"/>
      <w:marTop w:val="0"/>
      <w:marBottom w:val="0"/>
      <w:divBdr>
        <w:top w:val="none" w:sz="0" w:space="0" w:color="auto"/>
        <w:left w:val="none" w:sz="0" w:space="0" w:color="auto"/>
        <w:bottom w:val="none" w:sz="0" w:space="0" w:color="auto"/>
        <w:right w:val="none" w:sz="0" w:space="0" w:color="auto"/>
      </w:divBdr>
    </w:div>
    <w:div w:id="1848589931">
      <w:bodyDiv w:val="1"/>
      <w:marLeft w:val="0"/>
      <w:marRight w:val="0"/>
      <w:marTop w:val="0"/>
      <w:marBottom w:val="0"/>
      <w:divBdr>
        <w:top w:val="none" w:sz="0" w:space="0" w:color="auto"/>
        <w:left w:val="none" w:sz="0" w:space="0" w:color="auto"/>
        <w:bottom w:val="none" w:sz="0" w:space="0" w:color="auto"/>
        <w:right w:val="none" w:sz="0" w:space="0" w:color="auto"/>
      </w:divBdr>
    </w:div>
    <w:div w:id="1901286315">
      <w:bodyDiv w:val="1"/>
      <w:marLeft w:val="0"/>
      <w:marRight w:val="0"/>
      <w:marTop w:val="0"/>
      <w:marBottom w:val="0"/>
      <w:divBdr>
        <w:top w:val="none" w:sz="0" w:space="0" w:color="auto"/>
        <w:left w:val="none" w:sz="0" w:space="0" w:color="auto"/>
        <w:bottom w:val="none" w:sz="0" w:space="0" w:color="auto"/>
        <w:right w:val="none" w:sz="0" w:space="0" w:color="auto"/>
      </w:divBdr>
    </w:div>
    <w:div w:id="2042515958">
      <w:bodyDiv w:val="1"/>
      <w:marLeft w:val="0"/>
      <w:marRight w:val="0"/>
      <w:marTop w:val="0"/>
      <w:marBottom w:val="0"/>
      <w:divBdr>
        <w:top w:val="none" w:sz="0" w:space="0" w:color="auto"/>
        <w:left w:val="none" w:sz="0" w:space="0" w:color="auto"/>
        <w:bottom w:val="none" w:sz="0" w:space="0" w:color="auto"/>
        <w:right w:val="none" w:sz="0" w:space="0" w:color="auto"/>
      </w:divBdr>
    </w:div>
    <w:div w:id="2059667831">
      <w:bodyDiv w:val="1"/>
      <w:marLeft w:val="0"/>
      <w:marRight w:val="0"/>
      <w:marTop w:val="0"/>
      <w:marBottom w:val="0"/>
      <w:divBdr>
        <w:top w:val="none" w:sz="0" w:space="0" w:color="auto"/>
        <w:left w:val="none" w:sz="0" w:space="0" w:color="auto"/>
        <w:bottom w:val="none" w:sz="0" w:space="0" w:color="auto"/>
        <w:right w:val="none" w:sz="0" w:space="0" w:color="auto"/>
      </w:divBdr>
    </w:div>
    <w:div w:id="2065907077">
      <w:bodyDiv w:val="1"/>
      <w:marLeft w:val="0"/>
      <w:marRight w:val="0"/>
      <w:marTop w:val="0"/>
      <w:marBottom w:val="0"/>
      <w:divBdr>
        <w:top w:val="none" w:sz="0" w:space="0" w:color="auto"/>
        <w:left w:val="none" w:sz="0" w:space="0" w:color="auto"/>
        <w:bottom w:val="none" w:sz="0" w:space="0" w:color="auto"/>
        <w:right w:val="none" w:sz="0" w:space="0" w:color="auto"/>
      </w:divBdr>
    </w:div>
    <w:div w:id="2127773146">
      <w:bodyDiv w:val="1"/>
      <w:marLeft w:val="0"/>
      <w:marRight w:val="0"/>
      <w:marTop w:val="0"/>
      <w:marBottom w:val="0"/>
      <w:divBdr>
        <w:top w:val="none" w:sz="0" w:space="0" w:color="auto"/>
        <w:left w:val="none" w:sz="0" w:space="0" w:color="auto"/>
        <w:bottom w:val="none" w:sz="0" w:space="0" w:color="auto"/>
        <w:right w:val="none" w:sz="0" w:space="0" w:color="auto"/>
      </w:divBdr>
    </w:div>
    <w:div w:id="21458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896</TotalTime>
  <Pages>13</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Prashanth Sharma</dc:creator>
  <cp:keywords/>
  <dc:description/>
  <cp:lastModifiedBy>SDI 1084</cp:lastModifiedBy>
  <cp:revision>22</cp:revision>
  <dcterms:created xsi:type="dcterms:W3CDTF">2025-02-16T04:01:00Z</dcterms:created>
  <dcterms:modified xsi:type="dcterms:W3CDTF">2025-02-22T06:11:00Z</dcterms:modified>
</cp:coreProperties>
</file>