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9C7E37" w14:textId="77777777" w:rsidR="00B82777" w:rsidRDefault="00B82777" w:rsidP="00355809">
      <w:pPr>
        <w:jc w:val="right"/>
        <w:rPr>
          <w:rFonts w:ascii="Arial" w:eastAsia="Times New Roman" w:hAnsi="Arial" w:cs="Arial"/>
          <w:b/>
          <w:sz w:val="36"/>
          <w:szCs w:val="36"/>
        </w:rPr>
      </w:pPr>
      <w:r w:rsidRPr="007F696F">
        <w:rPr>
          <w:rFonts w:ascii="Arial" w:eastAsia="Times New Roman" w:hAnsi="Arial" w:cs="Arial"/>
          <w:b/>
          <w:sz w:val="36"/>
          <w:szCs w:val="36"/>
        </w:rPr>
        <w:t>ECONOMIC ANALYSIS</w:t>
      </w:r>
      <w:r w:rsidR="00355809" w:rsidRPr="007F696F">
        <w:rPr>
          <w:rFonts w:ascii="Arial" w:eastAsia="Times New Roman" w:hAnsi="Arial" w:cs="Arial"/>
          <w:b/>
          <w:sz w:val="36"/>
          <w:szCs w:val="36"/>
        </w:rPr>
        <w:t xml:space="preserve"> AND FEASIBILITY</w:t>
      </w:r>
      <w:r w:rsidRPr="007F696F">
        <w:rPr>
          <w:rFonts w:ascii="Arial" w:eastAsia="Times New Roman" w:hAnsi="Arial" w:cs="Arial"/>
          <w:b/>
          <w:sz w:val="36"/>
          <w:szCs w:val="36"/>
        </w:rPr>
        <w:t xml:space="preserve"> OF TURMERIC PROCESSING UNITS IN GUNTUR DISTRICT OF ANDHRA PRADESH</w:t>
      </w:r>
    </w:p>
    <w:p w14:paraId="44DF5099" w14:textId="77777777" w:rsidR="007C691A" w:rsidRPr="007F696F" w:rsidRDefault="007C691A" w:rsidP="00355809">
      <w:pPr>
        <w:jc w:val="right"/>
        <w:rPr>
          <w:rFonts w:ascii="Arial" w:eastAsia="Times New Roman" w:hAnsi="Arial" w:cs="Arial"/>
          <w:b/>
          <w:sz w:val="36"/>
          <w:szCs w:val="36"/>
        </w:rPr>
      </w:pPr>
    </w:p>
    <w:p w14:paraId="32A4F36F" w14:textId="77777777" w:rsidR="00FE6F3C" w:rsidRPr="007F696F" w:rsidRDefault="00FE6F3C">
      <w:pPr>
        <w:rPr>
          <w:rFonts w:ascii="Arial" w:eastAsia="Times New Roman" w:hAnsi="Arial" w:cs="Arial"/>
          <w:b/>
          <w:szCs w:val="20"/>
        </w:rPr>
      </w:pPr>
      <w:r w:rsidRPr="007F696F">
        <w:rPr>
          <w:rFonts w:ascii="Arial" w:eastAsia="Times New Roman" w:hAnsi="Arial" w:cs="Arial"/>
          <w:b/>
          <w:szCs w:val="20"/>
        </w:rPr>
        <w:t>ABSTRACT</w:t>
      </w:r>
    </w:p>
    <w:p w14:paraId="7D1BB60C" w14:textId="77777777" w:rsidR="00587A81" w:rsidRPr="007F696F" w:rsidRDefault="00996CF1" w:rsidP="0055419F">
      <w:pPr>
        <w:jc w:val="both"/>
        <w:rPr>
          <w:rFonts w:ascii="Arial" w:eastAsia="Times New Roman" w:hAnsi="Arial" w:cs="Arial"/>
          <w:bCs/>
          <w:sz w:val="20"/>
          <w:szCs w:val="18"/>
        </w:rPr>
      </w:pPr>
      <w:r w:rsidRPr="007F696F">
        <w:rPr>
          <w:rFonts w:ascii="Arial" w:eastAsia="Times New Roman" w:hAnsi="Arial" w:cs="Arial"/>
          <w:bCs/>
          <w:sz w:val="20"/>
          <w:szCs w:val="18"/>
        </w:rPr>
        <w:t>The present study aims to analyze the economics of turmeric processing units in Gun</w:t>
      </w:r>
      <w:r w:rsidR="007418F0" w:rsidRPr="007F696F">
        <w:rPr>
          <w:rFonts w:ascii="Arial" w:eastAsia="Times New Roman" w:hAnsi="Arial" w:cs="Arial"/>
          <w:bCs/>
          <w:sz w:val="20"/>
          <w:szCs w:val="18"/>
        </w:rPr>
        <w:t>tur district of Andhra Pradesh. The study focused on cost and returns</w:t>
      </w:r>
      <w:r w:rsidR="00690EB4" w:rsidRPr="007F696F">
        <w:rPr>
          <w:rFonts w:ascii="Arial" w:eastAsia="Times New Roman" w:hAnsi="Arial" w:cs="Arial"/>
          <w:bCs/>
          <w:sz w:val="20"/>
          <w:szCs w:val="18"/>
        </w:rPr>
        <w:t xml:space="preserve"> associated with turmeric proces</w:t>
      </w:r>
      <w:r w:rsidR="007418F0" w:rsidRPr="007F696F">
        <w:rPr>
          <w:rFonts w:ascii="Arial" w:eastAsia="Times New Roman" w:hAnsi="Arial" w:cs="Arial"/>
          <w:bCs/>
          <w:sz w:val="20"/>
          <w:szCs w:val="18"/>
        </w:rPr>
        <w:t>sing units and constraints faced by the turmeric processors in Guntur district of Andhra Pradesh.</w:t>
      </w:r>
      <w:r w:rsidR="00690EB4" w:rsidRPr="007F696F">
        <w:rPr>
          <w:rFonts w:ascii="Arial" w:eastAsia="Times New Roman" w:hAnsi="Arial" w:cs="Arial"/>
          <w:bCs/>
          <w:sz w:val="20"/>
          <w:szCs w:val="18"/>
        </w:rPr>
        <w:t xml:space="preserve"> </w:t>
      </w:r>
      <w:r w:rsidRPr="007F696F">
        <w:rPr>
          <w:rFonts w:ascii="Arial" w:eastAsia="Times New Roman" w:hAnsi="Arial" w:cs="Arial"/>
          <w:bCs/>
          <w:sz w:val="20"/>
          <w:szCs w:val="18"/>
        </w:rPr>
        <w:t>The data was collected from 10 processi</w:t>
      </w:r>
      <w:r w:rsidR="007418F0" w:rsidRPr="007F696F">
        <w:rPr>
          <w:rFonts w:ascii="Arial" w:eastAsia="Times New Roman" w:hAnsi="Arial" w:cs="Arial"/>
          <w:bCs/>
          <w:sz w:val="20"/>
          <w:szCs w:val="18"/>
        </w:rPr>
        <w:t xml:space="preserve">ng units using purposive random sampling from </w:t>
      </w:r>
      <w:r w:rsidRPr="007F696F">
        <w:rPr>
          <w:rFonts w:ascii="Arial" w:eastAsia="Times New Roman" w:hAnsi="Arial" w:cs="Arial"/>
          <w:bCs/>
          <w:sz w:val="20"/>
          <w:szCs w:val="18"/>
        </w:rPr>
        <w:t xml:space="preserve">three </w:t>
      </w:r>
      <w:proofErr w:type="spellStart"/>
      <w:r w:rsidRPr="007F696F">
        <w:rPr>
          <w:rFonts w:ascii="Arial" w:eastAsia="Times New Roman" w:hAnsi="Arial" w:cs="Arial"/>
          <w:bCs/>
          <w:sz w:val="20"/>
          <w:szCs w:val="18"/>
        </w:rPr>
        <w:t>mandals</w:t>
      </w:r>
      <w:proofErr w:type="spellEnd"/>
      <w:r w:rsidRPr="007F696F">
        <w:rPr>
          <w:rFonts w:ascii="Arial" w:eastAsia="Times New Roman" w:hAnsi="Arial" w:cs="Arial"/>
          <w:bCs/>
          <w:sz w:val="20"/>
          <w:szCs w:val="18"/>
        </w:rPr>
        <w:t xml:space="preserve"> in Guntur district viz., </w:t>
      </w:r>
      <w:proofErr w:type="spellStart"/>
      <w:r w:rsidRPr="007F696F">
        <w:rPr>
          <w:rFonts w:ascii="Arial" w:eastAsia="Times New Roman" w:hAnsi="Arial" w:cs="Arial"/>
          <w:bCs/>
          <w:sz w:val="20"/>
          <w:szCs w:val="18"/>
        </w:rPr>
        <w:t>Duggir</w:t>
      </w:r>
      <w:r w:rsidR="007418F0" w:rsidRPr="007F696F">
        <w:rPr>
          <w:rFonts w:ascii="Arial" w:eastAsia="Times New Roman" w:hAnsi="Arial" w:cs="Arial"/>
          <w:bCs/>
          <w:sz w:val="20"/>
          <w:szCs w:val="18"/>
        </w:rPr>
        <w:t>ala</w:t>
      </w:r>
      <w:proofErr w:type="spellEnd"/>
      <w:r w:rsidR="007418F0" w:rsidRPr="007F696F">
        <w:rPr>
          <w:rFonts w:ascii="Arial" w:eastAsia="Times New Roman" w:hAnsi="Arial" w:cs="Arial"/>
          <w:bCs/>
          <w:sz w:val="20"/>
          <w:szCs w:val="18"/>
        </w:rPr>
        <w:t xml:space="preserve">, </w:t>
      </w:r>
      <w:proofErr w:type="spellStart"/>
      <w:r w:rsidR="007418F0" w:rsidRPr="007F696F">
        <w:rPr>
          <w:rFonts w:ascii="Arial" w:eastAsia="Times New Roman" w:hAnsi="Arial" w:cs="Arial"/>
          <w:bCs/>
          <w:sz w:val="20"/>
          <w:szCs w:val="18"/>
        </w:rPr>
        <w:t>Kollipara</w:t>
      </w:r>
      <w:proofErr w:type="spellEnd"/>
      <w:r w:rsidR="007418F0" w:rsidRPr="007F696F">
        <w:rPr>
          <w:rFonts w:ascii="Arial" w:eastAsia="Times New Roman" w:hAnsi="Arial" w:cs="Arial"/>
          <w:bCs/>
          <w:sz w:val="20"/>
          <w:szCs w:val="18"/>
        </w:rPr>
        <w:t xml:space="preserve"> and </w:t>
      </w:r>
      <w:proofErr w:type="spellStart"/>
      <w:r w:rsidR="007418F0" w:rsidRPr="007F696F">
        <w:rPr>
          <w:rFonts w:ascii="Arial" w:eastAsia="Times New Roman" w:hAnsi="Arial" w:cs="Arial"/>
          <w:bCs/>
          <w:sz w:val="20"/>
          <w:szCs w:val="18"/>
        </w:rPr>
        <w:t>Mangalagiri</w:t>
      </w:r>
      <w:proofErr w:type="spellEnd"/>
      <w:r w:rsidR="007418F0" w:rsidRPr="007F696F">
        <w:rPr>
          <w:rFonts w:ascii="Arial" w:eastAsia="Times New Roman" w:hAnsi="Arial" w:cs="Arial"/>
          <w:bCs/>
          <w:sz w:val="20"/>
          <w:szCs w:val="18"/>
        </w:rPr>
        <w:t>. The processing units were divide</w:t>
      </w:r>
      <w:r w:rsidR="00C21568">
        <w:rPr>
          <w:rFonts w:ascii="Arial" w:eastAsia="Times New Roman" w:hAnsi="Arial" w:cs="Arial"/>
          <w:bCs/>
          <w:sz w:val="20"/>
          <w:szCs w:val="18"/>
        </w:rPr>
        <w:t>d</w:t>
      </w:r>
      <w:r w:rsidR="007418F0" w:rsidRPr="007F696F">
        <w:rPr>
          <w:rFonts w:ascii="Arial" w:eastAsia="Times New Roman" w:hAnsi="Arial" w:cs="Arial"/>
          <w:bCs/>
          <w:sz w:val="20"/>
          <w:szCs w:val="18"/>
        </w:rPr>
        <w:t xml:space="preserve"> into organized and unorganized units based on their processing capacity.</w:t>
      </w:r>
      <w:r w:rsidR="00587A81" w:rsidRPr="007F696F">
        <w:rPr>
          <w:rFonts w:ascii="Arial" w:eastAsia="Times New Roman" w:hAnsi="Arial" w:cs="Arial"/>
          <w:bCs/>
          <w:sz w:val="20"/>
          <w:szCs w:val="18"/>
        </w:rPr>
        <w:t xml:space="preserve"> The economic viability of both sectors is confirmed through positive Net Present Value (NPV) and favorable Benefit-Cost (BCR) ratios at varying discount rates. There is high Internal Rate of Return (IRR) </w:t>
      </w:r>
      <w:proofErr w:type="gramStart"/>
      <w:r w:rsidR="00587A81" w:rsidRPr="007F696F">
        <w:rPr>
          <w:rFonts w:ascii="Arial" w:eastAsia="Times New Roman" w:hAnsi="Arial" w:cs="Arial"/>
          <w:bCs/>
          <w:sz w:val="20"/>
          <w:szCs w:val="18"/>
        </w:rPr>
        <w:t>of  58.24</w:t>
      </w:r>
      <w:proofErr w:type="gramEnd"/>
      <w:r w:rsidR="00587A81" w:rsidRPr="007F696F">
        <w:rPr>
          <w:rFonts w:ascii="Arial" w:eastAsia="Times New Roman" w:hAnsi="Arial" w:cs="Arial"/>
          <w:bCs/>
          <w:sz w:val="20"/>
          <w:szCs w:val="18"/>
        </w:rPr>
        <w:t>% in  unorganized units and 49.52% in organized units indicating the profitability in the turmeric processing units. Break-even analysis further underscores the efficiency of both sectors, with actual production significantly exceeding the break-even output, confirming the economic sustainability of turmeric processing in the region. The findings demonstrate that despite the higher costs associated with organized units, both organized and unorganized turmeric processing units are profitable and viable enterprises in Guntur district. The turmeric processing industry in Guntur district, Andhra Pradesh, faces significant challenges that impact its efficiency and profitability. Key processing constraints include price fluctuations, procurement instability, and labor shortages. The turmeric processing industry in</w:t>
      </w:r>
      <w:r w:rsidR="0055419F" w:rsidRPr="007F696F">
        <w:rPr>
          <w:rFonts w:ascii="Arial" w:eastAsia="Times New Roman" w:hAnsi="Arial" w:cs="Arial"/>
          <w:bCs/>
          <w:sz w:val="20"/>
          <w:szCs w:val="18"/>
        </w:rPr>
        <w:t xml:space="preserve"> </w:t>
      </w:r>
      <w:r w:rsidR="00587A81" w:rsidRPr="007F696F">
        <w:rPr>
          <w:rFonts w:ascii="Arial" w:eastAsia="Times New Roman" w:hAnsi="Arial" w:cs="Arial"/>
          <w:bCs/>
          <w:sz w:val="20"/>
          <w:szCs w:val="18"/>
        </w:rPr>
        <w:t>Guntur district, Andhra Pradesh, faces significant challenges that impact its efficiency and profitability. Key processing constraints include price fluctuations, procurement instability, and labor shortages.</w:t>
      </w:r>
    </w:p>
    <w:p w14:paraId="2B23EA90" w14:textId="77777777" w:rsidR="00587A81" w:rsidRDefault="00587A81" w:rsidP="00587A81">
      <w:pPr>
        <w:rPr>
          <w:rFonts w:ascii="Arial" w:eastAsia="Times New Roman" w:hAnsi="Arial" w:cs="Arial"/>
          <w:bCs/>
          <w:i/>
          <w:iCs/>
          <w:sz w:val="20"/>
          <w:szCs w:val="18"/>
        </w:rPr>
      </w:pPr>
      <w:r w:rsidRPr="007F696F">
        <w:rPr>
          <w:rFonts w:ascii="Arial" w:eastAsia="Times New Roman" w:hAnsi="Arial" w:cs="Arial"/>
          <w:bCs/>
          <w:i/>
          <w:iCs/>
          <w:sz w:val="20"/>
          <w:szCs w:val="18"/>
        </w:rPr>
        <w:t>Keywords: Turmeric, NPV, BCR, IRR, Break even outp</w:t>
      </w:r>
      <w:r w:rsidR="00690EB4" w:rsidRPr="007F696F">
        <w:rPr>
          <w:rFonts w:ascii="Arial" w:eastAsia="Times New Roman" w:hAnsi="Arial" w:cs="Arial"/>
          <w:bCs/>
          <w:i/>
          <w:iCs/>
          <w:sz w:val="20"/>
          <w:szCs w:val="18"/>
        </w:rPr>
        <w:t>u</w:t>
      </w:r>
      <w:r w:rsidRPr="007F696F">
        <w:rPr>
          <w:rFonts w:ascii="Arial" w:eastAsia="Times New Roman" w:hAnsi="Arial" w:cs="Arial"/>
          <w:bCs/>
          <w:i/>
          <w:iCs/>
          <w:sz w:val="20"/>
          <w:szCs w:val="18"/>
        </w:rPr>
        <w:t>t.</w:t>
      </w:r>
    </w:p>
    <w:p w14:paraId="1BEA6810" w14:textId="77777777" w:rsidR="001B73A5" w:rsidRPr="007F696F" w:rsidRDefault="001B73A5" w:rsidP="00587A81">
      <w:pPr>
        <w:rPr>
          <w:rFonts w:ascii="Arial" w:eastAsia="Times New Roman" w:hAnsi="Arial" w:cs="Arial"/>
          <w:bCs/>
          <w:i/>
          <w:iCs/>
          <w:sz w:val="20"/>
          <w:szCs w:val="18"/>
        </w:rPr>
      </w:pPr>
    </w:p>
    <w:p w14:paraId="0AA6E7D0" w14:textId="77777777" w:rsidR="00AD6CF7" w:rsidRPr="007F696F" w:rsidRDefault="00AD6CF7" w:rsidP="00587A81">
      <w:pPr>
        <w:rPr>
          <w:rFonts w:ascii="Arial" w:eastAsia="Times New Roman" w:hAnsi="Arial" w:cs="Arial"/>
          <w:b/>
          <w:szCs w:val="20"/>
        </w:rPr>
      </w:pPr>
      <w:r w:rsidRPr="007F696F">
        <w:rPr>
          <w:rFonts w:ascii="Arial" w:eastAsia="Times New Roman" w:hAnsi="Arial" w:cs="Arial"/>
          <w:b/>
          <w:szCs w:val="20"/>
        </w:rPr>
        <w:t>1.INTRODUCTION</w:t>
      </w:r>
    </w:p>
    <w:p w14:paraId="4017BA4E" w14:textId="77777777" w:rsidR="007F696F" w:rsidRDefault="00AD6CF7" w:rsidP="0055419F">
      <w:pPr>
        <w:jc w:val="both"/>
        <w:rPr>
          <w:rFonts w:ascii="Arial" w:eastAsia="Times New Roman" w:hAnsi="Arial" w:cs="Arial"/>
          <w:bCs/>
          <w:sz w:val="20"/>
          <w:szCs w:val="18"/>
          <w:lang w:val="en-IN"/>
        </w:rPr>
      </w:pPr>
      <w:r w:rsidRPr="007F696F">
        <w:rPr>
          <w:rFonts w:ascii="Arial" w:eastAsia="Times New Roman" w:hAnsi="Arial" w:cs="Arial"/>
          <w:bCs/>
          <w:sz w:val="20"/>
          <w:szCs w:val="18"/>
        </w:rPr>
        <w:t>India is often referred to as the "Spice Bowl of the World" due to its extensive variety of spices cultivated since ancient times. One of the most revered spices in India is turmeric (</w:t>
      </w:r>
      <w:r w:rsidRPr="007F696F">
        <w:rPr>
          <w:rFonts w:ascii="Arial" w:eastAsia="Times New Roman" w:hAnsi="Arial" w:cs="Arial"/>
          <w:bCs/>
          <w:i/>
          <w:iCs/>
          <w:sz w:val="20"/>
          <w:szCs w:val="18"/>
        </w:rPr>
        <w:t>Curcuma longa</w:t>
      </w:r>
      <w:r w:rsidRPr="007F696F">
        <w:rPr>
          <w:rFonts w:ascii="Arial" w:eastAsia="Times New Roman" w:hAnsi="Arial" w:cs="Arial"/>
          <w:bCs/>
          <w:sz w:val="20"/>
          <w:szCs w:val="18"/>
        </w:rPr>
        <w:t xml:space="preserve"> L.), belonging to the family </w:t>
      </w:r>
      <w:proofErr w:type="spellStart"/>
      <w:r w:rsidRPr="007F696F">
        <w:rPr>
          <w:rFonts w:ascii="Arial" w:eastAsia="Times New Roman" w:hAnsi="Arial" w:cs="Arial"/>
          <w:bCs/>
          <w:sz w:val="20"/>
          <w:szCs w:val="18"/>
        </w:rPr>
        <w:t>Zingiberaceae</w:t>
      </w:r>
      <w:proofErr w:type="spellEnd"/>
      <w:r w:rsidRPr="007F696F">
        <w:rPr>
          <w:rFonts w:ascii="Arial" w:eastAsia="Times New Roman" w:hAnsi="Arial" w:cs="Arial"/>
          <w:bCs/>
          <w:sz w:val="20"/>
          <w:szCs w:val="18"/>
        </w:rPr>
        <w:t xml:space="preserve"> and often called Indian Saffron, and is native to South East Asia, especially India. </w:t>
      </w:r>
      <w:r w:rsidRPr="007F696F">
        <w:rPr>
          <w:rFonts w:ascii="Arial" w:eastAsia="Times New Roman" w:hAnsi="Arial" w:cs="Arial"/>
          <w:bCs/>
          <w:sz w:val="20"/>
          <w:szCs w:val="18"/>
          <w:lang w:val="en-IN"/>
        </w:rPr>
        <w:t xml:space="preserve">India has acreage of 3.49 lakh hectares under turmeric with the production of 13.34 lakh tonnes in 2021-22. The major trading hubs of turmeric in India are mainly Nizamabad (Telangana), </w:t>
      </w:r>
      <w:proofErr w:type="spellStart"/>
      <w:r w:rsidRPr="007F696F">
        <w:rPr>
          <w:rFonts w:ascii="Arial" w:eastAsia="Times New Roman" w:hAnsi="Arial" w:cs="Arial"/>
          <w:bCs/>
          <w:sz w:val="20"/>
          <w:szCs w:val="18"/>
          <w:lang w:val="en-IN"/>
        </w:rPr>
        <w:t>Duggirala</w:t>
      </w:r>
      <w:proofErr w:type="spellEnd"/>
      <w:r w:rsidRPr="007F696F">
        <w:rPr>
          <w:rFonts w:ascii="Arial" w:eastAsia="Times New Roman" w:hAnsi="Arial" w:cs="Arial"/>
          <w:bCs/>
          <w:sz w:val="20"/>
          <w:szCs w:val="18"/>
          <w:lang w:val="en-IN"/>
        </w:rPr>
        <w:t xml:space="preserve"> (Andhra Pradesh), </w:t>
      </w:r>
      <w:proofErr w:type="spellStart"/>
      <w:r w:rsidRPr="007F696F">
        <w:rPr>
          <w:rFonts w:ascii="Arial" w:eastAsia="Times New Roman" w:hAnsi="Arial" w:cs="Arial"/>
          <w:bCs/>
          <w:sz w:val="20"/>
          <w:szCs w:val="18"/>
          <w:lang w:val="en-IN"/>
        </w:rPr>
        <w:t>Sangli</w:t>
      </w:r>
      <w:proofErr w:type="spellEnd"/>
      <w:r w:rsidRPr="007F696F">
        <w:rPr>
          <w:rFonts w:ascii="Arial" w:eastAsia="Times New Roman" w:hAnsi="Arial" w:cs="Arial"/>
          <w:bCs/>
          <w:sz w:val="20"/>
          <w:szCs w:val="18"/>
          <w:lang w:val="en-IN"/>
        </w:rPr>
        <w:t xml:space="preserve"> (Maharashtra) and Salem, Erode, Dharmapuri and Coimbatore (Tamil Nadu). Andhra Pradesh is one of the major states cultivating and producing turmeric in India. In this state there are five </w:t>
      </w:r>
      <w:proofErr w:type="spellStart"/>
      <w:r w:rsidRPr="007F696F">
        <w:rPr>
          <w:rFonts w:ascii="Arial" w:eastAsia="Times New Roman" w:hAnsi="Arial" w:cs="Arial"/>
          <w:bCs/>
          <w:sz w:val="20"/>
          <w:szCs w:val="18"/>
          <w:lang w:val="en-IN"/>
        </w:rPr>
        <w:t>agro</w:t>
      </w:r>
      <w:proofErr w:type="spellEnd"/>
      <w:r w:rsidRPr="007F696F">
        <w:rPr>
          <w:rFonts w:ascii="Arial" w:eastAsia="Times New Roman" w:hAnsi="Arial" w:cs="Arial"/>
          <w:bCs/>
          <w:sz w:val="20"/>
          <w:szCs w:val="18"/>
          <w:lang w:val="en-IN"/>
        </w:rPr>
        <w:t xml:space="preserve">-climatic zones </w:t>
      </w:r>
      <w:proofErr w:type="spellStart"/>
      <w:r w:rsidRPr="007F696F">
        <w:rPr>
          <w:rFonts w:ascii="Arial" w:eastAsia="Times New Roman" w:hAnsi="Arial" w:cs="Arial"/>
          <w:bCs/>
          <w:sz w:val="20"/>
          <w:szCs w:val="18"/>
          <w:lang w:val="en-IN"/>
        </w:rPr>
        <w:t>Duggirala</w:t>
      </w:r>
      <w:proofErr w:type="spellEnd"/>
      <w:r w:rsidRPr="007F696F">
        <w:rPr>
          <w:rFonts w:ascii="Arial" w:eastAsia="Times New Roman" w:hAnsi="Arial" w:cs="Arial"/>
          <w:bCs/>
          <w:sz w:val="20"/>
          <w:szCs w:val="18"/>
          <w:lang w:val="en-IN"/>
        </w:rPr>
        <w:t xml:space="preserve"> zone, Y.S.R Kadapa zone, Nizamabad zone, Godavari zone and Agency. During the year 2021-22 the area under turmeric cultivation in Andhra Pradesh was 25,500 acres. Y.S.R Kadapa stands at first position followed by Krishna and Guntur districts respectively.</w:t>
      </w:r>
      <w:r w:rsidRPr="007F696F">
        <w:rPr>
          <w:rFonts w:ascii="Arial" w:eastAsia="Times New Roman" w:hAnsi="Arial" w:cs="Arial"/>
          <w:sz w:val="20"/>
          <w:szCs w:val="18"/>
          <w:lang w:val="en-IN"/>
        </w:rPr>
        <w:t xml:space="preserve"> </w:t>
      </w:r>
      <w:r w:rsidRPr="007F696F">
        <w:rPr>
          <w:rFonts w:ascii="Arial" w:eastAsia="Times New Roman" w:hAnsi="Arial" w:cs="Arial"/>
          <w:bCs/>
          <w:sz w:val="20"/>
          <w:szCs w:val="18"/>
          <w:lang w:val="en-IN"/>
        </w:rPr>
        <w:t xml:space="preserve">Turmeric is grown on 4,348 acres in the erstwhile Guntur district, with 1,881 acres in Guntur, 1,645 acres in </w:t>
      </w:r>
      <w:proofErr w:type="spellStart"/>
      <w:r w:rsidRPr="007F696F">
        <w:rPr>
          <w:rFonts w:ascii="Arial" w:eastAsia="Times New Roman" w:hAnsi="Arial" w:cs="Arial"/>
          <w:bCs/>
          <w:sz w:val="20"/>
          <w:szCs w:val="18"/>
          <w:lang w:val="en-IN"/>
        </w:rPr>
        <w:t>Bapatla</w:t>
      </w:r>
      <w:proofErr w:type="spellEnd"/>
      <w:r w:rsidRPr="007F696F">
        <w:rPr>
          <w:rFonts w:ascii="Arial" w:eastAsia="Times New Roman" w:hAnsi="Arial" w:cs="Arial"/>
          <w:bCs/>
          <w:sz w:val="20"/>
          <w:szCs w:val="18"/>
          <w:lang w:val="en-IN"/>
        </w:rPr>
        <w:t xml:space="preserve">, and 820 acres in </w:t>
      </w:r>
      <w:proofErr w:type="spellStart"/>
      <w:r w:rsidRPr="007F696F">
        <w:rPr>
          <w:rFonts w:ascii="Arial" w:eastAsia="Times New Roman" w:hAnsi="Arial" w:cs="Arial"/>
          <w:bCs/>
          <w:sz w:val="20"/>
          <w:szCs w:val="18"/>
          <w:lang w:val="en-IN"/>
        </w:rPr>
        <w:t>Palnadu.Total</w:t>
      </w:r>
      <w:proofErr w:type="spellEnd"/>
      <w:r w:rsidRPr="007F696F">
        <w:rPr>
          <w:rFonts w:ascii="Arial" w:eastAsia="Times New Roman" w:hAnsi="Arial" w:cs="Arial"/>
          <w:bCs/>
          <w:sz w:val="20"/>
          <w:szCs w:val="18"/>
          <w:lang w:val="en-IN"/>
        </w:rPr>
        <w:t xml:space="preserve"> production is 17996 met</w:t>
      </w:r>
      <w:r w:rsidR="00C845A2">
        <w:rPr>
          <w:rFonts w:ascii="Arial" w:eastAsia="Times New Roman" w:hAnsi="Arial" w:cs="Arial"/>
          <w:bCs/>
          <w:sz w:val="20"/>
          <w:szCs w:val="18"/>
          <w:lang w:val="en-IN"/>
        </w:rPr>
        <w:t>ric tonnes</w:t>
      </w:r>
      <w:r w:rsidRPr="007F696F">
        <w:rPr>
          <w:rFonts w:ascii="Arial" w:eastAsia="Times New Roman" w:hAnsi="Arial" w:cs="Arial"/>
          <w:bCs/>
          <w:sz w:val="20"/>
          <w:szCs w:val="18"/>
          <w:lang w:val="en-IN"/>
        </w:rPr>
        <w:t xml:space="preserve">. Guntur hosts the largest turmeric market in </w:t>
      </w:r>
      <w:proofErr w:type="spellStart"/>
      <w:r w:rsidRPr="007F696F">
        <w:rPr>
          <w:rFonts w:ascii="Arial" w:eastAsia="Times New Roman" w:hAnsi="Arial" w:cs="Arial"/>
          <w:bCs/>
          <w:sz w:val="20"/>
          <w:szCs w:val="18"/>
          <w:lang w:val="en-IN"/>
        </w:rPr>
        <w:t>Duggirala</w:t>
      </w:r>
      <w:proofErr w:type="spellEnd"/>
      <w:r w:rsidRPr="007F696F">
        <w:rPr>
          <w:rFonts w:ascii="Arial" w:eastAsia="Times New Roman" w:hAnsi="Arial" w:cs="Arial"/>
          <w:bCs/>
          <w:sz w:val="20"/>
          <w:szCs w:val="18"/>
          <w:lang w:val="en-IN"/>
        </w:rPr>
        <w:t xml:space="preserve">, and the crop is primarily cultivated in </w:t>
      </w:r>
      <w:proofErr w:type="spellStart"/>
      <w:r w:rsidRPr="007F696F">
        <w:rPr>
          <w:rFonts w:ascii="Arial" w:eastAsia="Times New Roman" w:hAnsi="Arial" w:cs="Arial"/>
          <w:bCs/>
          <w:sz w:val="20"/>
          <w:szCs w:val="18"/>
          <w:lang w:val="en-IN"/>
        </w:rPr>
        <w:t>Tadepalli</w:t>
      </w:r>
      <w:proofErr w:type="spellEnd"/>
      <w:r w:rsidRPr="007F696F">
        <w:rPr>
          <w:rFonts w:ascii="Arial" w:eastAsia="Times New Roman" w:hAnsi="Arial" w:cs="Arial"/>
          <w:bCs/>
          <w:sz w:val="20"/>
          <w:szCs w:val="18"/>
          <w:lang w:val="en-IN"/>
        </w:rPr>
        <w:t xml:space="preserve">, </w:t>
      </w:r>
      <w:proofErr w:type="spellStart"/>
      <w:r w:rsidRPr="007F696F">
        <w:rPr>
          <w:rFonts w:ascii="Arial" w:eastAsia="Times New Roman" w:hAnsi="Arial" w:cs="Arial"/>
          <w:bCs/>
          <w:sz w:val="20"/>
          <w:szCs w:val="18"/>
          <w:lang w:val="en-IN"/>
        </w:rPr>
        <w:t>Mangalagiri</w:t>
      </w:r>
      <w:proofErr w:type="spellEnd"/>
      <w:r w:rsidRPr="007F696F">
        <w:rPr>
          <w:rFonts w:ascii="Arial" w:eastAsia="Times New Roman" w:hAnsi="Arial" w:cs="Arial"/>
          <w:bCs/>
          <w:sz w:val="20"/>
          <w:szCs w:val="18"/>
          <w:lang w:val="en-IN"/>
        </w:rPr>
        <w:t xml:space="preserve">, </w:t>
      </w:r>
      <w:proofErr w:type="spellStart"/>
      <w:r w:rsidRPr="007F696F">
        <w:rPr>
          <w:rFonts w:ascii="Arial" w:eastAsia="Times New Roman" w:hAnsi="Arial" w:cs="Arial"/>
          <w:bCs/>
          <w:sz w:val="20"/>
          <w:szCs w:val="18"/>
          <w:lang w:val="en-IN"/>
        </w:rPr>
        <w:t>Kollipara</w:t>
      </w:r>
      <w:proofErr w:type="spellEnd"/>
      <w:r w:rsidRPr="007F696F">
        <w:rPr>
          <w:rFonts w:ascii="Arial" w:eastAsia="Times New Roman" w:hAnsi="Arial" w:cs="Arial"/>
          <w:bCs/>
          <w:sz w:val="20"/>
          <w:szCs w:val="18"/>
          <w:lang w:val="en-IN"/>
        </w:rPr>
        <w:t xml:space="preserve">, </w:t>
      </w:r>
      <w:proofErr w:type="spellStart"/>
      <w:r w:rsidRPr="007F696F">
        <w:rPr>
          <w:rFonts w:ascii="Arial" w:eastAsia="Times New Roman" w:hAnsi="Arial" w:cs="Arial"/>
          <w:bCs/>
          <w:sz w:val="20"/>
          <w:szCs w:val="18"/>
          <w:lang w:val="en-IN"/>
        </w:rPr>
        <w:lastRenderedPageBreak/>
        <w:t>Duggirala</w:t>
      </w:r>
      <w:proofErr w:type="spellEnd"/>
      <w:r w:rsidRPr="007F696F">
        <w:rPr>
          <w:rFonts w:ascii="Arial" w:eastAsia="Times New Roman" w:hAnsi="Arial" w:cs="Arial"/>
          <w:bCs/>
          <w:sz w:val="20"/>
          <w:szCs w:val="18"/>
          <w:lang w:val="en-IN"/>
        </w:rPr>
        <w:t xml:space="preserve">, Tenali, </w:t>
      </w:r>
      <w:proofErr w:type="spellStart"/>
      <w:r w:rsidRPr="007F696F">
        <w:rPr>
          <w:rFonts w:ascii="Arial" w:eastAsia="Times New Roman" w:hAnsi="Arial" w:cs="Arial"/>
          <w:bCs/>
          <w:sz w:val="20"/>
          <w:szCs w:val="18"/>
          <w:lang w:val="en-IN"/>
        </w:rPr>
        <w:t>Medikonduru</w:t>
      </w:r>
      <w:proofErr w:type="spellEnd"/>
      <w:r w:rsidRPr="007F696F">
        <w:rPr>
          <w:rFonts w:ascii="Arial" w:eastAsia="Times New Roman" w:hAnsi="Arial" w:cs="Arial"/>
          <w:bCs/>
          <w:sz w:val="20"/>
          <w:szCs w:val="18"/>
          <w:lang w:val="en-IN"/>
        </w:rPr>
        <w:t xml:space="preserve">, </w:t>
      </w:r>
      <w:proofErr w:type="spellStart"/>
      <w:r w:rsidRPr="007F696F">
        <w:rPr>
          <w:rFonts w:ascii="Arial" w:eastAsia="Times New Roman" w:hAnsi="Arial" w:cs="Arial"/>
          <w:bCs/>
          <w:sz w:val="20"/>
          <w:szCs w:val="18"/>
          <w:lang w:val="en-IN"/>
        </w:rPr>
        <w:t>Vemuru</w:t>
      </w:r>
      <w:proofErr w:type="spellEnd"/>
      <w:r w:rsidRPr="007F696F">
        <w:rPr>
          <w:rFonts w:ascii="Arial" w:eastAsia="Times New Roman" w:hAnsi="Arial" w:cs="Arial"/>
          <w:bCs/>
          <w:sz w:val="20"/>
          <w:szCs w:val="18"/>
          <w:lang w:val="en-IN"/>
        </w:rPr>
        <w:t xml:space="preserve">, </w:t>
      </w:r>
      <w:proofErr w:type="spellStart"/>
      <w:r w:rsidRPr="007F696F">
        <w:rPr>
          <w:rFonts w:ascii="Arial" w:eastAsia="Times New Roman" w:hAnsi="Arial" w:cs="Arial"/>
          <w:bCs/>
          <w:sz w:val="20"/>
          <w:szCs w:val="18"/>
          <w:lang w:val="en-IN"/>
        </w:rPr>
        <w:t>Kolluru</w:t>
      </w:r>
      <w:proofErr w:type="spellEnd"/>
      <w:r w:rsidRPr="007F696F">
        <w:rPr>
          <w:rFonts w:ascii="Arial" w:eastAsia="Times New Roman" w:hAnsi="Arial" w:cs="Arial"/>
          <w:bCs/>
          <w:sz w:val="20"/>
          <w:szCs w:val="18"/>
          <w:lang w:val="en-IN"/>
        </w:rPr>
        <w:t xml:space="preserve">, Bhattiprolu, </w:t>
      </w:r>
      <w:proofErr w:type="spellStart"/>
      <w:r w:rsidRPr="007F696F">
        <w:rPr>
          <w:rFonts w:ascii="Arial" w:eastAsia="Times New Roman" w:hAnsi="Arial" w:cs="Arial"/>
          <w:bCs/>
          <w:sz w:val="20"/>
          <w:szCs w:val="18"/>
          <w:lang w:val="en-IN"/>
        </w:rPr>
        <w:t>Amruthaluru</w:t>
      </w:r>
      <w:proofErr w:type="spellEnd"/>
      <w:r w:rsidRPr="007F696F">
        <w:rPr>
          <w:rFonts w:ascii="Arial" w:eastAsia="Times New Roman" w:hAnsi="Arial" w:cs="Arial"/>
          <w:bCs/>
          <w:sz w:val="20"/>
          <w:szCs w:val="18"/>
          <w:lang w:val="en-IN"/>
        </w:rPr>
        <w:t xml:space="preserve">, </w:t>
      </w:r>
      <w:proofErr w:type="spellStart"/>
      <w:r w:rsidRPr="007F696F">
        <w:rPr>
          <w:rFonts w:ascii="Arial" w:eastAsia="Times New Roman" w:hAnsi="Arial" w:cs="Arial"/>
          <w:bCs/>
          <w:sz w:val="20"/>
          <w:szCs w:val="18"/>
          <w:lang w:val="en-IN"/>
        </w:rPr>
        <w:t>Chunduru</w:t>
      </w:r>
      <w:proofErr w:type="spellEnd"/>
      <w:r w:rsidRPr="007F696F">
        <w:rPr>
          <w:rFonts w:ascii="Arial" w:eastAsia="Times New Roman" w:hAnsi="Arial" w:cs="Arial"/>
          <w:bCs/>
          <w:sz w:val="20"/>
          <w:szCs w:val="18"/>
          <w:lang w:val="en-IN"/>
        </w:rPr>
        <w:t xml:space="preserve">, </w:t>
      </w:r>
      <w:proofErr w:type="spellStart"/>
      <w:r w:rsidRPr="007F696F">
        <w:rPr>
          <w:rFonts w:ascii="Arial" w:eastAsia="Times New Roman" w:hAnsi="Arial" w:cs="Arial"/>
          <w:bCs/>
          <w:sz w:val="20"/>
          <w:szCs w:val="18"/>
          <w:lang w:val="en-IN"/>
        </w:rPr>
        <w:t>Repallemandals</w:t>
      </w:r>
      <w:proofErr w:type="spellEnd"/>
      <w:r w:rsidRPr="007F696F">
        <w:rPr>
          <w:rFonts w:ascii="Arial" w:eastAsia="Times New Roman" w:hAnsi="Arial" w:cs="Arial"/>
          <w:bCs/>
          <w:sz w:val="20"/>
          <w:szCs w:val="18"/>
          <w:lang w:val="en-IN"/>
        </w:rPr>
        <w:t xml:space="preserve"> and island villages in </w:t>
      </w:r>
      <w:proofErr w:type="spellStart"/>
      <w:r w:rsidRPr="007F696F">
        <w:rPr>
          <w:rFonts w:ascii="Arial" w:eastAsia="Times New Roman" w:hAnsi="Arial" w:cs="Arial"/>
          <w:bCs/>
          <w:sz w:val="20"/>
          <w:szCs w:val="18"/>
          <w:lang w:val="en-IN"/>
        </w:rPr>
        <w:t>Bapatla</w:t>
      </w:r>
      <w:proofErr w:type="spellEnd"/>
      <w:r w:rsidRPr="007F696F">
        <w:rPr>
          <w:rFonts w:ascii="Arial" w:eastAsia="Times New Roman" w:hAnsi="Arial" w:cs="Arial"/>
          <w:bCs/>
          <w:sz w:val="20"/>
          <w:szCs w:val="18"/>
          <w:lang w:val="en-IN"/>
        </w:rPr>
        <w:t>.</w:t>
      </w:r>
    </w:p>
    <w:p w14:paraId="69530E76" w14:textId="77777777" w:rsidR="007F696F" w:rsidRPr="007F696F" w:rsidRDefault="007F696F" w:rsidP="0055419F">
      <w:pPr>
        <w:jc w:val="both"/>
        <w:rPr>
          <w:rFonts w:ascii="Arial" w:eastAsia="Times New Roman" w:hAnsi="Arial" w:cs="Arial"/>
          <w:bCs/>
          <w:sz w:val="20"/>
          <w:szCs w:val="18"/>
          <w:lang w:val="en-IN"/>
        </w:rPr>
      </w:pPr>
    </w:p>
    <w:p w14:paraId="325EB3B0" w14:textId="77777777" w:rsidR="00AD6CF7" w:rsidRPr="007F696F" w:rsidRDefault="00AD6CF7" w:rsidP="00AD6CF7">
      <w:pPr>
        <w:rPr>
          <w:rFonts w:ascii="Arial" w:eastAsia="Times New Roman" w:hAnsi="Arial" w:cs="Arial"/>
          <w:b/>
          <w:szCs w:val="20"/>
          <w:lang w:val="en-IN"/>
        </w:rPr>
      </w:pPr>
      <w:r w:rsidRPr="007F696F">
        <w:rPr>
          <w:rFonts w:ascii="Arial" w:eastAsia="Times New Roman" w:hAnsi="Arial" w:cs="Arial"/>
          <w:b/>
          <w:szCs w:val="20"/>
          <w:lang w:val="en-IN"/>
        </w:rPr>
        <w:t>2. LITERATURE REVIEW</w:t>
      </w:r>
    </w:p>
    <w:p w14:paraId="76203336" w14:textId="77777777" w:rsidR="007F696F" w:rsidRPr="007F696F" w:rsidRDefault="00AD6CF7" w:rsidP="007F696F">
      <w:pPr>
        <w:jc w:val="both"/>
        <w:rPr>
          <w:rFonts w:ascii="Arial" w:eastAsia="Times New Roman" w:hAnsi="Arial" w:cs="Arial"/>
          <w:bCs/>
          <w:sz w:val="20"/>
          <w:szCs w:val="18"/>
        </w:rPr>
      </w:pPr>
      <w:r w:rsidRPr="007F696F">
        <w:rPr>
          <w:rFonts w:ascii="Arial" w:eastAsia="Times New Roman" w:hAnsi="Arial" w:cs="Arial"/>
          <w:bCs/>
          <w:sz w:val="20"/>
          <w:szCs w:val="18"/>
        </w:rPr>
        <w:t xml:space="preserve">BMN </w:t>
      </w:r>
      <w:r w:rsidRPr="007F696F">
        <w:rPr>
          <w:rFonts w:ascii="Arial" w:eastAsia="Times New Roman" w:hAnsi="Arial" w:cs="Arial"/>
          <w:bCs/>
          <w:i/>
          <w:iCs/>
          <w:sz w:val="20"/>
          <w:szCs w:val="18"/>
        </w:rPr>
        <w:t>et al</w:t>
      </w:r>
      <w:r w:rsidRPr="007F696F">
        <w:rPr>
          <w:rFonts w:ascii="Arial" w:eastAsia="Times New Roman" w:hAnsi="Arial" w:cs="Arial"/>
          <w:bCs/>
          <w:sz w:val="20"/>
          <w:szCs w:val="18"/>
        </w:rPr>
        <w:t>. (2024) studied the economic dynamics of turmeric production and primary processing in Chamarajanagar district, Karnataka. The analysis employed different cost concepts and the Garrett Ranking Technique. Turmeric cultivation alone yields a net return of ₹18,134 per acre, while incorporating primary processing increases this figure to ₹24,775 per acre. The cost-benefit analysis underscores the profitability of turmeric production, with ratios of 1.21 and 1.25 with and without primary processing, respectively.</w:t>
      </w:r>
    </w:p>
    <w:p w14:paraId="4C599B5F" w14:textId="77777777" w:rsidR="007F696F" w:rsidRPr="007F696F" w:rsidRDefault="00AD6CF7" w:rsidP="0055419F">
      <w:pPr>
        <w:jc w:val="both"/>
        <w:rPr>
          <w:rFonts w:ascii="Arial" w:eastAsia="Times New Roman" w:hAnsi="Arial" w:cs="Arial"/>
          <w:bCs/>
          <w:sz w:val="20"/>
          <w:szCs w:val="18"/>
        </w:rPr>
      </w:pPr>
      <w:r w:rsidRPr="007F696F">
        <w:rPr>
          <w:rFonts w:ascii="Arial" w:eastAsia="Times New Roman" w:hAnsi="Arial" w:cs="Arial"/>
          <w:bCs/>
          <w:sz w:val="20"/>
          <w:szCs w:val="18"/>
        </w:rPr>
        <w:t xml:space="preserve">Kumar </w:t>
      </w:r>
      <w:r w:rsidRPr="007F696F">
        <w:rPr>
          <w:rFonts w:ascii="Arial" w:eastAsia="Times New Roman" w:hAnsi="Arial" w:cs="Arial"/>
          <w:bCs/>
          <w:i/>
          <w:iCs/>
          <w:sz w:val="20"/>
          <w:szCs w:val="18"/>
        </w:rPr>
        <w:t>et al</w:t>
      </w:r>
      <w:r w:rsidRPr="007F696F">
        <w:rPr>
          <w:rFonts w:ascii="Arial" w:eastAsia="Times New Roman" w:hAnsi="Arial" w:cs="Arial"/>
          <w:bCs/>
          <w:sz w:val="20"/>
          <w:szCs w:val="18"/>
        </w:rPr>
        <w:t xml:space="preserve">. (2023) studied on the cost and returns analysis of turmeric production in </w:t>
      </w:r>
      <w:proofErr w:type="spellStart"/>
      <w:r w:rsidRPr="007F696F">
        <w:rPr>
          <w:rFonts w:ascii="Arial" w:eastAsia="Times New Roman" w:hAnsi="Arial" w:cs="Arial"/>
          <w:bCs/>
          <w:sz w:val="20"/>
          <w:szCs w:val="18"/>
        </w:rPr>
        <w:t>Kodumudi</w:t>
      </w:r>
      <w:proofErr w:type="spellEnd"/>
      <w:r w:rsidRPr="007F696F">
        <w:rPr>
          <w:rFonts w:ascii="Arial" w:eastAsia="Times New Roman" w:hAnsi="Arial" w:cs="Arial"/>
          <w:bCs/>
          <w:sz w:val="20"/>
          <w:szCs w:val="18"/>
        </w:rPr>
        <w:t xml:space="preserve"> block of Erode district. It was calculated that growing turmeric would cost Rs 1,46,151 per acre. The gross profit per acre realized was Rs 2,60,347 and the net profit was Rs 1,14,196.</w:t>
      </w:r>
    </w:p>
    <w:p w14:paraId="24AA75FD" w14:textId="77777777" w:rsidR="004E14F0" w:rsidRPr="007F696F" w:rsidRDefault="004E14F0" w:rsidP="0055419F">
      <w:pPr>
        <w:jc w:val="both"/>
        <w:rPr>
          <w:rFonts w:ascii="Arial" w:eastAsia="Times New Roman" w:hAnsi="Arial" w:cs="Arial"/>
          <w:bCs/>
          <w:sz w:val="20"/>
          <w:szCs w:val="18"/>
        </w:rPr>
      </w:pPr>
      <w:proofErr w:type="spellStart"/>
      <w:r w:rsidRPr="007F696F">
        <w:rPr>
          <w:rFonts w:ascii="Arial" w:eastAsia="Times New Roman" w:hAnsi="Arial" w:cs="Arial"/>
          <w:bCs/>
          <w:sz w:val="20"/>
          <w:szCs w:val="18"/>
        </w:rPr>
        <w:t>Borbaruah</w:t>
      </w:r>
      <w:proofErr w:type="spellEnd"/>
      <w:r w:rsidRPr="007F696F">
        <w:rPr>
          <w:rFonts w:ascii="Arial" w:eastAsia="Times New Roman" w:hAnsi="Arial" w:cs="Arial"/>
          <w:bCs/>
          <w:sz w:val="20"/>
          <w:szCs w:val="18"/>
        </w:rPr>
        <w:t xml:space="preserve"> and Barman (2023) conducted a study to identify the production and marketing constraints faced by ginger and turmeric growers in the </w:t>
      </w:r>
      <w:proofErr w:type="spellStart"/>
      <w:r w:rsidRPr="007F696F">
        <w:rPr>
          <w:rFonts w:ascii="Arial" w:eastAsia="Times New Roman" w:hAnsi="Arial" w:cs="Arial"/>
          <w:bCs/>
          <w:sz w:val="20"/>
          <w:szCs w:val="18"/>
        </w:rPr>
        <w:t>KarbiAnglong</w:t>
      </w:r>
      <w:proofErr w:type="spellEnd"/>
      <w:r w:rsidRPr="007F696F">
        <w:rPr>
          <w:rFonts w:ascii="Arial" w:eastAsia="Times New Roman" w:hAnsi="Arial" w:cs="Arial"/>
          <w:bCs/>
          <w:sz w:val="20"/>
          <w:szCs w:val="18"/>
        </w:rPr>
        <w:t xml:space="preserve"> and Jorhat districts of Assam during September 2021. The study revealed that in the hill district, the major production and marketing constraints were the low adoption of improved production practices and the influence of middlemen/local traders. In the plains, unfavorable weather conditions and poor market infrastructure were significant issues. </w:t>
      </w:r>
    </w:p>
    <w:p w14:paraId="3A7D22A8" w14:textId="77777777" w:rsidR="004E14F0" w:rsidRPr="007F696F" w:rsidRDefault="00AD6CF7" w:rsidP="0055419F">
      <w:pPr>
        <w:jc w:val="both"/>
        <w:rPr>
          <w:rFonts w:ascii="Arial" w:eastAsia="Times New Roman" w:hAnsi="Arial" w:cs="Arial"/>
          <w:bCs/>
          <w:sz w:val="20"/>
          <w:szCs w:val="18"/>
        </w:rPr>
      </w:pPr>
      <w:r w:rsidRPr="007F696F">
        <w:rPr>
          <w:rFonts w:ascii="Arial" w:eastAsia="Times New Roman" w:hAnsi="Arial" w:cs="Arial"/>
          <w:bCs/>
          <w:sz w:val="20"/>
          <w:szCs w:val="18"/>
        </w:rPr>
        <w:t xml:space="preserve">Devi and </w:t>
      </w:r>
      <w:proofErr w:type="spellStart"/>
      <w:r w:rsidRPr="007F696F">
        <w:rPr>
          <w:rFonts w:ascii="Arial" w:eastAsia="Times New Roman" w:hAnsi="Arial" w:cs="Arial"/>
          <w:bCs/>
          <w:sz w:val="20"/>
          <w:szCs w:val="18"/>
        </w:rPr>
        <w:t>Bhoi</w:t>
      </w:r>
      <w:proofErr w:type="spellEnd"/>
      <w:r w:rsidRPr="007F696F">
        <w:rPr>
          <w:rFonts w:ascii="Arial" w:eastAsia="Times New Roman" w:hAnsi="Arial" w:cs="Arial"/>
          <w:bCs/>
          <w:sz w:val="20"/>
          <w:szCs w:val="18"/>
        </w:rPr>
        <w:t xml:space="preserve"> (2022) conducted a study to compare the economic aspects of processed and non-processed turmeric farmers in middle Gujarat. The results indicated that the total cost per hectare was higher for processed (2,10,887 per ha) than non-processed turmeric farmers (1,70,922 per ha). However, a significant difference was observed in price per unit, gross return, the net return and benefit-cost ratio realized by the farmers who were selling the produce in powder form as compared to fresh.</w:t>
      </w:r>
    </w:p>
    <w:p w14:paraId="6DA76643" w14:textId="77777777" w:rsidR="001B73A5" w:rsidRDefault="004E14F0" w:rsidP="004E14F0">
      <w:pPr>
        <w:jc w:val="both"/>
        <w:rPr>
          <w:rFonts w:ascii="Arial" w:eastAsia="Times New Roman" w:hAnsi="Arial" w:cs="Arial"/>
          <w:bCs/>
          <w:sz w:val="20"/>
          <w:szCs w:val="18"/>
        </w:rPr>
      </w:pPr>
      <w:proofErr w:type="spellStart"/>
      <w:r w:rsidRPr="007F696F">
        <w:rPr>
          <w:rFonts w:ascii="Arial" w:eastAsia="Times New Roman" w:hAnsi="Arial" w:cs="Arial"/>
          <w:bCs/>
          <w:sz w:val="20"/>
          <w:szCs w:val="18"/>
        </w:rPr>
        <w:t>Govindaswamy</w:t>
      </w:r>
      <w:proofErr w:type="spellEnd"/>
      <w:r w:rsidR="00690EB4" w:rsidRPr="007F696F">
        <w:rPr>
          <w:rFonts w:ascii="Arial" w:eastAsia="Times New Roman" w:hAnsi="Arial" w:cs="Arial"/>
          <w:bCs/>
          <w:sz w:val="20"/>
          <w:szCs w:val="18"/>
        </w:rPr>
        <w:t xml:space="preserve"> </w:t>
      </w:r>
      <w:r w:rsidRPr="007F696F">
        <w:rPr>
          <w:rFonts w:ascii="Arial" w:eastAsia="Times New Roman" w:hAnsi="Arial" w:cs="Arial"/>
          <w:bCs/>
          <w:i/>
          <w:iCs/>
          <w:sz w:val="20"/>
          <w:szCs w:val="18"/>
        </w:rPr>
        <w:t>et al</w:t>
      </w:r>
      <w:r w:rsidRPr="007F696F">
        <w:rPr>
          <w:rFonts w:ascii="Arial" w:eastAsia="Times New Roman" w:hAnsi="Arial" w:cs="Arial"/>
          <w:bCs/>
          <w:sz w:val="20"/>
          <w:szCs w:val="18"/>
        </w:rPr>
        <w:t>. (2021</w:t>
      </w:r>
      <w:proofErr w:type="gramStart"/>
      <w:r w:rsidRPr="007F696F">
        <w:rPr>
          <w:rFonts w:ascii="Arial" w:eastAsia="Times New Roman" w:hAnsi="Arial" w:cs="Arial"/>
          <w:bCs/>
          <w:sz w:val="20"/>
          <w:szCs w:val="18"/>
        </w:rPr>
        <w:t>)  studied</w:t>
      </w:r>
      <w:proofErr w:type="gramEnd"/>
      <w:r w:rsidRPr="007F696F">
        <w:rPr>
          <w:rFonts w:ascii="Arial" w:eastAsia="Times New Roman" w:hAnsi="Arial" w:cs="Arial"/>
          <w:bCs/>
          <w:sz w:val="20"/>
          <w:szCs w:val="18"/>
        </w:rPr>
        <w:t xml:space="preserve"> the cost and profitability of turmeric cultivation in the Coimbatore district. The study found that both total variable cost and total fixed cost were higher for large farmers, accounting for 40.17 per cent and 13.44 per cent, respectively. Despite these costs, turmeric cultivation proved to be profitable, with a total production cost of Rs. 1,08,794 per acre and a gross income of Rs. 2,14,821. The net income per acre was Rs. 1,06,027, and the Cost-Benefit Ratio was greater than one. This indicates that turmeric production was remunerative and profitable for cultivators in the Coimbatore district.</w:t>
      </w:r>
    </w:p>
    <w:p w14:paraId="4A0B135F" w14:textId="77777777" w:rsidR="00C21568" w:rsidRDefault="004E14F0" w:rsidP="004E14F0">
      <w:pPr>
        <w:jc w:val="both"/>
        <w:rPr>
          <w:rFonts w:ascii="Arial" w:eastAsia="Times New Roman" w:hAnsi="Arial" w:cs="Arial"/>
          <w:bCs/>
          <w:sz w:val="20"/>
          <w:szCs w:val="18"/>
        </w:rPr>
      </w:pPr>
      <w:proofErr w:type="spellStart"/>
      <w:r w:rsidRPr="007F696F">
        <w:rPr>
          <w:rFonts w:ascii="Arial" w:eastAsia="Times New Roman" w:hAnsi="Arial" w:cs="Arial"/>
          <w:bCs/>
          <w:sz w:val="20"/>
          <w:szCs w:val="18"/>
        </w:rPr>
        <w:t>Papang</w:t>
      </w:r>
      <w:proofErr w:type="spellEnd"/>
      <w:r w:rsidRPr="007F696F">
        <w:rPr>
          <w:rFonts w:ascii="Arial" w:eastAsia="Times New Roman" w:hAnsi="Arial" w:cs="Arial"/>
          <w:bCs/>
          <w:sz w:val="20"/>
          <w:szCs w:val="18"/>
        </w:rPr>
        <w:t xml:space="preserve"> and Tripathi (2014) revealed from their study on costs and returns structure of turmeric in </w:t>
      </w:r>
      <w:proofErr w:type="spellStart"/>
      <w:r w:rsidRPr="007F696F">
        <w:rPr>
          <w:rFonts w:ascii="Arial" w:eastAsia="Times New Roman" w:hAnsi="Arial" w:cs="Arial"/>
          <w:bCs/>
          <w:sz w:val="20"/>
          <w:szCs w:val="18"/>
        </w:rPr>
        <w:t>Jaintia</w:t>
      </w:r>
      <w:proofErr w:type="spellEnd"/>
      <w:r w:rsidRPr="007F696F">
        <w:rPr>
          <w:rFonts w:ascii="Arial" w:eastAsia="Times New Roman" w:hAnsi="Arial" w:cs="Arial"/>
          <w:bCs/>
          <w:sz w:val="20"/>
          <w:szCs w:val="18"/>
        </w:rPr>
        <w:t xml:space="preserve"> district of Meghalaya that the average yield of fresh turmeric was 49 quintals per hectare, which dries down to approximately 14.7 quintals per hectare of semi-processed turmeric. Variable costs account for about 98 per cent of the total cost. The total cultivation cost (cost C2) was estimated at Rs 77,012 per hectare. Net income is Rs 6,475 per hectare for fresh turmeric and Rs 28,109 per hectare for dried turmeric, with an additional ₹12,719 per hectare spent on post-harvest management. </w:t>
      </w:r>
    </w:p>
    <w:p w14:paraId="25F3073E" w14:textId="77777777" w:rsidR="004E14F0" w:rsidRPr="007F696F" w:rsidRDefault="004E14F0" w:rsidP="004E14F0">
      <w:pPr>
        <w:jc w:val="both"/>
        <w:rPr>
          <w:rFonts w:ascii="Arial" w:eastAsia="Times New Roman" w:hAnsi="Arial" w:cs="Arial"/>
          <w:bCs/>
          <w:sz w:val="20"/>
          <w:szCs w:val="18"/>
        </w:rPr>
      </w:pPr>
      <w:r w:rsidRPr="007F696F">
        <w:rPr>
          <w:rFonts w:ascii="Arial" w:eastAsia="Times New Roman" w:hAnsi="Arial" w:cs="Arial"/>
          <w:bCs/>
          <w:sz w:val="20"/>
          <w:szCs w:val="18"/>
        </w:rPr>
        <w:t xml:space="preserve">Malik and Saraf (2013) revealed major problems faced by Guava processors in Uttar Pradesh were non-availability of skilled </w:t>
      </w:r>
      <w:proofErr w:type="spellStart"/>
      <w:r w:rsidRPr="007F696F">
        <w:rPr>
          <w:rFonts w:ascii="Arial" w:eastAsia="Times New Roman" w:hAnsi="Arial" w:cs="Arial"/>
          <w:bCs/>
          <w:sz w:val="20"/>
          <w:szCs w:val="18"/>
        </w:rPr>
        <w:t>labours</w:t>
      </w:r>
      <w:proofErr w:type="spellEnd"/>
      <w:r w:rsidRPr="007F696F">
        <w:rPr>
          <w:rFonts w:ascii="Arial" w:eastAsia="Times New Roman" w:hAnsi="Arial" w:cs="Arial"/>
          <w:bCs/>
          <w:sz w:val="20"/>
          <w:szCs w:val="18"/>
        </w:rPr>
        <w:t xml:space="preserve">, lack of adequate capital and high degree of competition, etc. </w:t>
      </w:r>
    </w:p>
    <w:p w14:paraId="7769A64B" w14:textId="77777777" w:rsidR="004E14F0" w:rsidRPr="007F696F" w:rsidRDefault="004E14F0" w:rsidP="0055419F">
      <w:pPr>
        <w:jc w:val="both"/>
        <w:rPr>
          <w:rFonts w:ascii="Arial" w:eastAsia="Times New Roman" w:hAnsi="Arial" w:cs="Arial"/>
          <w:bCs/>
          <w:sz w:val="20"/>
          <w:szCs w:val="18"/>
        </w:rPr>
      </w:pPr>
      <w:r w:rsidRPr="007F696F">
        <w:rPr>
          <w:rFonts w:ascii="Arial" w:eastAsia="Times New Roman" w:hAnsi="Arial" w:cs="Arial"/>
          <w:bCs/>
          <w:sz w:val="20"/>
          <w:szCs w:val="18"/>
        </w:rPr>
        <w:t xml:space="preserve">Sharma and Pandey (2008) studied the costs and net profits from Guava processing in Uttar Pradesh in the year 2004-05. The cost of processing guava into jam and jellies per processing unit was estimated at </w:t>
      </w:r>
      <w:r w:rsidRPr="007F696F">
        <w:rPr>
          <w:rFonts w:ascii="Arial" w:eastAsia="Times New Roman" w:hAnsi="Arial" w:cs="Arial"/>
          <w:bCs/>
          <w:sz w:val="20"/>
          <w:szCs w:val="18"/>
        </w:rPr>
        <w:lastRenderedPageBreak/>
        <w:t>Rs. 3,96,482 per year, the gross returns obtained from selling it was worked out to Rs. 5,28,750 per year and the net returns obtained were Rs 1,32,268 per annum. It was observed that the processing of guava was more profitable than selling it raw.</w:t>
      </w:r>
    </w:p>
    <w:p w14:paraId="2B1D841B" w14:textId="77777777" w:rsidR="00AD6CF7" w:rsidRPr="007F696F" w:rsidRDefault="00AD6CF7" w:rsidP="0055419F">
      <w:pPr>
        <w:jc w:val="both"/>
        <w:rPr>
          <w:rFonts w:ascii="Arial" w:eastAsia="Times New Roman" w:hAnsi="Arial" w:cs="Arial"/>
          <w:bCs/>
          <w:sz w:val="20"/>
          <w:szCs w:val="18"/>
        </w:rPr>
      </w:pPr>
      <w:r w:rsidRPr="007F696F">
        <w:rPr>
          <w:rFonts w:ascii="Arial" w:eastAsia="Times New Roman" w:hAnsi="Arial" w:cs="Arial"/>
          <w:bCs/>
          <w:sz w:val="20"/>
          <w:szCs w:val="18"/>
        </w:rPr>
        <w:t xml:space="preserve">Lokesh and </w:t>
      </w:r>
      <w:proofErr w:type="spellStart"/>
      <w:r w:rsidRPr="007F696F">
        <w:rPr>
          <w:rFonts w:ascii="Arial" w:eastAsia="Times New Roman" w:hAnsi="Arial" w:cs="Arial"/>
          <w:bCs/>
          <w:sz w:val="20"/>
          <w:szCs w:val="18"/>
        </w:rPr>
        <w:t>Chandrakanth</w:t>
      </w:r>
      <w:proofErr w:type="spellEnd"/>
      <w:r w:rsidRPr="007F696F">
        <w:rPr>
          <w:rFonts w:ascii="Arial" w:eastAsia="Times New Roman" w:hAnsi="Arial" w:cs="Arial"/>
          <w:bCs/>
          <w:sz w:val="20"/>
          <w:szCs w:val="18"/>
        </w:rPr>
        <w:t xml:space="preserve"> (2004) studied on economics of production, marketing and processing of turmeric in Karnataka. They found that Karnataka was one of the major turmeric growing states and Chamarajanagar district produced 50 percent of the state’s output. The net benefit cost ratio is 1.06 and 1.29 at price of Rs. 2,200 and Rs. 2,360 per quintal at a cost of production of Rs. 956 and Rs. 1,141 per quintal. The domestic value addition in turmeric was 48 percent because of increased domestic demand.</w:t>
      </w:r>
    </w:p>
    <w:p w14:paraId="2661D933" w14:textId="77777777" w:rsidR="004E14F0" w:rsidRPr="007F696F" w:rsidRDefault="004E14F0" w:rsidP="0055419F">
      <w:pPr>
        <w:jc w:val="both"/>
        <w:rPr>
          <w:rFonts w:ascii="Arial" w:eastAsia="Times New Roman" w:hAnsi="Arial" w:cs="Arial"/>
          <w:bCs/>
          <w:sz w:val="27"/>
          <w:szCs w:val="24"/>
        </w:rPr>
      </w:pPr>
    </w:p>
    <w:p w14:paraId="12D647C1" w14:textId="77777777" w:rsidR="0083531A" w:rsidRPr="007F696F" w:rsidRDefault="0083531A" w:rsidP="0055419F">
      <w:pPr>
        <w:jc w:val="both"/>
        <w:rPr>
          <w:rFonts w:ascii="Arial" w:eastAsia="Times New Roman" w:hAnsi="Arial" w:cs="Arial"/>
          <w:bCs/>
          <w:szCs w:val="20"/>
        </w:rPr>
      </w:pPr>
      <w:r w:rsidRPr="007F696F">
        <w:rPr>
          <w:rFonts w:ascii="Arial" w:eastAsia="Times New Roman" w:hAnsi="Arial" w:cs="Arial"/>
          <w:b/>
          <w:szCs w:val="20"/>
        </w:rPr>
        <w:t>3. METHODOLOGY</w:t>
      </w:r>
    </w:p>
    <w:p w14:paraId="418B82DE" w14:textId="77777777" w:rsidR="00100580" w:rsidRDefault="0083531A" w:rsidP="00D42C6F">
      <w:pPr>
        <w:jc w:val="both"/>
        <w:rPr>
          <w:rFonts w:ascii="Arial" w:eastAsia="Times New Roman" w:hAnsi="Arial" w:cs="Arial"/>
          <w:bCs/>
          <w:sz w:val="20"/>
          <w:szCs w:val="18"/>
        </w:rPr>
      </w:pPr>
      <w:r w:rsidRPr="007F696F">
        <w:rPr>
          <w:rFonts w:ascii="Arial" w:eastAsia="Times New Roman" w:hAnsi="Arial" w:cs="Arial"/>
          <w:bCs/>
          <w:sz w:val="20"/>
          <w:szCs w:val="18"/>
          <w:lang w:val="en-IN"/>
        </w:rPr>
        <w:t xml:space="preserve">Purposive random sampling technique was employed for the selection of turmeric processing units from two categories </w:t>
      </w:r>
      <w:r w:rsidRPr="007F696F">
        <w:rPr>
          <w:rFonts w:ascii="Arial" w:eastAsia="Times New Roman" w:hAnsi="Arial" w:cs="Arial"/>
          <w:bCs/>
          <w:i/>
          <w:iCs/>
          <w:sz w:val="20"/>
          <w:szCs w:val="18"/>
          <w:lang w:val="en-IN"/>
        </w:rPr>
        <w:t>viz.,</w:t>
      </w:r>
      <w:r w:rsidRPr="007F696F">
        <w:rPr>
          <w:rFonts w:ascii="Arial" w:eastAsia="Times New Roman" w:hAnsi="Arial" w:cs="Arial"/>
          <w:bCs/>
          <w:sz w:val="20"/>
          <w:szCs w:val="18"/>
          <w:lang w:val="en-IN"/>
        </w:rPr>
        <w:t xml:space="preserve"> unorganized and organized as per proportions.</w:t>
      </w:r>
      <w:r w:rsidR="00100580" w:rsidRPr="007F696F">
        <w:rPr>
          <w:rFonts w:ascii="Arial" w:eastAsia="Times New Roman" w:hAnsi="Arial" w:cs="Arial"/>
          <w:bCs/>
          <w:sz w:val="20"/>
          <w:szCs w:val="18"/>
          <w:lang w:val="en-IN"/>
        </w:rPr>
        <w:t xml:space="preserve"> </w:t>
      </w:r>
      <w:r w:rsidR="00100580" w:rsidRPr="007F696F">
        <w:rPr>
          <w:rFonts w:ascii="Arial" w:eastAsia="Times New Roman" w:hAnsi="Arial" w:cs="Arial"/>
          <w:bCs/>
          <w:sz w:val="20"/>
          <w:szCs w:val="18"/>
        </w:rPr>
        <w:t xml:space="preserve">The list of units under each category was prepared and finally, five units each from unorganized and organized sectors were randomly selected from </w:t>
      </w:r>
      <w:proofErr w:type="spellStart"/>
      <w:r w:rsidR="00100580" w:rsidRPr="007F696F">
        <w:rPr>
          <w:rFonts w:ascii="Arial" w:eastAsia="Times New Roman" w:hAnsi="Arial" w:cs="Arial"/>
          <w:bCs/>
          <w:sz w:val="20"/>
          <w:szCs w:val="18"/>
        </w:rPr>
        <w:t>Duggirala</w:t>
      </w:r>
      <w:proofErr w:type="spellEnd"/>
      <w:r w:rsidR="00100580" w:rsidRPr="007F696F">
        <w:rPr>
          <w:rFonts w:ascii="Arial" w:eastAsia="Times New Roman" w:hAnsi="Arial" w:cs="Arial"/>
          <w:bCs/>
          <w:sz w:val="20"/>
          <w:szCs w:val="18"/>
        </w:rPr>
        <w:t xml:space="preserve">, </w:t>
      </w:r>
      <w:proofErr w:type="spellStart"/>
      <w:r w:rsidR="00100580" w:rsidRPr="007F696F">
        <w:rPr>
          <w:rFonts w:ascii="Arial" w:eastAsia="Times New Roman" w:hAnsi="Arial" w:cs="Arial"/>
          <w:bCs/>
          <w:sz w:val="20"/>
          <w:szCs w:val="18"/>
        </w:rPr>
        <w:t>Kollipara</w:t>
      </w:r>
      <w:proofErr w:type="spellEnd"/>
      <w:r w:rsidR="00100580" w:rsidRPr="007F696F">
        <w:rPr>
          <w:rFonts w:ascii="Arial" w:eastAsia="Times New Roman" w:hAnsi="Arial" w:cs="Arial"/>
          <w:bCs/>
          <w:sz w:val="20"/>
          <w:szCs w:val="18"/>
        </w:rPr>
        <w:t xml:space="preserve"> and </w:t>
      </w:r>
      <w:proofErr w:type="spellStart"/>
      <w:r w:rsidR="00100580" w:rsidRPr="007F696F">
        <w:rPr>
          <w:rFonts w:ascii="Arial" w:eastAsia="Times New Roman" w:hAnsi="Arial" w:cs="Arial"/>
          <w:bCs/>
          <w:sz w:val="20"/>
          <w:szCs w:val="18"/>
        </w:rPr>
        <w:t>Mangalagiri</w:t>
      </w:r>
      <w:proofErr w:type="spellEnd"/>
      <w:r w:rsidR="00100580" w:rsidRPr="007F696F">
        <w:rPr>
          <w:rFonts w:ascii="Arial" w:eastAsia="Times New Roman" w:hAnsi="Arial" w:cs="Arial"/>
          <w:bCs/>
          <w:sz w:val="20"/>
          <w:szCs w:val="18"/>
        </w:rPr>
        <w:t xml:space="preserve"> for the present study. Primary data were collected from the selected </w:t>
      </w:r>
      <w:r w:rsidR="00100580" w:rsidRPr="007F696F">
        <w:rPr>
          <w:rFonts w:ascii="Arial" w:eastAsia="Times New Roman" w:hAnsi="Arial" w:cs="Arial"/>
          <w:bCs/>
          <w:sz w:val="20"/>
          <w:szCs w:val="18"/>
          <w:lang w:val="en-IN"/>
        </w:rPr>
        <w:t xml:space="preserve">turmeric processing </w:t>
      </w:r>
      <w:r w:rsidR="00100580" w:rsidRPr="007F696F">
        <w:rPr>
          <w:rFonts w:ascii="Arial" w:eastAsia="Times New Roman" w:hAnsi="Arial" w:cs="Arial"/>
          <w:bCs/>
          <w:sz w:val="20"/>
          <w:szCs w:val="18"/>
        </w:rPr>
        <w:t xml:space="preserve">units through survey method with the aid of pre-tested schedule designed for the purpose. Secondary data regarding turmeric cultivation collected from authentic published sources. The data collected pertains to the financial year 2023-2024. </w:t>
      </w:r>
    </w:p>
    <w:p w14:paraId="20284AA1" w14:textId="77777777" w:rsidR="007F696F" w:rsidRPr="007F696F" w:rsidRDefault="007F696F" w:rsidP="00D42C6F">
      <w:pPr>
        <w:jc w:val="both"/>
        <w:rPr>
          <w:rFonts w:ascii="Arial" w:eastAsia="Times New Roman" w:hAnsi="Arial" w:cs="Arial"/>
          <w:bCs/>
          <w:sz w:val="20"/>
          <w:szCs w:val="18"/>
        </w:rPr>
      </w:pPr>
    </w:p>
    <w:p w14:paraId="44C3BD02" w14:textId="77777777" w:rsidR="001B73A5" w:rsidRPr="007F696F" w:rsidRDefault="005051AF" w:rsidP="005051AF">
      <w:pPr>
        <w:spacing w:after="160" w:line="360" w:lineRule="auto"/>
        <w:jc w:val="both"/>
        <w:rPr>
          <w:rFonts w:ascii="Arial" w:eastAsia="Times New Roman" w:hAnsi="Arial" w:cs="Arial"/>
          <w:b/>
          <w:szCs w:val="20"/>
        </w:rPr>
      </w:pPr>
      <w:r w:rsidRPr="007F696F">
        <w:rPr>
          <w:rFonts w:ascii="Arial" w:eastAsia="Times New Roman" w:hAnsi="Arial" w:cs="Arial"/>
          <w:b/>
          <w:szCs w:val="20"/>
        </w:rPr>
        <w:t xml:space="preserve">3.1 Net Present Worth (NPW) </w:t>
      </w:r>
    </w:p>
    <w:p w14:paraId="2436CA3F" w14:textId="77777777" w:rsidR="001B73A5" w:rsidRPr="007F696F" w:rsidRDefault="005051AF" w:rsidP="00C845A2">
      <w:pPr>
        <w:spacing w:after="160" w:line="360" w:lineRule="auto"/>
        <w:ind w:firstLine="720"/>
        <w:jc w:val="both"/>
        <w:rPr>
          <w:rFonts w:ascii="Arial" w:eastAsia="Times New Roman" w:hAnsi="Arial" w:cs="Arial"/>
          <w:bCs/>
          <w:sz w:val="20"/>
          <w:szCs w:val="18"/>
        </w:rPr>
      </w:pPr>
      <w:r w:rsidRPr="007F696F">
        <w:rPr>
          <w:rFonts w:ascii="Arial" w:eastAsia="Times New Roman" w:hAnsi="Arial" w:cs="Arial"/>
          <w:bCs/>
          <w:sz w:val="20"/>
          <w:szCs w:val="18"/>
        </w:rPr>
        <w:t xml:space="preserve">It is sometimes referred to as net present value. It is the present worth of the incremental net benefits or incremental cash flow stream. The selection criterion of the project depends on the positive value of the net present worth when discounted at the opportunity cost of the capital. </w:t>
      </w:r>
    </w:p>
    <w:p w14:paraId="64F9A887" w14:textId="77777777" w:rsidR="005051AF" w:rsidRPr="007F696F" w:rsidRDefault="005051AF" w:rsidP="00E85CE4">
      <w:pPr>
        <w:spacing w:after="160" w:line="360" w:lineRule="auto"/>
        <w:ind w:firstLine="720"/>
        <w:jc w:val="both"/>
        <w:rPr>
          <w:rFonts w:ascii="Arial" w:eastAsia="Times New Roman" w:hAnsi="Arial" w:cs="Arial"/>
          <w:bCs/>
          <w:sz w:val="20"/>
          <w:szCs w:val="18"/>
        </w:rPr>
      </w:pPr>
      <w:r w:rsidRPr="007F696F">
        <w:rPr>
          <w:rFonts w:ascii="Arial" w:eastAsia="Times New Roman" w:hAnsi="Arial" w:cs="Arial"/>
          <w:bCs/>
          <w:sz w:val="20"/>
          <w:szCs w:val="18"/>
        </w:rPr>
        <w:t>Net present worth of the project (NPW) is estimated using the following formulae</w:t>
      </w:r>
      <w:r w:rsidR="00E85CE4" w:rsidRPr="007F696F">
        <w:rPr>
          <w:rFonts w:ascii="Arial" w:eastAsia="Times New Roman" w:hAnsi="Arial" w:cs="Arial"/>
          <w:bCs/>
          <w:sz w:val="20"/>
          <w:szCs w:val="18"/>
        </w:rPr>
        <w:t>.</w:t>
      </w:r>
    </w:p>
    <w:p w14:paraId="58C3347C" w14:textId="77777777" w:rsidR="005051AF" w:rsidRPr="007F696F" w:rsidRDefault="005051AF" w:rsidP="005051AF">
      <w:pPr>
        <w:spacing w:after="160" w:line="360" w:lineRule="auto"/>
        <w:jc w:val="center"/>
        <w:rPr>
          <w:rFonts w:ascii="Arial" w:eastAsia="Times New Roman" w:hAnsi="Arial" w:cs="Arial"/>
          <w:bCs/>
          <w:sz w:val="24"/>
        </w:rPr>
      </w:pPr>
      <w:r w:rsidRPr="007F696F">
        <w:rPr>
          <w:rFonts w:ascii="Arial" w:hAnsi="Arial" w:cs="Arial"/>
          <w:position w:val="-36"/>
          <w:sz w:val="20"/>
          <w:szCs w:val="20"/>
        </w:rPr>
        <w:object w:dxaOrig="1860" w:dyaOrig="780" w14:anchorId="6EB8DC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5pt;height:38.35pt" o:ole="">
            <v:imagedata r:id="rId7" o:title=""/>
          </v:shape>
          <o:OLEObject Type="Embed" ProgID="Equation.DSMT4" ShapeID="_x0000_i1025" DrawAspect="Content" ObjectID="_1800353218" r:id="rId8"/>
        </w:object>
      </w:r>
    </w:p>
    <w:p w14:paraId="53C15309" w14:textId="77777777" w:rsidR="005051AF" w:rsidRPr="007F696F" w:rsidRDefault="005051AF" w:rsidP="005051AF">
      <w:pPr>
        <w:spacing w:after="160" w:line="240" w:lineRule="auto"/>
        <w:ind w:left="1440"/>
        <w:jc w:val="both"/>
        <w:rPr>
          <w:rFonts w:ascii="Arial" w:eastAsia="Times New Roman" w:hAnsi="Arial" w:cs="Arial"/>
          <w:bCs/>
          <w:sz w:val="20"/>
          <w:szCs w:val="18"/>
        </w:rPr>
      </w:pPr>
      <w:r w:rsidRPr="007F696F">
        <w:rPr>
          <w:rFonts w:ascii="Arial" w:eastAsia="Times New Roman" w:hAnsi="Arial" w:cs="Arial"/>
          <w:bCs/>
          <w:sz w:val="20"/>
          <w:szCs w:val="18"/>
        </w:rPr>
        <w:t xml:space="preserve">Where </w:t>
      </w:r>
      <w:proofErr w:type="spellStart"/>
      <w:r w:rsidRPr="007F696F">
        <w:rPr>
          <w:rFonts w:ascii="Arial" w:eastAsia="Times New Roman" w:hAnsi="Arial" w:cs="Arial"/>
          <w:bCs/>
          <w:sz w:val="20"/>
          <w:szCs w:val="18"/>
        </w:rPr>
        <w:t>B</w:t>
      </w:r>
      <w:r w:rsidRPr="007F696F">
        <w:rPr>
          <w:rFonts w:ascii="Arial" w:eastAsia="Times New Roman" w:hAnsi="Arial" w:cs="Arial"/>
          <w:bCs/>
          <w:sz w:val="20"/>
          <w:szCs w:val="18"/>
          <w:vertAlign w:val="subscript"/>
        </w:rPr>
        <w:t>j</w:t>
      </w:r>
      <w:proofErr w:type="spellEnd"/>
      <w:r w:rsidRPr="007F696F">
        <w:rPr>
          <w:rFonts w:ascii="Arial" w:eastAsia="Times New Roman" w:hAnsi="Arial" w:cs="Arial"/>
          <w:bCs/>
          <w:sz w:val="20"/>
          <w:szCs w:val="18"/>
        </w:rPr>
        <w:t xml:space="preserve"> = Benefits in </w:t>
      </w:r>
      <w:proofErr w:type="spellStart"/>
      <w:r w:rsidRPr="007F696F">
        <w:rPr>
          <w:rFonts w:ascii="Arial" w:eastAsia="Times New Roman" w:hAnsi="Arial" w:cs="Arial"/>
          <w:bCs/>
          <w:sz w:val="20"/>
          <w:szCs w:val="18"/>
        </w:rPr>
        <w:t>j</w:t>
      </w:r>
      <w:r w:rsidRPr="007F696F">
        <w:rPr>
          <w:rFonts w:ascii="Arial" w:eastAsia="Times New Roman" w:hAnsi="Arial" w:cs="Arial"/>
          <w:bCs/>
          <w:sz w:val="20"/>
          <w:szCs w:val="18"/>
          <w:vertAlign w:val="superscript"/>
        </w:rPr>
        <w:t>th</w:t>
      </w:r>
      <w:proofErr w:type="spellEnd"/>
      <w:r w:rsidRPr="007F696F">
        <w:rPr>
          <w:rFonts w:ascii="Arial" w:eastAsia="Times New Roman" w:hAnsi="Arial" w:cs="Arial"/>
          <w:bCs/>
          <w:sz w:val="20"/>
          <w:szCs w:val="18"/>
        </w:rPr>
        <w:t xml:space="preserve"> year</w:t>
      </w:r>
    </w:p>
    <w:p w14:paraId="3A9B5FE1" w14:textId="77777777" w:rsidR="005051AF" w:rsidRPr="007F696F" w:rsidRDefault="005051AF" w:rsidP="005051AF">
      <w:pPr>
        <w:spacing w:after="160" w:line="240" w:lineRule="auto"/>
        <w:ind w:left="1440"/>
        <w:jc w:val="both"/>
        <w:rPr>
          <w:rFonts w:ascii="Arial" w:eastAsia="Times New Roman" w:hAnsi="Arial" w:cs="Arial"/>
          <w:bCs/>
          <w:sz w:val="20"/>
          <w:szCs w:val="18"/>
        </w:rPr>
      </w:pPr>
      <w:r w:rsidRPr="007F696F">
        <w:rPr>
          <w:rFonts w:ascii="Arial" w:eastAsia="Times New Roman" w:hAnsi="Arial" w:cs="Arial"/>
          <w:bCs/>
          <w:sz w:val="20"/>
          <w:szCs w:val="18"/>
        </w:rPr>
        <w:tab/>
        <w:t xml:space="preserve"> </w:t>
      </w:r>
      <w:proofErr w:type="spellStart"/>
      <w:r w:rsidRPr="007F696F">
        <w:rPr>
          <w:rFonts w:ascii="Arial" w:eastAsia="Times New Roman" w:hAnsi="Arial" w:cs="Arial"/>
          <w:bCs/>
          <w:sz w:val="20"/>
          <w:szCs w:val="18"/>
        </w:rPr>
        <w:t>C</w:t>
      </w:r>
      <w:r w:rsidRPr="007F696F">
        <w:rPr>
          <w:rFonts w:ascii="Arial" w:eastAsia="Times New Roman" w:hAnsi="Arial" w:cs="Arial"/>
          <w:bCs/>
          <w:sz w:val="20"/>
          <w:szCs w:val="18"/>
          <w:vertAlign w:val="subscript"/>
        </w:rPr>
        <w:t>j</w:t>
      </w:r>
      <w:proofErr w:type="spellEnd"/>
      <w:r w:rsidRPr="007F696F">
        <w:rPr>
          <w:rFonts w:ascii="Arial" w:eastAsia="Times New Roman" w:hAnsi="Arial" w:cs="Arial"/>
          <w:bCs/>
          <w:sz w:val="20"/>
          <w:szCs w:val="18"/>
        </w:rPr>
        <w:t xml:space="preserve"> = Costs in </w:t>
      </w:r>
      <w:proofErr w:type="spellStart"/>
      <w:r w:rsidRPr="007F696F">
        <w:rPr>
          <w:rFonts w:ascii="Arial" w:eastAsia="Times New Roman" w:hAnsi="Arial" w:cs="Arial"/>
          <w:bCs/>
          <w:sz w:val="20"/>
          <w:szCs w:val="18"/>
        </w:rPr>
        <w:t>j</w:t>
      </w:r>
      <w:r w:rsidRPr="007F696F">
        <w:rPr>
          <w:rFonts w:ascii="Arial" w:eastAsia="Times New Roman" w:hAnsi="Arial" w:cs="Arial"/>
          <w:bCs/>
          <w:sz w:val="20"/>
          <w:szCs w:val="18"/>
          <w:vertAlign w:val="superscript"/>
        </w:rPr>
        <w:t>th</w:t>
      </w:r>
      <w:proofErr w:type="spellEnd"/>
      <w:r w:rsidRPr="007F696F">
        <w:rPr>
          <w:rFonts w:ascii="Arial" w:eastAsia="Times New Roman" w:hAnsi="Arial" w:cs="Arial"/>
          <w:bCs/>
          <w:sz w:val="20"/>
          <w:szCs w:val="18"/>
        </w:rPr>
        <w:t xml:space="preserve"> year</w:t>
      </w:r>
    </w:p>
    <w:p w14:paraId="75BA0BE2" w14:textId="77777777" w:rsidR="005051AF" w:rsidRPr="007F696F" w:rsidRDefault="005051AF" w:rsidP="005051AF">
      <w:pPr>
        <w:spacing w:after="160" w:line="240" w:lineRule="auto"/>
        <w:ind w:left="1440" w:firstLine="720"/>
        <w:jc w:val="both"/>
        <w:rPr>
          <w:rFonts w:ascii="Arial" w:eastAsia="Times New Roman" w:hAnsi="Arial" w:cs="Arial"/>
          <w:bCs/>
          <w:sz w:val="20"/>
          <w:szCs w:val="18"/>
        </w:rPr>
      </w:pPr>
      <w:r w:rsidRPr="007F696F">
        <w:rPr>
          <w:rFonts w:ascii="Arial" w:eastAsia="Times New Roman" w:hAnsi="Arial" w:cs="Arial"/>
          <w:bCs/>
          <w:sz w:val="20"/>
          <w:szCs w:val="18"/>
        </w:rPr>
        <w:t xml:space="preserve"> </w:t>
      </w:r>
      <w:proofErr w:type="spellStart"/>
      <w:r w:rsidRPr="007F696F">
        <w:rPr>
          <w:rFonts w:ascii="Arial" w:eastAsia="Times New Roman" w:hAnsi="Arial" w:cs="Arial"/>
          <w:bCs/>
          <w:sz w:val="20"/>
          <w:szCs w:val="18"/>
        </w:rPr>
        <w:t>i</w:t>
      </w:r>
      <w:proofErr w:type="spellEnd"/>
      <w:r w:rsidRPr="007F696F">
        <w:rPr>
          <w:rFonts w:ascii="Arial" w:eastAsia="Times New Roman" w:hAnsi="Arial" w:cs="Arial"/>
          <w:bCs/>
          <w:sz w:val="20"/>
          <w:szCs w:val="18"/>
        </w:rPr>
        <w:t xml:space="preserve"> = Discount rate </w:t>
      </w:r>
    </w:p>
    <w:p w14:paraId="7D66D270" w14:textId="77777777" w:rsidR="00C845A2" w:rsidRPr="007F696F" w:rsidRDefault="00C845A2" w:rsidP="00C845A2">
      <w:pPr>
        <w:spacing w:after="160" w:line="240" w:lineRule="auto"/>
        <w:ind w:left="1440"/>
        <w:jc w:val="both"/>
        <w:rPr>
          <w:rFonts w:ascii="Arial" w:eastAsia="Times New Roman" w:hAnsi="Arial" w:cs="Arial"/>
          <w:bCs/>
          <w:sz w:val="20"/>
          <w:szCs w:val="18"/>
        </w:rPr>
      </w:pPr>
      <w:r>
        <w:rPr>
          <w:rFonts w:ascii="Arial" w:eastAsia="Times New Roman" w:hAnsi="Arial" w:cs="Arial"/>
          <w:bCs/>
          <w:sz w:val="20"/>
          <w:szCs w:val="18"/>
        </w:rPr>
        <w:tab/>
        <w:t xml:space="preserve"> n = Number of </w:t>
      </w:r>
      <w:proofErr w:type="gramStart"/>
      <w:r>
        <w:rPr>
          <w:rFonts w:ascii="Arial" w:eastAsia="Times New Roman" w:hAnsi="Arial" w:cs="Arial"/>
          <w:bCs/>
          <w:sz w:val="20"/>
          <w:szCs w:val="18"/>
        </w:rPr>
        <w:t>year</w:t>
      </w:r>
      <w:proofErr w:type="gramEnd"/>
    </w:p>
    <w:p w14:paraId="6CA3FDE8" w14:textId="77777777" w:rsidR="005051AF" w:rsidRDefault="005051AF" w:rsidP="005051AF">
      <w:pPr>
        <w:spacing w:after="160" w:line="360" w:lineRule="auto"/>
        <w:jc w:val="both"/>
        <w:rPr>
          <w:rFonts w:ascii="Arial" w:eastAsia="Times New Roman" w:hAnsi="Arial" w:cs="Arial"/>
          <w:b/>
          <w:szCs w:val="20"/>
        </w:rPr>
      </w:pPr>
      <w:r w:rsidRPr="007F696F">
        <w:rPr>
          <w:rFonts w:ascii="Arial" w:eastAsia="Times New Roman" w:hAnsi="Arial" w:cs="Arial"/>
          <w:b/>
          <w:szCs w:val="20"/>
        </w:rPr>
        <w:t xml:space="preserve">3.2 Benefit-Cost Ratio (BCR) </w:t>
      </w:r>
    </w:p>
    <w:p w14:paraId="6A50AAC9" w14:textId="77777777" w:rsidR="005051AF" w:rsidRPr="007F696F" w:rsidRDefault="005051AF" w:rsidP="005051AF">
      <w:pPr>
        <w:spacing w:after="160" w:line="360" w:lineRule="auto"/>
        <w:ind w:firstLine="720"/>
        <w:jc w:val="both"/>
        <w:rPr>
          <w:rFonts w:ascii="Arial" w:eastAsia="Times New Roman" w:hAnsi="Arial" w:cs="Arial"/>
          <w:bCs/>
          <w:sz w:val="20"/>
          <w:szCs w:val="18"/>
        </w:rPr>
      </w:pPr>
      <w:r w:rsidRPr="007F696F">
        <w:rPr>
          <w:rFonts w:ascii="Arial" w:eastAsia="Times New Roman" w:hAnsi="Arial" w:cs="Arial"/>
          <w:bCs/>
          <w:sz w:val="20"/>
          <w:szCs w:val="18"/>
        </w:rPr>
        <w:t>This ratio compares the present worth of costs with present worth of benefits. The common procedure of selecting the project is to choose the projects having the B:C ratio of more than one, discounted at opportunity cost of capital. This ratio was arrived by using the following formula.</w:t>
      </w:r>
    </w:p>
    <w:p w14:paraId="33B4C473" w14:textId="77777777" w:rsidR="001B73A5" w:rsidRPr="001B73A5" w:rsidRDefault="005051AF" w:rsidP="001B73A5">
      <w:pPr>
        <w:spacing w:after="160" w:line="360" w:lineRule="auto"/>
        <w:ind w:firstLine="720"/>
        <w:jc w:val="center"/>
        <w:rPr>
          <w:rFonts w:ascii="Arial" w:hAnsi="Arial" w:cs="Arial"/>
          <w:position w:val="-38"/>
          <w:sz w:val="20"/>
          <w:szCs w:val="20"/>
        </w:rPr>
      </w:pPr>
      <w:r w:rsidRPr="007F696F">
        <w:rPr>
          <w:rFonts w:ascii="Arial" w:hAnsi="Arial" w:cs="Arial"/>
          <w:position w:val="-38"/>
          <w:sz w:val="20"/>
          <w:szCs w:val="20"/>
        </w:rPr>
        <w:object w:dxaOrig="2220" w:dyaOrig="888" w14:anchorId="44E0C223">
          <v:shape id="_x0000_i1026" type="#_x0000_t75" style="width:110.35pt;height:44.9pt" o:ole="">
            <v:imagedata r:id="rId9" o:title=""/>
          </v:shape>
          <o:OLEObject Type="Embed" ProgID="Equation.DSMT4" ShapeID="_x0000_i1026" DrawAspect="Content" ObjectID="_1800353219" r:id="rId10"/>
        </w:object>
      </w:r>
    </w:p>
    <w:p w14:paraId="38E14B0A" w14:textId="77777777" w:rsidR="005051AF" w:rsidRPr="007F696F" w:rsidRDefault="005051AF" w:rsidP="005051AF">
      <w:pPr>
        <w:spacing w:after="160" w:line="240" w:lineRule="auto"/>
        <w:ind w:left="1440"/>
        <w:jc w:val="both"/>
        <w:rPr>
          <w:rFonts w:ascii="Arial" w:eastAsia="Times New Roman" w:hAnsi="Arial" w:cs="Arial"/>
          <w:bCs/>
          <w:sz w:val="20"/>
          <w:szCs w:val="18"/>
        </w:rPr>
      </w:pPr>
      <w:r w:rsidRPr="007F696F">
        <w:rPr>
          <w:rFonts w:ascii="Arial" w:eastAsia="Times New Roman" w:hAnsi="Arial" w:cs="Arial"/>
          <w:bCs/>
          <w:sz w:val="20"/>
          <w:szCs w:val="18"/>
        </w:rPr>
        <w:t>Where,</w:t>
      </w:r>
    </w:p>
    <w:p w14:paraId="3608A19D" w14:textId="77777777" w:rsidR="005051AF" w:rsidRPr="007F696F" w:rsidRDefault="005051AF" w:rsidP="005051AF">
      <w:pPr>
        <w:spacing w:after="160" w:line="240" w:lineRule="auto"/>
        <w:ind w:left="2160"/>
        <w:jc w:val="both"/>
        <w:rPr>
          <w:rFonts w:ascii="Arial" w:eastAsia="Times New Roman" w:hAnsi="Arial" w:cs="Arial"/>
          <w:bCs/>
          <w:sz w:val="20"/>
          <w:szCs w:val="18"/>
        </w:rPr>
      </w:pPr>
      <w:proofErr w:type="spellStart"/>
      <w:r w:rsidRPr="007F696F">
        <w:rPr>
          <w:rFonts w:ascii="Arial" w:eastAsia="Times New Roman" w:hAnsi="Arial" w:cs="Arial"/>
          <w:bCs/>
          <w:sz w:val="20"/>
          <w:szCs w:val="18"/>
        </w:rPr>
        <w:t>B</w:t>
      </w:r>
      <w:r w:rsidRPr="007F696F">
        <w:rPr>
          <w:rFonts w:ascii="Arial" w:eastAsia="Times New Roman" w:hAnsi="Arial" w:cs="Arial"/>
          <w:bCs/>
          <w:sz w:val="20"/>
          <w:szCs w:val="18"/>
          <w:vertAlign w:val="subscript"/>
        </w:rPr>
        <w:t>j</w:t>
      </w:r>
      <w:proofErr w:type="spellEnd"/>
      <w:r w:rsidRPr="007F696F">
        <w:rPr>
          <w:rFonts w:ascii="Arial" w:eastAsia="Times New Roman" w:hAnsi="Arial" w:cs="Arial"/>
          <w:bCs/>
          <w:sz w:val="20"/>
          <w:szCs w:val="18"/>
        </w:rPr>
        <w:t xml:space="preserve"> = Benefits in rupees in </w:t>
      </w:r>
      <w:proofErr w:type="spellStart"/>
      <w:r w:rsidRPr="007F696F">
        <w:rPr>
          <w:rFonts w:ascii="Arial" w:eastAsia="Times New Roman" w:hAnsi="Arial" w:cs="Arial"/>
          <w:bCs/>
          <w:sz w:val="20"/>
          <w:szCs w:val="18"/>
        </w:rPr>
        <w:t>j</w:t>
      </w:r>
      <w:r w:rsidRPr="007F696F">
        <w:rPr>
          <w:rFonts w:ascii="Arial" w:eastAsia="Times New Roman" w:hAnsi="Arial" w:cs="Arial"/>
          <w:bCs/>
          <w:sz w:val="20"/>
          <w:szCs w:val="18"/>
          <w:vertAlign w:val="superscript"/>
        </w:rPr>
        <w:t>th</w:t>
      </w:r>
      <w:proofErr w:type="spellEnd"/>
      <w:r w:rsidRPr="007F696F">
        <w:rPr>
          <w:rFonts w:ascii="Arial" w:eastAsia="Times New Roman" w:hAnsi="Arial" w:cs="Arial"/>
          <w:bCs/>
          <w:sz w:val="20"/>
          <w:szCs w:val="18"/>
        </w:rPr>
        <w:t xml:space="preserve"> year</w:t>
      </w:r>
    </w:p>
    <w:p w14:paraId="042CDBDB" w14:textId="77777777" w:rsidR="005051AF" w:rsidRPr="007F696F" w:rsidRDefault="005051AF" w:rsidP="005051AF">
      <w:pPr>
        <w:spacing w:after="160" w:line="240" w:lineRule="auto"/>
        <w:ind w:left="2160"/>
        <w:jc w:val="both"/>
        <w:rPr>
          <w:rFonts w:ascii="Arial" w:eastAsia="Times New Roman" w:hAnsi="Arial" w:cs="Arial"/>
          <w:bCs/>
          <w:sz w:val="20"/>
          <w:szCs w:val="18"/>
        </w:rPr>
      </w:pPr>
      <w:proofErr w:type="spellStart"/>
      <w:r w:rsidRPr="007F696F">
        <w:rPr>
          <w:rFonts w:ascii="Arial" w:eastAsia="Times New Roman" w:hAnsi="Arial" w:cs="Arial"/>
          <w:bCs/>
          <w:sz w:val="20"/>
          <w:szCs w:val="18"/>
        </w:rPr>
        <w:t>C</w:t>
      </w:r>
      <w:r w:rsidRPr="007F696F">
        <w:rPr>
          <w:rFonts w:ascii="Arial" w:eastAsia="Times New Roman" w:hAnsi="Arial" w:cs="Arial"/>
          <w:bCs/>
          <w:sz w:val="20"/>
          <w:szCs w:val="18"/>
          <w:vertAlign w:val="subscript"/>
        </w:rPr>
        <w:t>j</w:t>
      </w:r>
      <w:proofErr w:type="spellEnd"/>
      <w:r w:rsidRPr="007F696F">
        <w:rPr>
          <w:rFonts w:ascii="Arial" w:eastAsia="Times New Roman" w:hAnsi="Arial" w:cs="Arial"/>
          <w:bCs/>
          <w:sz w:val="20"/>
          <w:szCs w:val="18"/>
        </w:rPr>
        <w:t xml:space="preserve"> = Costs in rupees in </w:t>
      </w:r>
      <w:proofErr w:type="spellStart"/>
      <w:r w:rsidRPr="007F696F">
        <w:rPr>
          <w:rFonts w:ascii="Arial" w:eastAsia="Times New Roman" w:hAnsi="Arial" w:cs="Arial"/>
          <w:bCs/>
          <w:sz w:val="20"/>
          <w:szCs w:val="18"/>
        </w:rPr>
        <w:t>j</w:t>
      </w:r>
      <w:r w:rsidRPr="007F696F">
        <w:rPr>
          <w:rFonts w:ascii="Arial" w:eastAsia="Times New Roman" w:hAnsi="Arial" w:cs="Arial"/>
          <w:bCs/>
          <w:sz w:val="20"/>
          <w:szCs w:val="18"/>
          <w:vertAlign w:val="superscript"/>
        </w:rPr>
        <w:t>th</w:t>
      </w:r>
      <w:proofErr w:type="spellEnd"/>
      <w:r w:rsidRPr="007F696F">
        <w:rPr>
          <w:rFonts w:ascii="Arial" w:eastAsia="Times New Roman" w:hAnsi="Arial" w:cs="Arial"/>
          <w:bCs/>
          <w:sz w:val="20"/>
          <w:szCs w:val="18"/>
        </w:rPr>
        <w:t xml:space="preserve"> year</w:t>
      </w:r>
    </w:p>
    <w:p w14:paraId="47FB0F8A" w14:textId="77777777" w:rsidR="005051AF" w:rsidRPr="007F696F" w:rsidRDefault="005051AF" w:rsidP="005051AF">
      <w:pPr>
        <w:spacing w:after="160" w:line="240" w:lineRule="auto"/>
        <w:ind w:left="2160"/>
        <w:jc w:val="both"/>
        <w:rPr>
          <w:rFonts w:ascii="Arial" w:eastAsia="Times New Roman" w:hAnsi="Arial" w:cs="Arial"/>
          <w:bCs/>
          <w:sz w:val="20"/>
          <w:szCs w:val="18"/>
        </w:rPr>
      </w:pPr>
      <w:proofErr w:type="spellStart"/>
      <w:r w:rsidRPr="007F696F">
        <w:rPr>
          <w:rFonts w:ascii="Arial" w:eastAsia="Times New Roman" w:hAnsi="Arial" w:cs="Arial"/>
          <w:bCs/>
          <w:sz w:val="20"/>
          <w:szCs w:val="18"/>
        </w:rPr>
        <w:t>i</w:t>
      </w:r>
      <w:proofErr w:type="spellEnd"/>
      <w:r w:rsidRPr="007F696F">
        <w:rPr>
          <w:rFonts w:ascii="Arial" w:eastAsia="Times New Roman" w:hAnsi="Arial" w:cs="Arial"/>
          <w:bCs/>
          <w:sz w:val="20"/>
          <w:szCs w:val="18"/>
        </w:rPr>
        <w:t xml:space="preserve">   = Discount rate</w:t>
      </w:r>
    </w:p>
    <w:p w14:paraId="058FF6B4" w14:textId="77777777" w:rsidR="005051AF" w:rsidRDefault="005051AF" w:rsidP="005051AF">
      <w:pPr>
        <w:spacing w:after="160" w:line="240" w:lineRule="auto"/>
        <w:ind w:left="2160"/>
        <w:jc w:val="both"/>
        <w:rPr>
          <w:rFonts w:ascii="Arial" w:eastAsia="Times New Roman" w:hAnsi="Arial" w:cs="Arial"/>
          <w:bCs/>
          <w:sz w:val="20"/>
          <w:szCs w:val="18"/>
        </w:rPr>
      </w:pPr>
      <w:proofErr w:type="gramStart"/>
      <w:r w:rsidRPr="007F696F">
        <w:rPr>
          <w:rFonts w:ascii="Arial" w:eastAsia="Times New Roman" w:hAnsi="Arial" w:cs="Arial"/>
          <w:bCs/>
          <w:sz w:val="20"/>
          <w:szCs w:val="18"/>
        </w:rPr>
        <w:t>n  =</w:t>
      </w:r>
      <w:proofErr w:type="gramEnd"/>
      <w:r w:rsidRPr="007F696F">
        <w:rPr>
          <w:rFonts w:ascii="Arial" w:eastAsia="Times New Roman" w:hAnsi="Arial" w:cs="Arial"/>
          <w:bCs/>
          <w:sz w:val="20"/>
          <w:szCs w:val="18"/>
        </w:rPr>
        <w:t xml:space="preserve"> Number of years</w:t>
      </w:r>
    </w:p>
    <w:p w14:paraId="7EF81B7F" w14:textId="77777777" w:rsidR="001B73A5" w:rsidRPr="007F696F" w:rsidRDefault="001B73A5" w:rsidP="005051AF">
      <w:pPr>
        <w:spacing w:after="160" w:line="240" w:lineRule="auto"/>
        <w:ind w:left="2160"/>
        <w:jc w:val="both"/>
        <w:rPr>
          <w:rFonts w:ascii="Arial" w:eastAsia="Times New Roman" w:hAnsi="Arial" w:cs="Arial"/>
          <w:bCs/>
          <w:sz w:val="20"/>
          <w:szCs w:val="18"/>
        </w:rPr>
      </w:pPr>
    </w:p>
    <w:p w14:paraId="0F43DB9D" w14:textId="77777777" w:rsidR="005051AF" w:rsidRPr="007F696F" w:rsidRDefault="005051AF" w:rsidP="005051AF">
      <w:pPr>
        <w:spacing w:after="160" w:line="240" w:lineRule="auto"/>
        <w:jc w:val="both"/>
        <w:rPr>
          <w:rFonts w:ascii="Arial" w:eastAsia="Times New Roman" w:hAnsi="Arial" w:cs="Arial"/>
          <w:b/>
          <w:bCs/>
          <w:szCs w:val="20"/>
        </w:rPr>
      </w:pPr>
      <w:r w:rsidRPr="007F696F">
        <w:rPr>
          <w:rFonts w:ascii="Arial" w:eastAsia="Times New Roman" w:hAnsi="Arial" w:cs="Arial"/>
          <w:b/>
          <w:bCs/>
          <w:szCs w:val="20"/>
        </w:rPr>
        <w:t>3.3 Internal Rate of Returns (IRR):</w:t>
      </w:r>
    </w:p>
    <w:p w14:paraId="394CCEE8" w14:textId="77777777" w:rsidR="001B73A5" w:rsidRPr="007F696F" w:rsidRDefault="005051AF" w:rsidP="005051AF">
      <w:pPr>
        <w:spacing w:after="160" w:line="240" w:lineRule="auto"/>
        <w:jc w:val="both"/>
        <w:rPr>
          <w:rFonts w:ascii="Arial" w:eastAsia="Times New Roman" w:hAnsi="Arial" w:cs="Arial"/>
          <w:bCs/>
          <w:sz w:val="20"/>
          <w:szCs w:val="18"/>
        </w:rPr>
      </w:pPr>
      <w:r w:rsidRPr="007F696F">
        <w:rPr>
          <w:rFonts w:ascii="Arial" w:eastAsia="Times New Roman" w:hAnsi="Arial" w:cs="Arial"/>
          <w:bCs/>
          <w:sz w:val="20"/>
          <w:szCs w:val="18"/>
        </w:rPr>
        <w:t>It represents the average earning capacity of an investment over the economic life pe</w:t>
      </w:r>
      <w:r w:rsidR="00D42C6F" w:rsidRPr="007F696F">
        <w:rPr>
          <w:rFonts w:ascii="Arial" w:eastAsia="Times New Roman" w:hAnsi="Arial" w:cs="Arial"/>
          <w:bCs/>
          <w:sz w:val="20"/>
          <w:szCs w:val="18"/>
        </w:rPr>
        <w:t xml:space="preserve">riod of the project. It is the </w:t>
      </w:r>
      <w:r w:rsidRPr="007F696F">
        <w:rPr>
          <w:rFonts w:ascii="Arial" w:eastAsia="Times New Roman" w:hAnsi="Arial" w:cs="Arial"/>
          <w:bCs/>
          <w:sz w:val="20"/>
          <w:szCs w:val="18"/>
        </w:rPr>
        <w:t xml:space="preserve">discount rate </w:t>
      </w:r>
      <w:r w:rsidR="00D42C6F" w:rsidRPr="007F696F">
        <w:rPr>
          <w:rFonts w:ascii="Arial" w:eastAsia="Times New Roman" w:hAnsi="Arial" w:cs="Arial"/>
          <w:bCs/>
          <w:sz w:val="20"/>
          <w:szCs w:val="18"/>
        </w:rPr>
        <w:t xml:space="preserve">at which </w:t>
      </w:r>
      <w:r w:rsidRPr="007F696F">
        <w:rPr>
          <w:rFonts w:ascii="Arial" w:eastAsia="Times New Roman" w:hAnsi="Arial" w:cs="Arial"/>
          <w:bCs/>
          <w:sz w:val="20"/>
          <w:szCs w:val="18"/>
        </w:rPr>
        <w:t xml:space="preserve">the net present worth of cash flow equal to zero. In other words, the benefit cost ratio calculated at IRR is unity. </w:t>
      </w:r>
    </w:p>
    <w:p w14:paraId="52AA6EF3" w14:textId="77777777" w:rsidR="005051AF" w:rsidRPr="007F696F" w:rsidRDefault="005051AF" w:rsidP="005051AF">
      <w:pPr>
        <w:spacing w:after="160" w:line="240" w:lineRule="auto"/>
        <w:jc w:val="both"/>
        <w:rPr>
          <w:rFonts w:ascii="Arial" w:eastAsia="Times New Roman" w:hAnsi="Arial" w:cs="Arial"/>
          <w:bCs/>
          <w:sz w:val="20"/>
          <w:szCs w:val="18"/>
        </w:rPr>
      </w:pPr>
      <w:r w:rsidRPr="007F696F">
        <w:rPr>
          <w:rFonts w:ascii="Arial" w:eastAsia="Times New Roman" w:hAnsi="Arial" w:cs="Arial"/>
          <w:bCs/>
          <w:sz w:val="20"/>
          <w:szCs w:val="18"/>
        </w:rPr>
        <w:t xml:space="preserve">Mathematically it can be represented as </w:t>
      </w:r>
    </w:p>
    <w:p w14:paraId="6F6F43DB" w14:textId="77777777" w:rsidR="005051AF" w:rsidRPr="007F696F" w:rsidRDefault="00516BE9" w:rsidP="005051AF">
      <w:pPr>
        <w:spacing w:after="160" w:line="240" w:lineRule="auto"/>
        <w:jc w:val="both"/>
        <w:rPr>
          <w:rFonts w:ascii="Arial" w:eastAsia="Times New Roman" w:hAnsi="Arial" w:cs="Arial"/>
          <w:bCs/>
          <w:sz w:val="20"/>
          <w:szCs w:val="18"/>
        </w:rPr>
      </w:pPr>
      <w:r w:rsidRPr="007F696F">
        <w:rPr>
          <w:rFonts w:ascii="Arial" w:eastAsia="Times New Roman" w:hAnsi="Arial" w:cs="Arial"/>
          <w:b/>
          <w:bCs/>
          <w:sz w:val="20"/>
          <w:szCs w:val="18"/>
        </w:rPr>
        <w:t>Internal R</w:t>
      </w:r>
      <w:r w:rsidR="005051AF" w:rsidRPr="007F696F">
        <w:rPr>
          <w:rFonts w:ascii="Arial" w:eastAsia="Times New Roman" w:hAnsi="Arial" w:cs="Arial"/>
          <w:b/>
          <w:bCs/>
          <w:sz w:val="20"/>
          <w:szCs w:val="18"/>
        </w:rPr>
        <w:t>ate of Return</w:t>
      </w:r>
      <w:r w:rsidR="005051AF" w:rsidRPr="007F696F">
        <w:rPr>
          <w:rFonts w:ascii="Arial" w:eastAsia="Times New Roman" w:hAnsi="Arial" w:cs="Arial"/>
          <w:bCs/>
          <w:sz w:val="20"/>
          <w:szCs w:val="18"/>
        </w:rPr>
        <w:t xml:space="preserve"> =Lower discount rate + Difference between higher and lower discount rates * {Net present worth at lower discount rate / Absolute difference between present </w:t>
      </w:r>
      <w:proofErr w:type="spellStart"/>
      <w:r w:rsidR="005051AF" w:rsidRPr="007F696F">
        <w:rPr>
          <w:rFonts w:ascii="Arial" w:eastAsia="Times New Roman" w:hAnsi="Arial" w:cs="Arial"/>
          <w:bCs/>
          <w:sz w:val="20"/>
          <w:szCs w:val="18"/>
        </w:rPr>
        <w:t>worths</w:t>
      </w:r>
      <w:proofErr w:type="spellEnd"/>
      <w:r w:rsidR="005051AF" w:rsidRPr="007F696F">
        <w:rPr>
          <w:rFonts w:ascii="Arial" w:eastAsia="Times New Roman" w:hAnsi="Arial" w:cs="Arial"/>
          <w:bCs/>
          <w:sz w:val="20"/>
          <w:szCs w:val="18"/>
        </w:rPr>
        <w:t xml:space="preserve"> at two discount rates}. </w:t>
      </w:r>
    </w:p>
    <w:p w14:paraId="1A8B11C3" w14:textId="77777777" w:rsidR="001B73A5" w:rsidRDefault="005051AF" w:rsidP="005051AF">
      <w:pPr>
        <w:spacing w:after="160" w:line="240" w:lineRule="auto"/>
        <w:jc w:val="both"/>
        <w:rPr>
          <w:rFonts w:ascii="Arial" w:eastAsia="Times New Roman" w:hAnsi="Arial" w:cs="Arial"/>
          <w:bCs/>
          <w:sz w:val="20"/>
          <w:szCs w:val="18"/>
        </w:rPr>
      </w:pPr>
      <w:r w:rsidRPr="007F696F">
        <w:rPr>
          <w:rFonts w:ascii="Arial" w:eastAsia="Times New Roman" w:hAnsi="Arial" w:cs="Arial"/>
          <w:bCs/>
          <w:sz w:val="20"/>
          <w:szCs w:val="18"/>
        </w:rPr>
        <w:t>When the calculated IRR is greater than the market rate of interest, then the investment is considered viable.</w:t>
      </w:r>
    </w:p>
    <w:p w14:paraId="64351A36" w14:textId="77777777" w:rsidR="001B73A5" w:rsidRPr="007F696F" w:rsidRDefault="001B73A5" w:rsidP="005051AF">
      <w:pPr>
        <w:spacing w:after="160" w:line="240" w:lineRule="auto"/>
        <w:jc w:val="both"/>
        <w:rPr>
          <w:rFonts w:ascii="Arial" w:eastAsia="Times New Roman" w:hAnsi="Arial" w:cs="Arial"/>
          <w:bCs/>
          <w:sz w:val="20"/>
          <w:szCs w:val="18"/>
        </w:rPr>
      </w:pPr>
    </w:p>
    <w:p w14:paraId="643B888B" w14:textId="77777777" w:rsidR="001B73A5" w:rsidRPr="001B73A5" w:rsidRDefault="005051AF" w:rsidP="005051AF">
      <w:pPr>
        <w:spacing w:after="160" w:line="240" w:lineRule="auto"/>
        <w:jc w:val="both"/>
        <w:rPr>
          <w:rFonts w:ascii="Arial" w:eastAsia="Times New Roman" w:hAnsi="Arial" w:cs="Arial"/>
          <w:b/>
          <w:bCs/>
          <w:szCs w:val="20"/>
        </w:rPr>
      </w:pPr>
      <w:r w:rsidRPr="007F696F">
        <w:rPr>
          <w:rFonts w:ascii="Arial" w:eastAsia="Times New Roman" w:hAnsi="Arial" w:cs="Arial"/>
          <w:b/>
          <w:bCs/>
          <w:szCs w:val="20"/>
        </w:rPr>
        <w:t>3.4 Break-Even Output and Break-Even Point:</w:t>
      </w:r>
    </w:p>
    <w:p w14:paraId="5AF23128" w14:textId="77777777" w:rsidR="005051AF" w:rsidRPr="007F696F" w:rsidRDefault="005051AF" w:rsidP="005051AF">
      <w:pPr>
        <w:spacing w:after="160" w:line="240" w:lineRule="auto"/>
        <w:jc w:val="both"/>
        <w:rPr>
          <w:rFonts w:ascii="Arial" w:eastAsia="Times New Roman" w:hAnsi="Arial" w:cs="Arial"/>
          <w:bCs/>
          <w:sz w:val="20"/>
          <w:szCs w:val="18"/>
        </w:rPr>
      </w:pPr>
      <w:r w:rsidRPr="007F696F">
        <w:rPr>
          <w:rFonts w:ascii="Arial" w:eastAsia="Times New Roman" w:hAnsi="Arial" w:cs="Arial"/>
          <w:bCs/>
          <w:sz w:val="20"/>
          <w:szCs w:val="18"/>
        </w:rPr>
        <w:t xml:space="preserve">At break-even point the producer gets neither loss </w:t>
      </w:r>
      <w:r w:rsidR="00D42C6F" w:rsidRPr="007F696F">
        <w:rPr>
          <w:rFonts w:ascii="Arial" w:eastAsia="Times New Roman" w:hAnsi="Arial" w:cs="Arial"/>
          <w:bCs/>
          <w:sz w:val="20"/>
          <w:szCs w:val="18"/>
        </w:rPr>
        <w:t>n</w:t>
      </w:r>
      <w:r w:rsidRPr="007F696F">
        <w:rPr>
          <w:rFonts w:ascii="Arial" w:eastAsia="Times New Roman" w:hAnsi="Arial" w:cs="Arial"/>
          <w:bCs/>
          <w:sz w:val="20"/>
          <w:szCs w:val="18"/>
        </w:rPr>
        <w:t xml:space="preserve">or profit. To know the minimum level of turnover of a </w:t>
      </w:r>
      <w:proofErr w:type="gramStart"/>
      <w:r w:rsidRPr="007F696F">
        <w:rPr>
          <w:rFonts w:ascii="Arial" w:eastAsia="Times New Roman" w:hAnsi="Arial" w:cs="Arial"/>
          <w:bCs/>
          <w:sz w:val="20"/>
          <w:szCs w:val="18"/>
        </w:rPr>
        <w:t>commercial turmeric processing units</w:t>
      </w:r>
      <w:proofErr w:type="gramEnd"/>
      <w:r w:rsidRPr="007F696F">
        <w:rPr>
          <w:rFonts w:ascii="Arial" w:eastAsia="Times New Roman" w:hAnsi="Arial" w:cs="Arial"/>
          <w:bCs/>
          <w:sz w:val="20"/>
          <w:szCs w:val="18"/>
        </w:rPr>
        <w:t>, break-even point in value terms and break-even output in physical terms were calculated.</w:t>
      </w:r>
    </w:p>
    <w:p w14:paraId="1854C49E" w14:textId="77777777" w:rsidR="005051AF" w:rsidRPr="007F696F" w:rsidRDefault="005051AF" w:rsidP="005051AF">
      <w:pPr>
        <w:spacing w:after="160" w:line="240" w:lineRule="auto"/>
        <w:jc w:val="both"/>
        <w:rPr>
          <w:rFonts w:ascii="Arial" w:eastAsia="Times New Roman" w:hAnsi="Arial" w:cs="Arial"/>
          <w:bCs/>
          <w:sz w:val="20"/>
          <w:szCs w:val="18"/>
        </w:rPr>
      </w:pPr>
      <w:r w:rsidRPr="007F696F">
        <w:rPr>
          <w:rFonts w:ascii="Arial" w:eastAsia="Times New Roman" w:hAnsi="Arial" w:cs="Arial"/>
          <w:bCs/>
          <w:sz w:val="20"/>
          <w:szCs w:val="18"/>
        </w:rPr>
        <w:t>The break-even output was calculated using the formula</w:t>
      </w:r>
    </w:p>
    <w:p w14:paraId="0707A942" w14:textId="77777777" w:rsidR="005051AF" w:rsidRPr="007F696F" w:rsidRDefault="005051AF" w:rsidP="005051AF">
      <w:pPr>
        <w:spacing w:after="160" w:line="240" w:lineRule="auto"/>
        <w:jc w:val="both"/>
        <w:rPr>
          <w:rFonts w:ascii="Arial" w:eastAsia="Times New Roman" w:hAnsi="Arial" w:cs="Arial"/>
          <w:bCs/>
          <w:sz w:val="20"/>
          <w:szCs w:val="18"/>
        </w:rPr>
      </w:pPr>
      <w:r w:rsidRPr="007F696F">
        <w:rPr>
          <w:rFonts w:ascii="Arial" w:eastAsia="Times New Roman" w:hAnsi="Arial" w:cs="Arial"/>
          <w:bCs/>
          <w:sz w:val="20"/>
          <w:szCs w:val="18"/>
        </w:rPr>
        <w:object w:dxaOrig="5868" w:dyaOrig="708" w14:anchorId="7D8499BE">
          <v:shape id="_x0000_i1027" type="#_x0000_t75" style="width:293.6pt;height:35.55pt" o:ole="">
            <v:imagedata r:id="rId11" o:title=""/>
          </v:shape>
          <o:OLEObject Type="Embed" ProgID="Equation.DSMT4" ShapeID="_x0000_i1027" DrawAspect="Content" ObjectID="_1800353220" r:id="rId12"/>
        </w:object>
      </w:r>
    </w:p>
    <w:p w14:paraId="4BF503DF" w14:textId="77777777" w:rsidR="005051AF" w:rsidRPr="007F696F" w:rsidRDefault="005051AF" w:rsidP="005051AF">
      <w:pPr>
        <w:spacing w:after="160" w:line="240" w:lineRule="auto"/>
        <w:jc w:val="both"/>
        <w:rPr>
          <w:rFonts w:ascii="Arial" w:eastAsia="Times New Roman" w:hAnsi="Arial" w:cs="Arial"/>
          <w:bCs/>
          <w:sz w:val="20"/>
          <w:szCs w:val="18"/>
          <w:lang w:val="en-IN"/>
        </w:rPr>
      </w:pPr>
      <w:r w:rsidRPr="007F696F">
        <w:rPr>
          <w:rFonts w:ascii="Arial" w:eastAsia="Times New Roman" w:hAnsi="Arial" w:cs="Arial"/>
          <w:bCs/>
          <w:sz w:val="20"/>
          <w:szCs w:val="18"/>
          <w:lang w:val="en-IN"/>
        </w:rPr>
        <w:t xml:space="preserve">The break-even point is calculated using the following formula: </w:t>
      </w:r>
    </w:p>
    <w:p w14:paraId="11A25303" w14:textId="77777777" w:rsidR="001B73A5" w:rsidRPr="007F696F" w:rsidRDefault="005051AF" w:rsidP="005051AF">
      <w:pPr>
        <w:spacing w:after="160" w:line="240" w:lineRule="auto"/>
        <w:jc w:val="both"/>
        <w:rPr>
          <w:rFonts w:ascii="Arial" w:eastAsia="Times New Roman" w:hAnsi="Arial" w:cs="Arial"/>
          <w:bCs/>
          <w:sz w:val="20"/>
          <w:szCs w:val="18"/>
        </w:rPr>
      </w:pPr>
      <w:r w:rsidRPr="007F696F">
        <w:rPr>
          <w:rFonts w:ascii="Arial" w:eastAsia="Times New Roman" w:hAnsi="Arial" w:cs="Arial"/>
          <w:bCs/>
          <w:sz w:val="20"/>
          <w:szCs w:val="18"/>
        </w:rPr>
        <w:object w:dxaOrig="4608" w:dyaOrig="1008" w14:anchorId="630B16D7">
          <v:shape id="_x0000_i1028" type="#_x0000_t75" style="width:230.05pt;height:50.5pt" o:ole="">
            <v:imagedata r:id="rId13" o:title=""/>
          </v:shape>
          <o:OLEObject Type="Embed" ProgID="Equation.DSMT4" ShapeID="_x0000_i1028" DrawAspect="Content" ObjectID="_1800353221" r:id="rId14"/>
        </w:object>
      </w:r>
    </w:p>
    <w:p w14:paraId="1B575B21" w14:textId="77777777" w:rsidR="001B73A5" w:rsidRPr="001B73A5" w:rsidRDefault="005051AF" w:rsidP="005051AF">
      <w:pPr>
        <w:spacing w:after="160" w:line="240" w:lineRule="auto"/>
        <w:jc w:val="both"/>
        <w:rPr>
          <w:rFonts w:ascii="Arial" w:eastAsia="Times New Roman" w:hAnsi="Arial" w:cs="Arial"/>
          <w:b/>
          <w:bCs/>
          <w:szCs w:val="20"/>
          <w:lang w:val="en-IN"/>
        </w:rPr>
      </w:pPr>
      <w:r w:rsidRPr="007F696F">
        <w:rPr>
          <w:rFonts w:ascii="Arial" w:eastAsia="Times New Roman" w:hAnsi="Arial" w:cs="Arial"/>
          <w:b/>
          <w:bCs/>
          <w:szCs w:val="20"/>
          <w:lang w:val="en-IN"/>
        </w:rPr>
        <w:t>3.5 Garrett Ranking Technique</w:t>
      </w:r>
    </w:p>
    <w:p w14:paraId="014FCDF2" w14:textId="77777777" w:rsidR="005051AF" w:rsidRPr="007F696F" w:rsidRDefault="005051AF" w:rsidP="005051AF">
      <w:pPr>
        <w:spacing w:after="160" w:line="240" w:lineRule="auto"/>
        <w:jc w:val="both"/>
        <w:rPr>
          <w:rFonts w:ascii="Arial" w:eastAsia="Times New Roman" w:hAnsi="Arial" w:cs="Arial"/>
          <w:bCs/>
          <w:sz w:val="20"/>
          <w:szCs w:val="18"/>
        </w:rPr>
      </w:pPr>
      <w:r w:rsidRPr="007F696F">
        <w:rPr>
          <w:rFonts w:ascii="Arial" w:eastAsia="Times New Roman" w:hAnsi="Arial" w:cs="Arial"/>
          <w:bCs/>
          <w:sz w:val="20"/>
          <w:szCs w:val="18"/>
        </w:rPr>
        <w:t>The constraints of turmeric processing units were measured by applying Garrett ranking procedure. The order of merit given by the respondents were converted into rank by using the formula. To find out the most significant factor that associated with the respondent, Garrett’s ranking technique was used. As per this method, respondents have been asked to assign the rank for all factors and the outcomes of such ranking have been converted into score value with the help of the following formula</w:t>
      </w:r>
    </w:p>
    <w:p w14:paraId="6D9C5EEE" w14:textId="77777777" w:rsidR="005051AF" w:rsidRPr="007F696F" w:rsidRDefault="005051AF" w:rsidP="005051AF">
      <w:pPr>
        <w:spacing w:after="160" w:line="240" w:lineRule="auto"/>
        <w:jc w:val="both"/>
        <w:rPr>
          <w:rFonts w:ascii="Arial" w:eastAsia="Times New Roman" w:hAnsi="Arial" w:cs="Arial"/>
          <w:bCs/>
          <w:sz w:val="20"/>
          <w:szCs w:val="18"/>
        </w:rPr>
      </w:pPr>
      <w:r w:rsidRPr="007F696F">
        <w:rPr>
          <w:rFonts w:ascii="Arial" w:eastAsia="Times New Roman" w:hAnsi="Arial" w:cs="Arial"/>
          <w:bCs/>
          <w:sz w:val="20"/>
          <w:szCs w:val="18"/>
        </w:rPr>
        <w:object w:dxaOrig="3360" w:dyaOrig="840" w14:anchorId="3B782A05">
          <v:shape id="_x0000_i1029" type="#_x0000_t75" style="width:167.4pt;height:41.15pt" o:ole="">
            <v:imagedata r:id="rId15" o:title=""/>
          </v:shape>
          <o:OLEObject Type="Embed" ProgID="Equation.DSMT4" ShapeID="_x0000_i1029" DrawAspect="Content" ObjectID="_1800353222" r:id="rId16"/>
        </w:object>
      </w:r>
    </w:p>
    <w:p w14:paraId="22F2BC23" w14:textId="77777777" w:rsidR="005051AF" w:rsidRPr="007F696F" w:rsidRDefault="005051AF" w:rsidP="005051AF">
      <w:pPr>
        <w:spacing w:after="160" w:line="240" w:lineRule="auto"/>
        <w:jc w:val="both"/>
        <w:rPr>
          <w:rFonts w:ascii="Arial" w:eastAsia="Times New Roman" w:hAnsi="Arial" w:cs="Arial"/>
          <w:bCs/>
          <w:sz w:val="20"/>
          <w:szCs w:val="18"/>
        </w:rPr>
      </w:pPr>
      <w:r w:rsidRPr="007F696F">
        <w:rPr>
          <w:rFonts w:ascii="Arial" w:eastAsia="Times New Roman" w:hAnsi="Arial" w:cs="Arial"/>
          <w:bCs/>
          <w:sz w:val="20"/>
          <w:szCs w:val="18"/>
        </w:rPr>
        <w:t>Where,</w:t>
      </w:r>
    </w:p>
    <w:p w14:paraId="55284A7A" w14:textId="77777777" w:rsidR="005051AF" w:rsidRPr="007F696F" w:rsidRDefault="005051AF" w:rsidP="005051AF">
      <w:pPr>
        <w:spacing w:after="160" w:line="240" w:lineRule="auto"/>
        <w:jc w:val="both"/>
        <w:rPr>
          <w:rFonts w:ascii="Arial" w:eastAsia="Times New Roman" w:hAnsi="Arial" w:cs="Arial"/>
          <w:bCs/>
          <w:sz w:val="20"/>
          <w:szCs w:val="18"/>
        </w:rPr>
      </w:pPr>
      <w:proofErr w:type="spellStart"/>
      <w:r w:rsidRPr="007F696F">
        <w:rPr>
          <w:rFonts w:ascii="Arial" w:eastAsia="Times New Roman" w:hAnsi="Arial" w:cs="Arial"/>
          <w:bCs/>
          <w:sz w:val="20"/>
          <w:szCs w:val="18"/>
        </w:rPr>
        <w:t>Rij</w:t>
      </w:r>
      <w:proofErr w:type="spellEnd"/>
      <w:r w:rsidRPr="007F696F">
        <w:rPr>
          <w:rFonts w:ascii="Arial" w:eastAsia="Times New Roman" w:hAnsi="Arial" w:cs="Arial"/>
          <w:bCs/>
          <w:sz w:val="20"/>
          <w:szCs w:val="18"/>
        </w:rPr>
        <w:t xml:space="preserve"> = Rank given for the </w:t>
      </w:r>
      <w:proofErr w:type="spellStart"/>
      <w:r w:rsidRPr="007F696F">
        <w:rPr>
          <w:rFonts w:ascii="Arial" w:eastAsia="Times New Roman" w:hAnsi="Arial" w:cs="Arial"/>
          <w:bCs/>
          <w:sz w:val="20"/>
          <w:szCs w:val="18"/>
        </w:rPr>
        <w:t>i</w:t>
      </w:r>
      <w:r w:rsidRPr="007F696F">
        <w:rPr>
          <w:rFonts w:ascii="Arial" w:eastAsia="Times New Roman" w:hAnsi="Arial" w:cs="Arial"/>
          <w:bCs/>
          <w:sz w:val="20"/>
          <w:szCs w:val="18"/>
          <w:vertAlign w:val="superscript"/>
        </w:rPr>
        <w:t>th</w:t>
      </w:r>
      <w:proofErr w:type="spellEnd"/>
      <w:r w:rsidRPr="007F696F">
        <w:rPr>
          <w:rFonts w:ascii="Arial" w:eastAsia="Times New Roman" w:hAnsi="Arial" w:cs="Arial"/>
          <w:bCs/>
          <w:sz w:val="20"/>
          <w:szCs w:val="18"/>
        </w:rPr>
        <w:t xml:space="preserve"> variable by </w:t>
      </w:r>
      <w:proofErr w:type="spellStart"/>
      <w:r w:rsidRPr="007F696F">
        <w:rPr>
          <w:rFonts w:ascii="Arial" w:eastAsia="Times New Roman" w:hAnsi="Arial" w:cs="Arial"/>
          <w:bCs/>
          <w:sz w:val="20"/>
          <w:szCs w:val="18"/>
        </w:rPr>
        <w:t>j</w:t>
      </w:r>
      <w:r w:rsidRPr="007F696F">
        <w:rPr>
          <w:rFonts w:ascii="Arial" w:eastAsia="Times New Roman" w:hAnsi="Arial" w:cs="Arial"/>
          <w:bCs/>
          <w:sz w:val="20"/>
          <w:szCs w:val="18"/>
          <w:vertAlign w:val="superscript"/>
        </w:rPr>
        <w:t>th</w:t>
      </w:r>
      <w:proofErr w:type="spellEnd"/>
      <w:r w:rsidRPr="007F696F">
        <w:rPr>
          <w:rFonts w:ascii="Arial" w:eastAsia="Times New Roman" w:hAnsi="Arial" w:cs="Arial"/>
          <w:bCs/>
          <w:sz w:val="20"/>
          <w:szCs w:val="18"/>
        </w:rPr>
        <w:t xml:space="preserve"> respondents</w:t>
      </w:r>
    </w:p>
    <w:p w14:paraId="05BE1A44" w14:textId="77777777" w:rsidR="005051AF" w:rsidRDefault="005051AF" w:rsidP="005051AF">
      <w:pPr>
        <w:spacing w:after="160" w:line="240" w:lineRule="auto"/>
        <w:jc w:val="both"/>
        <w:rPr>
          <w:rFonts w:ascii="Arial" w:eastAsia="Times New Roman" w:hAnsi="Arial" w:cs="Arial"/>
          <w:bCs/>
          <w:sz w:val="20"/>
          <w:szCs w:val="18"/>
        </w:rPr>
      </w:pPr>
      <w:r w:rsidRPr="007F696F">
        <w:rPr>
          <w:rFonts w:ascii="Arial" w:eastAsia="Times New Roman" w:hAnsi="Arial" w:cs="Arial"/>
          <w:bCs/>
          <w:sz w:val="20"/>
          <w:szCs w:val="18"/>
        </w:rPr>
        <w:t xml:space="preserve">Nj = Number of variables ranked by </w:t>
      </w:r>
      <w:proofErr w:type="spellStart"/>
      <w:r w:rsidRPr="007F696F">
        <w:rPr>
          <w:rFonts w:ascii="Arial" w:eastAsia="Times New Roman" w:hAnsi="Arial" w:cs="Arial"/>
          <w:bCs/>
          <w:sz w:val="20"/>
          <w:szCs w:val="18"/>
        </w:rPr>
        <w:t>j</w:t>
      </w:r>
      <w:r w:rsidRPr="007F696F">
        <w:rPr>
          <w:rFonts w:ascii="Arial" w:eastAsia="Times New Roman" w:hAnsi="Arial" w:cs="Arial"/>
          <w:bCs/>
          <w:sz w:val="20"/>
          <w:szCs w:val="18"/>
          <w:vertAlign w:val="superscript"/>
        </w:rPr>
        <w:t>th</w:t>
      </w:r>
      <w:proofErr w:type="spellEnd"/>
      <w:r w:rsidRPr="007F696F">
        <w:rPr>
          <w:rFonts w:ascii="Arial" w:eastAsia="Times New Roman" w:hAnsi="Arial" w:cs="Arial"/>
          <w:bCs/>
          <w:sz w:val="20"/>
          <w:szCs w:val="18"/>
        </w:rPr>
        <w:t xml:space="preserve"> respondents</w:t>
      </w:r>
    </w:p>
    <w:p w14:paraId="6902646A" w14:textId="77777777" w:rsidR="005051AF" w:rsidRPr="007F696F" w:rsidRDefault="005051AF" w:rsidP="005051AF">
      <w:pPr>
        <w:spacing w:after="160" w:line="240" w:lineRule="auto"/>
        <w:jc w:val="both"/>
        <w:rPr>
          <w:rFonts w:ascii="Arial" w:eastAsia="Times New Roman" w:hAnsi="Arial" w:cs="Arial"/>
          <w:bCs/>
          <w:sz w:val="27"/>
          <w:szCs w:val="24"/>
        </w:rPr>
      </w:pPr>
    </w:p>
    <w:p w14:paraId="1BD31BD0" w14:textId="77777777" w:rsidR="00587A81" w:rsidRPr="007F696F" w:rsidRDefault="00587A81" w:rsidP="00587A81">
      <w:pPr>
        <w:rPr>
          <w:rFonts w:ascii="Arial" w:eastAsia="Times New Roman" w:hAnsi="Arial" w:cs="Arial"/>
          <w:b/>
          <w:szCs w:val="20"/>
        </w:rPr>
      </w:pPr>
      <w:r w:rsidRPr="007F696F">
        <w:rPr>
          <w:rFonts w:ascii="Arial" w:eastAsia="Times New Roman" w:hAnsi="Arial" w:cs="Arial"/>
          <w:b/>
          <w:szCs w:val="20"/>
        </w:rPr>
        <w:t>4. RESULTS AND DISCUSSION</w:t>
      </w:r>
    </w:p>
    <w:p w14:paraId="0CDEC438" w14:textId="77777777" w:rsidR="00587A81" w:rsidRPr="007F696F" w:rsidRDefault="00587A81" w:rsidP="00587A81">
      <w:pPr>
        <w:rPr>
          <w:rFonts w:ascii="Arial" w:eastAsia="Times New Roman" w:hAnsi="Arial" w:cs="Arial"/>
          <w:b/>
          <w:szCs w:val="20"/>
        </w:rPr>
      </w:pPr>
      <w:r w:rsidRPr="007F696F">
        <w:rPr>
          <w:rFonts w:ascii="Arial" w:eastAsia="Times New Roman" w:hAnsi="Arial" w:cs="Arial"/>
          <w:b/>
          <w:szCs w:val="20"/>
        </w:rPr>
        <w:t>4.1</w:t>
      </w:r>
      <w:r w:rsidR="00C02C1A" w:rsidRPr="007F696F">
        <w:rPr>
          <w:rFonts w:ascii="Arial" w:eastAsia="Times New Roman" w:hAnsi="Arial" w:cs="Arial"/>
          <w:b/>
          <w:szCs w:val="20"/>
        </w:rPr>
        <w:t xml:space="preserve"> ECONOMIC ANALYSIS OF TURMERIC PROCESSING UNITS</w:t>
      </w:r>
    </w:p>
    <w:p w14:paraId="591A6106" w14:textId="77777777" w:rsidR="00AF297A" w:rsidRPr="007F696F" w:rsidRDefault="00AF297A" w:rsidP="0055419F">
      <w:pPr>
        <w:jc w:val="both"/>
        <w:rPr>
          <w:rFonts w:ascii="Arial" w:eastAsia="Times New Roman" w:hAnsi="Arial" w:cs="Arial"/>
          <w:bCs/>
          <w:sz w:val="20"/>
          <w:szCs w:val="18"/>
        </w:rPr>
      </w:pPr>
      <w:r w:rsidRPr="007F696F">
        <w:rPr>
          <w:rFonts w:ascii="Arial" w:eastAsia="Times New Roman" w:hAnsi="Arial" w:cs="Arial"/>
          <w:bCs/>
          <w:sz w:val="20"/>
          <w:szCs w:val="18"/>
        </w:rPr>
        <w:t>The economic viability of turmeric processing units under different discount rates is assessed using Net Present Value (NPV) and Benefit-Cost (B:C) ratio in Table 1. At a 15% discount rate, unorganized units have an NPV of ₹66,54,326 with a B:C ratio of 1.29, whereas organized units show an NPV of ₹22,494,327 and a B:C ratio of 1.22. When the discount rate increases to 20%, unorganized units report an NPV of ₹4,758,673 with a B:C ratio of 1.27, while organized units have an NPV of ₹15,067,509 and a B:C ratio of 1.19. At the highest discount rate of 25%, unorganized units maintain an NPV of ₹34,10,671 with a B:C ratio of 1.24, whereas organized units achieve an NPV of ₹1,00,03,870 with a B:C ratio of 1.16.</w:t>
      </w:r>
    </w:p>
    <w:p w14:paraId="6409045C" w14:textId="77777777" w:rsidR="00C21568" w:rsidRDefault="00AF297A" w:rsidP="001B73A5">
      <w:pPr>
        <w:jc w:val="both"/>
        <w:rPr>
          <w:rFonts w:ascii="Arial" w:eastAsia="Times New Roman" w:hAnsi="Arial" w:cs="Arial"/>
          <w:bCs/>
          <w:sz w:val="20"/>
          <w:szCs w:val="18"/>
        </w:rPr>
      </w:pPr>
      <w:r w:rsidRPr="007F696F">
        <w:rPr>
          <w:rFonts w:ascii="Arial" w:eastAsia="Times New Roman" w:hAnsi="Arial" w:cs="Arial"/>
          <w:bCs/>
          <w:sz w:val="20"/>
          <w:szCs w:val="18"/>
        </w:rPr>
        <w:t>Furthermore, the Internal Rate of Return (IRR) analysis highlights that unorganized turmeric processing units achieve a higher IRR of 58.24%, compared to 49.52% for organized units. This suggests that while both types of units are economically viable, unorganized units demonstrate higher short-term profitability, whereas organized units may benefit from better scalability and long-term financial stability.</w:t>
      </w:r>
    </w:p>
    <w:p w14:paraId="48F92DD0" w14:textId="77777777" w:rsidR="00C21568" w:rsidRPr="001B73A5" w:rsidRDefault="00C21568" w:rsidP="001B73A5">
      <w:pPr>
        <w:jc w:val="both"/>
        <w:rPr>
          <w:rFonts w:ascii="Arial" w:eastAsia="Times New Roman" w:hAnsi="Arial" w:cs="Arial"/>
          <w:bCs/>
          <w:sz w:val="20"/>
          <w:szCs w:val="18"/>
        </w:rPr>
      </w:pPr>
    </w:p>
    <w:p w14:paraId="1A5F7016" w14:textId="77777777" w:rsidR="00C02C1A" w:rsidRPr="007F696F" w:rsidRDefault="00355809" w:rsidP="00587A81">
      <w:pPr>
        <w:rPr>
          <w:rFonts w:ascii="Arial" w:eastAsia="Times New Roman" w:hAnsi="Arial" w:cs="Arial"/>
          <w:bCs/>
          <w:sz w:val="20"/>
          <w:szCs w:val="18"/>
        </w:rPr>
      </w:pPr>
      <w:r w:rsidRPr="007F696F">
        <w:rPr>
          <w:rFonts w:ascii="Arial" w:eastAsia="Times New Roman" w:hAnsi="Arial" w:cs="Arial"/>
          <w:b/>
          <w:sz w:val="20"/>
          <w:szCs w:val="18"/>
        </w:rPr>
        <w:t xml:space="preserve">Table </w:t>
      </w:r>
      <w:r w:rsidR="00F21DA8" w:rsidRPr="007F696F">
        <w:rPr>
          <w:rFonts w:ascii="Arial" w:eastAsia="Times New Roman" w:hAnsi="Arial" w:cs="Arial"/>
          <w:b/>
          <w:sz w:val="20"/>
          <w:szCs w:val="18"/>
        </w:rPr>
        <w:t>1.</w:t>
      </w:r>
      <w:r w:rsidR="00F21DA8" w:rsidRPr="007F696F">
        <w:rPr>
          <w:rFonts w:ascii="Arial" w:eastAsia="Times New Roman" w:hAnsi="Arial" w:cs="Arial"/>
          <w:bCs/>
          <w:sz w:val="20"/>
          <w:szCs w:val="18"/>
        </w:rPr>
        <w:t xml:space="preserve"> </w:t>
      </w:r>
      <w:r w:rsidR="00F21DA8" w:rsidRPr="007F696F">
        <w:rPr>
          <w:rFonts w:ascii="Arial" w:eastAsia="Times New Roman" w:hAnsi="Arial" w:cs="Arial"/>
          <w:b/>
          <w:sz w:val="20"/>
          <w:szCs w:val="18"/>
        </w:rPr>
        <w:t>Economic viability of turmeric processing units under various scenarios utilizing the NPV (₹), B: C ratio and IRR.</w:t>
      </w:r>
    </w:p>
    <w:tbl>
      <w:tblPr>
        <w:tblStyle w:val="TableGrid"/>
        <w:tblW w:w="8748" w:type="dxa"/>
        <w:tblBorders>
          <w:insideH w:val="single" w:sz="4" w:space="0" w:color="auto"/>
          <w:insideV w:val="single" w:sz="4" w:space="0" w:color="auto"/>
        </w:tblBorders>
        <w:tblLook w:val="04A0" w:firstRow="1" w:lastRow="0" w:firstColumn="1" w:lastColumn="0" w:noHBand="0" w:noVBand="1"/>
      </w:tblPr>
      <w:tblGrid>
        <w:gridCol w:w="2476"/>
        <w:gridCol w:w="2476"/>
        <w:gridCol w:w="2476"/>
        <w:gridCol w:w="1320"/>
      </w:tblGrid>
      <w:tr w:rsidR="005C1A54" w:rsidRPr="007F696F" w14:paraId="09097B78" w14:textId="77777777" w:rsidTr="007F696F">
        <w:trPr>
          <w:trHeight w:val="341"/>
        </w:trPr>
        <w:tc>
          <w:tcPr>
            <w:tcW w:w="2476" w:type="dxa"/>
            <w:tcBorders>
              <w:top w:val="single" w:sz="4" w:space="0" w:color="auto"/>
              <w:left w:val="nil"/>
              <w:right w:val="nil"/>
            </w:tcBorders>
          </w:tcPr>
          <w:p w14:paraId="5A5BC891" w14:textId="77777777" w:rsidR="005C1A54" w:rsidRPr="007F696F" w:rsidRDefault="005C1A54" w:rsidP="007F696F">
            <w:pPr>
              <w:jc w:val="both"/>
              <w:rPr>
                <w:rFonts w:ascii="Arial" w:eastAsia="Times New Roman" w:hAnsi="Arial" w:cs="Arial"/>
                <w:sz w:val="20"/>
                <w:szCs w:val="18"/>
              </w:rPr>
            </w:pPr>
            <w:r w:rsidRPr="007F696F">
              <w:rPr>
                <w:rFonts w:ascii="Arial" w:eastAsia="Times New Roman" w:hAnsi="Arial" w:cs="Arial"/>
                <w:b/>
                <w:sz w:val="20"/>
                <w:szCs w:val="18"/>
              </w:rPr>
              <w:t>Particulars</w:t>
            </w:r>
          </w:p>
        </w:tc>
        <w:tc>
          <w:tcPr>
            <w:tcW w:w="6272" w:type="dxa"/>
            <w:gridSpan w:val="3"/>
            <w:tcBorders>
              <w:top w:val="single" w:sz="4" w:space="0" w:color="auto"/>
              <w:left w:val="nil"/>
              <w:right w:val="nil"/>
            </w:tcBorders>
          </w:tcPr>
          <w:p w14:paraId="0E2A54F2" w14:textId="77777777" w:rsidR="005C1A54" w:rsidRPr="007F696F" w:rsidRDefault="005C1A54" w:rsidP="007F696F">
            <w:pPr>
              <w:jc w:val="both"/>
              <w:rPr>
                <w:rFonts w:ascii="Arial" w:eastAsia="Times New Roman" w:hAnsi="Arial" w:cs="Arial"/>
                <w:sz w:val="20"/>
                <w:szCs w:val="18"/>
              </w:rPr>
            </w:pPr>
            <w:r w:rsidRPr="007F696F">
              <w:rPr>
                <w:rFonts w:ascii="Arial" w:eastAsia="Times New Roman" w:hAnsi="Arial" w:cs="Arial"/>
                <w:b/>
                <w:sz w:val="20"/>
                <w:szCs w:val="18"/>
              </w:rPr>
              <w:t>Discount rates (%)</w:t>
            </w:r>
          </w:p>
        </w:tc>
      </w:tr>
      <w:tr w:rsidR="005C1A54" w:rsidRPr="007F696F" w14:paraId="3C1EE37D" w14:textId="77777777" w:rsidTr="007F696F">
        <w:trPr>
          <w:trHeight w:val="692"/>
        </w:trPr>
        <w:tc>
          <w:tcPr>
            <w:tcW w:w="2476" w:type="dxa"/>
            <w:tcBorders>
              <w:left w:val="nil"/>
              <w:bottom w:val="single" w:sz="4" w:space="0" w:color="auto"/>
              <w:right w:val="nil"/>
            </w:tcBorders>
          </w:tcPr>
          <w:p w14:paraId="4BD25CDF" w14:textId="77777777" w:rsidR="005C1A54" w:rsidRPr="007F696F" w:rsidRDefault="007F696F" w:rsidP="007F696F">
            <w:pPr>
              <w:jc w:val="both"/>
              <w:rPr>
                <w:rFonts w:ascii="Arial" w:eastAsia="Times New Roman" w:hAnsi="Arial" w:cs="Arial"/>
                <w:sz w:val="20"/>
                <w:szCs w:val="18"/>
              </w:rPr>
            </w:pPr>
            <w:r>
              <w:rPr>
                <w:rFonts w:ascii="Arial" w:eastAsia="Times New Roman" w:hAnsi="Arial" w:cs="Arial"/>
                <w:b/>
                <w:sz w:val="20"/>
                <w:szCs w:val="18"/>
              </w:rPr>
              <w:t xml:space="preserve">Unorganized </w:t>
            </w:r>
            <w:r w:rsidR="005C1A54" w:rsidRPr="007F696F">
              <w:rPr>
                <w:rFonts w:ascii="Arial" w:eastAsia="Times New Roman" w:hAnsi="Arial" w:cs="Arial"/>
                <w:b/>
                <w:sz w:val="20"/>
                <w:szCs w:val="18"/>
              </w:rPr>
              <w:t>units</w:t>
            </w:r>
            <w:r>
              <w:rPr>
                <w:rFonts w:ascii="Arial" w:eastAsia="Times New Roman" w:hAnsi="Arial" w:cs="Arial"/>
                <w:b/>
                <w:sz w:val="20"/>
                <w:szCs w:val="18"/>
              </w:rPr>
              <w:t xml:space="preserve"> </w:t>
            </w:r>
            <w:r w:rsidR="005C1A54" w:rsidRPr="007F696F">
              <w:rPr>
                <w:rFonts w:ascii="Arial" w:eastAsia="Times New Roman" w:hAnsi="Arial" w:cs="Arial"/>
                <w:b/>
                <w:sz w:val="20"/>
                <w:szCs w:val="18"/>
              </w:rPr>
              <w:t>(n=5)</w:t>
            </w:r>
          </w:p>
        </w:tc>
        <w:tc>
          <w:tcPr>
            <w:tcW w:w="2476" w:type="dxa"/>
            <w:tcBorders>
              <w:left w:val="nil"/>
              <w:bottom w:val="single" w:sz="4" w:space="0" w:color="auto"/>
              <w:right w:val="nil"/>
            </w:tcBorders>
          </w:tcPr>
          <w:p w14:paraId="6041AC47" w14:textId="77777777" w:rsidR="005C1A54" w:rsidRPr="007F696F" w:rsidRDefault="005C1A54" w:rsidP="00AF297A">
            <w:pPr>
              <w:rPr>
                <w:rFonts w:ascii="Arial" w:eastAsia="Times New Roman" w:hAnsi="Arial" w:cs="Arial"/>
                <w:b/>
                <w:bCs/>
                <w:sz w:val="20"/>
                <w:szCs w:val="18"/>
              </w:rPr>
            </w:pPr>
            <w:r w:rsidRPr="007F696F">
              <w:rPr>
                <w:rFonts w:ascii="Arial" w:eastAsia="Times New Roman" w:hAnsi="Arial" w:cs="Arial"/>
                <w:b/>
                <w:bCs/>
                <w:sz w:val="20"/>
                <w:szCs w:val="18"/>
              </w:rPr>
              <w:t>15</w:t>
            </w:r>
          </w:p>
        </w:tc>
        <w:tc>
          <w:tcPr>
            <w:tcW w:w="2476" w:type="dxa"/>
            <w:tcBorders>
              <w:left w:val="nil"/>
              <w:bottom w:val="single" w:sz="4" w:space="0" w:color="auto"/>
              <w:right w:val="nil"/>
            </w:tcBorders>
          </w:tcPr>
          <w:p w14:paraId="527B14C1" w14:textId="77777777" w:rsidR="005C1A54" w:rsidRPr="007F696F" w:rsidRDefault="005C1A54" w:rsidP="00AF297A">
            <w:pPr>
              <w:rPr>
                <w:rFonts w:ascii="Arial" w:eastAsia="Times New Roman" w:hAnsi="Arial" w:cs="Arial"/>
                <w:b/>
                <w:bCs/>
                <w:sz w:val="20"/>
                <w:szCs w:val="18"/>
              </w:rPr>
            </w:pPr>
            <w:r w:rsidRPr="007F696F">
              <w:rPr>
                <w:rFonts w:ascii="Arial" w:eastAsia="Times New Roman" w:hAnsi="Arial" w:cs="Arial"/>
                <w:b/>
                <w:bCs/>
                <w:sz w:val="20"/>
                <w:szCs w:val="18"/>
              </w:rPr>
              <w:t>20</w:t>
            </w:r>
          </w:p>
        </w:tc>
        <w:tc>
          <w:tcPr>
            <w:tcW w:w="1320" w:type="dxa"/>
            <w:tcBorders>
              <w:left w:val="nil"/>
              <w:bottom w:val="single" w:sz="4" w:space="0" w:color="auto"/>
              <w:right w:val="nil"/>
            </w:tcBorders>
          </w:tcPr>
          <w:p w14:paraId="56D81EB5" w14:textId="77777777" w:rsidR="005C1A54" w:rsidRPr="007F696F" w:rsidRDefault="005C1A54" w:rsidP="00AF297A">
            <w:pPr>
              <w:rPr>
                <w:rFonts w:ascii="Arial" w:eastAsia="Times New Roman" w:hAnsi="Arial" w:cs="Arial"/>
                <w:b/>
                <w:bCs/>
                <w:sz w:val="20"/>
                <w:szCs w:val="18"/>
              </w:rPr>
            </w:pPr>
            <w:r w:rsidRPr="007F696F">
              <w:rPr>
                <w:rFonts w:ascii="Arial" w:eastAsia="Times New Roman" w:hAnsi="Arial" w:cs="Arial"/>
                <w:b/>
                <w:bCs/>
                <w:sz w:val="20"/>
                <w:szCs w:val="18"/>
              </w:rPr>
              <w:t>25</w:t>
            </w:r>
          </w:p>
        </w:tc>
      </w:tr>
      <w:tr w:rsidR="005C1A54" w:rsidRPr="007F696F" w14:paraId="783A2BDB" w14:textId="77777777" w:rsidTr="007F696F">
        <w:trPr>
          <w:trHeight w:val="341"/>
        </w:trPr>
        <w:tc>
          <w:tcPr>
            <w:tcW w:w="2476" w:type="dxa"/>
            <w:tcBorders>
              <w:top w:val="single" w:sz="4" w:space="0" w:color="auto"/>
              <w:left w:val="nil"/>
              <w:bottom w:val="nil"/>
              <w:right w:val="nil"/>
            </w:tcBorders>
          </w:tcPr>
          <w:p w14:paraId="080A152B" w14:textId="77777777" w:rsidR="005C1A54" w:rsidRPr="007F696F" w:rsidRDefault="005C1A54" w:rsidP="007F696F">
            <w:pPr>
              <w:jc w:val="both"/>
              <w:rPr>
                <w:rFonts w:ascii="Arial" w:eastAsia="Times New Roman" w:hAnsi="Arial" w:cs="Arial"/>
                <w:sz w:val="20"/>
                <w:szCs w:val="18"/>
              </w:rPr>
            </w:pPr>
            <w:r w:rsidRPr="007F696F">
              <w:rPr>
                <w:rFonts w:ascii="Arial" w:eastAsia="Times New Roman" w:hAnsi="Arial" w:cs="Arial"/>
                <w:sz w:val="20"/>
                <w:szCs w:val="18"/>
              </w:rPr>
              <w:t>NPV (Rs.)</w:t>
            </w:r>
          </w:p>
        </w:tc>
        <w:tc>
          <w:tcPr>
            <w:tcW w:w="2476" w:type="dxa"/>
            <w:tcBorders>
              <w:top w:val="single" w:sz="4" w:space="0" w:color="auto"/>
              <w:left w:val="nil"/>
              <w:bottom w:val="nil"/>
              <w:right w:val="nil"/>
            </w:tcBorders>
          </w:tcPr>
          <w:p w14:paraId="05DAD589" w14:textId="77777777" w:rsidR="005C1A54" w:rsidRPr="007F696F" w:rsidRDefault="005C1A54" w:rsidP="00AF297A">
            <w:pPr>
              <w:rPr>
                <w:rFonts w:ascii="Arial" w:eastAsia="Times New Roman" w:hAnsi="Arial" w:cs="Arial"/>
                <w:sz w:val="20"/>
                <w:szCs w:val="18"/>
              </w:rPr>
            </w:pPr>
            <w:r w:rsidRPr="007F696F">
              <w:rPr>
                <w:rFonts w:ascii="Arial" w:eastAsia="Times New Roman" w:hAnsi="Arial" w:cs="Arial"/>
                <w:bCs/>
                <w:sz w:val="20"/>
                <w:szCs w:val="18"/>
              </w:rPr>
              <w:t xml:space="preserve">66,54,326                       </w:t>
            </w:r>
          </w:p>
        </w:tc>
        <w:tc>
          <w:tcPr>
            <w:tcW w:w="2476" w:type="dxa"/>
            <w:tcBorders>
              <w:top w:val="single" w:sz="4" w:space="0" w:color="auto"/>
              <w:left w:val="nil"/>
              <w:bottom w:val="nil"/>
              <w:right w:val="nil"/>
            </w:tcBorders>
          </w:tcPr>
          <w:p w14:paraId="373EA41D" w14:textId="77777777" w:rsidR="005C1A54" w:rsidRPr="007F696F" w:rsidRDefault="005C1A54" w:rsidP="00AF297A">
            <w:pPr>
              <w:rPr>
                <w:rFonts w:ascii="Arial" w:eastAsia="Times New Roman" w:hAnsi="Arial" w:cs="Arial"/>
                <w:sz w:val="20"/>
                <w:szCs w:val="18"/>
              </w:rPr>
            </w:pPr>
            <w:r w:rsidRPr="007F696F">
              <w:rPr>
                <w:rFonts w:ascii="Arial" w:eastAsia="Times New Roman" w:hAnsi="Arial" w:cs="Arial"/>
                <w:bCs/>
                <w:sz w:val="20"/>
                <w:szCs w:val="18"/>
              </w:rPr>
              <w:t xml:space="preserve">4,758,673                  </w:t>
            </w:r>
          </w:p>
        </w:tc>
        <w:tc>
          <w:tcPr>
            <w:tcW w:w="1320" w:type="dxa"/>
            <w:tcBorders>
              <w:top w:val="single" w:sz="4" w:space="0" w:color="auto"/>
              <w:left w:val="nil"/>
              <w:bottom w:val="nil"/>
              <w:right w:val="nil"/>
            </w:tcBorders>
          </w:tcPr>
          <w:p w14:paraId="792AC0FA" w14:textId="77777777" w:rsidR="005C1A54" w:rsidRPr="007F696F" w:rsidRDefault="005C1A54" w:rsidP="00AF297A">
            <w:pPr>
              <w:rPr>
                <w:rFonts w:ascii="Arial" w:eastAsia="Times New Roman" w:hAnsi="Arial" w:cs="Arial"/>
                <w:sz w:val="20"/>
                <w:szCs w:val="18"/>
              </w:rPr>
            </w:pPr>
            <w:r w:rsidRPr="007F696F">
              <w:rPr>
                <w:rFonts w:ascii="Arial" w:eastAsia="Times New Roman" w:hAnsi="Arial" w:cs="Arial"/>
                <w:bCs/>
                <w:sz w:val="20"/>
                <w:szCs w:val="18"/>
              </w:rPr>
              <w:t>34,10,671</w:t>
            </w:r>
          </w:p>
        </w:tc>
      </w:tr>
      <w:tr w:rsidR="005C1A54" w:rsidRPr="007F696F" w14:paraId="44C65B71" w14:textId="77777777" w:rsidTr="007F696F">
        <w:trPr>
          <w:trHeight w:val="341"/>
        </w:trPr>
        <w:tc>
          <w:tcPr>
            <w:tcW w:w="2476" w:type="dxa"/>
            <w:tcBorders>
              <w:top w:val="nil"/>
              <w:left w:val="nil"/>
              <w:bottom w:val="nil"/>
              <w:right w:val="nil"/>
            </w:tcBorders>
          </w:tcPr>
          <w:p w14:paraId="6AB16645" w14:textId="77777777" w:rsidR="005C1A54" w:rsidRPr="007F696F" w:rsidRDefault="005C1A54" w:rsidP="007F696F">
            <w:pPr>
              <w:jc w:val="both"/>
              <w:rPr>
                <w:rFonts w:ascii="Arial" w:eastAsia="Times New Roman" w:hAnsi="Arial" w:cs="Arial"/>
                <w:sz w:val="20"/>
                <w:szCs w:val="18"/>
              </w:rPr>
            </w:pPr>
            <w:r w:rsidRPr="007F696F">
              <w:rPr>
                <w:rFonts w:ascii="Arial" w:eastAsia="Times New Roman" w:hAnsi="Arial" w:cs="Arial"/>
                <w:sz w:val="20"/>
                <w:szCs w:val="18"/>
              </w:rPr>
              <w:t>B-C Ratio</w:t>
            </w:r>
          </w:p>
        </w:tc>
        <w:tc>
          <w:tcPr>
            <w:tcW w:w="2476" w:type="dxa"/>
            <w:tcBorders>
              <w:top w:val="nil"/>
              <w:left w:val="nil"/>
              <w:bottom w:val="nil"/>
              <w:right w:val="nil"/>
            </w:tcBorders>
          </w:tcPr>
          <w:p w14:paraId="32AD4CB2" w14:textId="77777777" w:rsidR="005C1A54" w:rsidRPr="007F696F" w:rsidRDefault="005C1A54" w:rsidP="00AF297A">
            <w:pPr>
              <w:rPr>
                <w:rFonts w:ascii="Arial" w:eastAsia="Times New Roman" w:hAnsi="Arial" w:cs="Arial"/>
                <w:sz w:val="20"/>
                <w:szCs w:val="18"/>
              </w:rPr>
            </w:pPr>
            <w:r w:rsidRPr="007F696F">
              <w:rPr>
                <w:rFonts w:ascii="Arial" w:eastAsia="Times New Roman" w:hAnsi="Arial" w:cs="Arial"/>
                <w:bCs/>
                <w:sz w:val="20"/>
                <w:szCs w:val="18"/>
              </w:rPr>
              <w:t>1.29</w:t>
            </w:r>
          </w:p>
        </w:tc>
        <w:tc>
          <w:tcPr>
            <w:tcW w:w="2476" w:type="dxa"/>
            <w:tcBorders>
              <w:top w:val="nil"/>
              <w:left w:val="nil"/>
              <w:bottom w:val="nil"/>
              <w:right w:val="nil"/>
            </w:tcBorders>
          </w:tcPr>
          <w:p w14:paraId="3D640428" w14:textId="77777777" w:rsidR="005C1A54" w:rsidRPr="007F696F" w:rsidRDefault="005C1A54" w:rsidP="00AF297A">
            <w:pPr>
              <w:rPr>
                <w:rFonts w:ascii="Arial" w:eastAsia="Times New Roman" w:hAnsi="Arial" w:cs="Arial"/>
                <w:sz w:val="20"/>
                <w:szCs w:val="18"/>
              </w:rPr>
            </w:pPr>
            <w:r w:rsidRPr="007F696F">
              <w:rPr>
                <w:rFonts w:ascii="Arial" w:eastAsia="Times New Roman" w:hAnsi="Arial" w:cs="Arial"/>
                <w:bCs/>
                <w:sz w:val="20"/>
                <w:szCs w:val="18"/>
              </w:rPr>
              <w:t xml:space="preserve">1.27                           </w:t>
            </w:r>
          </w:p>
        </w:tc>
        <w:tc>
          <w:tcPr>
            <w:tcW w:w="1320" w:type="dxa"/>
            <w:tcBorders>
              <w:top w:val="nil"/>
              <w:left w:val="nil"/>
              <w:bottom w:val="nil"/>
              <w:right w:val="nil"/>
            </w:tcBorders>
          </w:tcPr>
          <w:p w14:paraId="410054EA" w14:textId="77777777" w:rsidR="005C1A54" w:rsidRPr="007F696F" w:rsidRDefault="005C1A54" w:rsidP="00AF297A">
            <w:pPr>
              <w:rPr>
                <w:rFonts w:ascii="Arial" w:eastAsia="Times New Roman" w:hAnsi="Arial" w:cs="Arial"/>
                <w:sz w:val="20"/>
                <w:szCs w:val="18"/>
              </w:rPr>
            </w:pPr>
            <w:r w:rsidRPr="007F696F">
              <w:rPr>
                <w:rFonts w:ascii="Arial" w:eastAsia="Times New Roman" w:hAnsi="Arial" w:cs="Arial"/>
                <w:bCs/>
                <w:sz w:val="20"/>
                <w:szCs w:val="18"/>
              </w:rPr>
              <w:t>1.24</w:t>
            </w:r>
          </w:p>
        </w:tc>
      </w:tr>
      <w:tr w:rsidR="005C1A54" w:rsidRPr="007F696F" w14:paraId="73803F21" w14:textId="77777777" w:rsidTr="007F696F">
        <w:trPr>
          <w:trHeight w:val="477"/>
        </w:trPr>
        <w:tc>
          <w:tcPr>
            <w:tcW w:w="2476" w:type="dxa"/>
            <w:tcBorders>
              <w:top w:val="nil"/>
              <w:left w:val="nil"/>
              <w:bottom w:val="single" w:sz="4" w:space="0" w:color="auto"/>
              <w:right w:val="nil"/>
            </w:tcBorders>
          </w:tcPr>
          <w:p w14:paraId="08AECE01" w14:textId="77777777" w:rsidR="005C1A54" w:rsidRPr="007F696F" w:rsidRDefault="005C1A54" w:rsidP="007F696F">
            <w:pPr>
              <w:jc w:val="both"/>
              <w:rPr>
                <w:rFonts w:ascii="Arial" w:eastAsia="Times New Roman" w:hAnsi="Arial" w:cs="Arial"/>
                <w:sz w:val="20"/>
                <w:szCs w:val="18"/>
              </w:rPr>
            </w:pPr>
            <w:r w:rsidRPr="007F696F">
              <w:rPr>
                <w:rFonts w:ascii="Arial" w:eastAsia="Times New Roman" w:hAnsi="Arial" w:cs="Arial"/>
                <w:sz w:val="20"/>
                <w:szCs w:val="18"/>
              </w:rPr>
              <w:t>IRR (%)</w:t>
            </w:r>
          </w:p>
        </w:tc>
        <w:tc>
          <w:tcPr>
            <w:tcW w:w="2476" w:type="dxa"/>
            <w:tcBorders>
              <w:top w:val="nil"/>
              <w:left w:val="nil"/>
              <w:bottom w:val="single" w:sz="4" w:space="0" w:color="auto"/>
              <w:right w:val="nil"/>
            </w:tcBorders>
          </w:tcPr>
          <w:p w14:paraId="3521A892" w14:textId="77777777" w:rsidR="005C1A54" w:rsidRPr="007F696F" w:rsidRDefault="005C1A54" w:rsidP="00AF297A">
            <w:pPr>
              <w:rPr>
                <w:rFonts w:ascii="Arial" w:eastAsia="Times New Roman" w:hAnsi="Arial" w:cs="Arial"/>
                <w:sz w:val="20"/>
                <w:szCs w:val="18"/>
              </w:rPr>
            </w:pPr>
            <w:r w:rsidRPr="007F696F">
              <w:rPr>
                <w:rFonts w:ascii="Arial" w:eastAsia="Times New Roman" w:hAnsi="Arial" w:cs="Arial"/>
                <w:bCs/>
                <w:sz w:val="20"/>
                <w:szCs w:val="18"/>
              </w:rPr>
              <w:t>58.24%</w:t>
            </w:r>
          </w:p>
        </w:tc>
        <w:tc>
          <w:tcPr>
            <w:tcW w:w="2476" w:type="dxa"/>
            <w:tcBorders>
              <w:top w:val="nil"/>
              <w:left w:val="nil"/>
              <w:bottom w:val="single" w:sz="4" w:space="0" w:color="auto"/>
              <w:right w:val="nil"/>
            </w:tcBorders>
          </w:tcPr>
          <w:p w14:paraId="674CC952" w14:textId="77777777" w:rsidR="005C1A54" w:rsidRPr="007F696F" w:rsidRDefault="005C1A54" w:rsidP="00AF297A">
            <w:pPr>
              <w:rPr>
                <w:rFonts w:ascii="Arial" w:eastAsia="Times New Roman" w:hAnsi="Arial" w:cs="Arial"/>
                <w:sz w:val="20"/>
                <w:szCs w:val="18"/>
              </w:rPr>
            </w:pPr>
          </w:p>
        </w:tc>
        <w:tc>
          <w:tcPr>
            <w:tcW w:w="1320" w:type="dxa"/>
            <w:tcBorders>
              <w:top w:val="nil"/>
              <w:left w:val="nil"/>
              <w:bottom w:val="single" w:sz="4" w:space="0" w:color="auto"/>
              <w:right w:val="nil"/>
            </w:tcBorders>
          </w:tcPr>
          <w:p w14:paraId="07D4384B" w14:textId="77777777" w:rsidR="005C1A54" w:rsidRPr="007F696F" w:rsidRDefault="005C1A54" w:rsidP="00AF297A">
            <w:pPr>
              <w:rPr>
                <w:rFonts w:ascii="Arial" w:eastAsia="Times New Roman" w:hAnsi="Arial" w:cs="Arial"/>
                <w:sz w:val="20"/>
                <w:szCs w:val="18"/>
              </w:rPr>
            </w:pPr>
          </w:p>
        </w:tc>
      </w:tr>
      <w:tr w:rsidR="005C1A54" w:rsidRPr="007F696F" w14:paraId="3AC21066" w14:textId="77777777" w:rsidTr="007F696F">
        <w:trPr>
          <w:trHeight w:val="440"/>
        </w:trPr>
        <w:tc>
          <w:tcPr>
            <w:tcW w:w="2476" w:type="dxa"/>
            <w:tcBorders>
              <w:top w:val="single" w:sz="4" w:space="0" w:color="auto"/>
              <w:left w:val="nil"/>
              <w:bottom w:val="single" w:sz="4" w:space="0" w:color="auto"/>
              <w:right w:val="nil"/>
            </w:tcBorders>
          </w:tcPr>
          <w:p w14:paraId="1A02C36F" w14:textId="77777777" w:rsidR="005C1A54" w:rsidRPr="007F696F" w:rsidRDefault="005C1A54" w:rsidP="007F696F">
            <w:pPr>
              <w:jc w:val="both"/>
              <w:rPr>
                <w:rFonts w:ascii="Arial" w:eastAsia="Times New Roman" w:hAnsi="Arial" w:cs="Arial"/>
                <w:b/>
                <w:bCs/>
                <w:sz w:val="20"/>
                <w:szCs w:val="18"/>
              </w:rPr>
            </w:pPr>
            <w:r w:rsidRPr="007F696F">
              <w:rPr>
                <w:rFonts w:ascii="Arial" w:eastAsia="Times New Roman" w:hAnsi="Arial" w:cs="Arial"/>
                <w:b/>
                <w:bCs/>
                <w:sz w:val="20"/>
                <w:szCs w:val="18"/>
              </w:rPr>
              <w:t>Organized units (n=5)</w:t>
            </w:r>
          </w:p>
        </w:tc>
        <w:tc>
          <w:tcPr>
            <w:tcW w:w="2476" w:type="dxa"/>
            <w:tcBorders>
              <w:top w:val="single" w:sz="4" w:space="0" w:color="auto"/>
              <w:left w:val="nil"/>
              <w:bottom w:val="single" w:sz="4" w:space="0" w:color="auto"/>
              <w:right w:val="nil"/>
            </w:tcBorders>
          </w:tcPr>
          <w:p w14:paraId="77104945" w14:textId="77777777" w:rsidR="005C1A54" w:rsidRPr="007F696F" w:rsidRDefault="005C1A54" w:rsidP="00AF297A">
            <w:pPr>
              <w:rPr>
                <w:rFonts w:ascii="Arial" w:eastAsia="Times New Roman" w:hAnsi="Arial" w:cs="Arial"/>
                <w:sz w:val="20"/>
                <w:szCs w:val="18"/>
              </w:rPr>
            </w:pPr>
          </w:p>
        </w:tc>
        <w:tc>
          <w:tcPr>
            <w:tcW w:w="2476" w:type="dxa"/>
            <w:tcBorders>
              <w:top w:val="single" w:sz="4" w:space="0" w:color="auto"/>
              <w:left w:val="nil"/>
              <w:bottom w:val="single" w:sz="4" w:space="0" w:color="auto"/>
              <w:right w:val="nil"/>
            </w:tcBorders>
          </w:tcPr>
          <w:p w14:paraId="46D7D500" w14:textId="77777777" w:rsidR="005C1A54" w:rsidRPr="007F696F" w:rsidRDefault="005C1A54" w:rsidP="00AF297A">
            <w:pPr>
              <w:rPr>
                <w:rFonts w:ascii="Arial" w:eastAsia="Times New Roman" w:hAnsi="Arial" w:cs="Arial"/>
                <w:sz w:val="20"/>
                <w:szCs w:val="18"/>
              </w:rPr>
            </w:pPr>
          </w:p>
        </w:tc>
        <w:tc>
          <w:tcPr>
            <w:tcW w:w="1320" w:type="dxa"/>
            <w:tcBorders>
              <w:top w:val="single" w:sz="4" w:space="0" w:color="auto"/>
              <w:left w:val="nil"/>
              <w:bottom w:val="single" w:sz="4" w:space="0" w:color="auto"/>
              <w:right w:val="nil"/>
            </w:tcBorders>
          </w:tcPr>
          <w:p w14:paraId="6113416E" w14:textId="77777777" w:rsidR="005C1A54" w:rsidRPr="007F696F" w:rsidRDefault="005C1A54" w:rsidP="00AF297A">
            <w:pPr>
              <w:rPr>
                <w:rFonts w:ascii="Arial" w:eastAsia="Times New Roman" w:hAnsi="Arial" w:cs="Arial"/>
                <w:sz w:val="20"/>
                <w:szCs w:val="18"/>
              </w:rPr>
            </w:pPr>
          </w:p>
        </w:tc>
      </w:tr>
      <w:tr w:rsidR="001864BD" w:rsidRPr="007F696F" w14:paraId="7B5A64B4" w14:textId="77777777" w:rsidTr="007F696F">
        <w:trPr>
          <w:trHeight w:val="356"/>
        </w:trPr>
        <w:tc>
          <w:tcPr>
            <w:tcW w:w="2476" w:type="dxa"/>
            <w:tcBorders>
              <w:top w:val="single" w:sz="4" w:space="0" w:color="auto"/>
              <w:left w:val="nil"/>
              <w:bottom w:val="nil"/>
              <w:right w:val="nil"/>
            </w:tcBorders>
          </w:tcPr>
          <w:p w14:paraId="41FBE110" w14:textId="77777777" w:rsidR="001864BD" w:rsidRPr="007F696F" w:rsidRDefault="001864BD" w:rsidP="007F696F">
            <w:pPr>
              <w:jc w:val="both"/>
              <w:rPr>
                <w:rFonts w:ascii="Arial" w:eastAsia="Times New Roman" w:hAnsi="Arial" w:cs="Arial"/>
                <w:sz w:val="20"/>
                <w:szCs w:val="18"/>
              </w:rPr>
            </w:pPr>
            <w:r w:rsidRPr="007F696F">
              <w:rPr>
                <w:rFonts w:ascii="Arial" w:eastAsia="Times New Roman" w:hAnsi="Arial" w:cs="Arial"/>
                <w:sz w:val="20"/>
                <w:szCs w:val="18"/>
              </w:rPr>
              <w:t>NPV (Rs.)</w:t>
            </w:r>
          </w:p>
        </w:tc>
        <w:tc>
          <w:tcPr>
            <w:tcW w:w="2476" w:type="dxa"/>
            <w:tcBorders>
              <w:top w:val="single" w:sz="4" w:space="0" w:color="auto"/>
              <w:left w:val="nil"/>
              <w:bottom w:val="nil"/>
              <w:right w:val="nil"/>
            </w:tcBorders>
          </w:tcPr>
          <w:p w14:paraId="76F5EBA4" w14:textId="77777777" w:rsidR="001864BD" w:rsidRPr="007F696F" w:rsidRDefault="001864BD" w:rsidP="00AF297A">
            <w:pPr>
              <w:rPr>
                <w:rFonts w:ascii="Arial" w:eastAsia="Times New Roman" w:hAnsi="Arial" w:cs="Arial"/>
                <w:sz w:val="20"/>
                <w:szCs w:val="18"/>
              </w:rPr>
            </w:pPr>
            <w:r w:rsidRPr="007F696F">
              <w:rPr>
                <w:rFonts w:ascii="Arial" w:eastAsia="Times New Roman" w:hAnsi="Arial" w:cs="Arial"/>
                <w:bCs/>
                <w:sz w:val="20"/>
                <w:szCs w:val="18"/>
              </w:rPr>
              <w:t xml:space="preserve">22,494,327                    </w:t>
            </w:r>
          </w:p>
        </w:tc>
        <w:tc>
          <w:tcPr>
            <w:tcW w:w="2476" w:type="dxa"/>
            <w:tcBorders>
              <w:top w:val="single" w:sz="4" w:space="0" w:color="auto"/>
              <w:left w:val="nil"/>
              <w:bottom w:val="nil"/>
              <w:right w:val="nil"/>
            </w:tcBorders>
          </w:tcPr>
          <w:p w14:paraId="535DE1B2" w14:textId="77777777" w:rsidR="001864BD" w:rsidRPr="007F696F" w:rsidRDefault="001864BD" w:rsidP="00AF297A">
            <w:pPr>
              <w:rPr>
                <w:rFonts w:ascii="Arial" w:eastAsia="Times New Roman" w:hAnsi="Arial" w:cs="Arial"/>
                <w:sz w:val="20"/>
                <w:szCs w:val="18"/>
              </w:rPr>
            </w:pPr>
            <w:r w:rsidRPr="007F696F">
              <w:rPr>
                <w:rFonts w:ascii="Arial" w:eastAsia="Times New Roman" w:hAnsi="Arial" w:cs="Arial"/>
                <w:bCs/>
                <w:sz w:val="20"/>
                <w:szCs w:val="18"/>
              </w:rPr>
              <w:t xml:space="preserve">15,067,509                 </w:t>
            </w:r>
          </w:p>
        </w:tc>
        <w:tc>
          <w:tcPr>
            <w:tcW w:w="1320" w:type="dxa"/>
            <w:tcBorders>
              <w:top w:val="single" w:sz="4" w:space="0" w:color="auto"/>
              <w:left w:val="nil"/>
              <w:bottom w:val="nil"/>
              <w:right w:val="nil"/>
            </w:tcBorders>
          </w:tcPr>
          <w:p w14:paraId="53A851E3" w14:textId="77777777" w:rsidR="001864BD" w:rsidRPr="007F696F" w:rsidRDefault="001864BD" w:rsidP="00AF297A">
            <w:pPr>
              <w:rPr>
                <w:rFonts w:ascii="Arial" w:eastAsia="Times New Roman" w:hAnsi="Arial" w:cs="Arial"/>
                <w:sz w:val="20"/>
                <w:szCs w:val="18"/>
              </w:rPr>
            </w:pPr>
            <w:r w:rsidRPr="007F696F">
              <w:rPr>
                <w:rFonts w:ascii="Arial" w:eastAsia="Times New Roman" w:hAnsi="Arial" w:cs="Arial"/>
                <w:bCs/>
                <w:sz w:val="20"/>
                <w:szCs w:val="18"/>
              </w:rPr>
              <w:t>1,00,03,870</w:t>
            </w:r>
          </w:p>
        </w:tc>
      </w:tr>
      <w:tr w:rsidR="001864BD" w:rsidRPr="007F696F" w14:paraId="3EFBDDB4" w14:textId="77777777" w:rsidTr="007F696F">
        <w:trPr>
          <w:trHeight w:val="356"/>
        </w:trPr>
        <w:tc>
          <w:tcPr>
            <w:tcW w:w="2476" w:type="dxa"/>
            <w:tcBorders>
              <w:top w:val="nil"/>
              <w:left w:val="nil"/>
              <w:bottom w:val="nil"/>
              <w:right w:val="nil"/>
            </w:tcBorders>
          </w:tcPr>
          <w:p w14:paraId="55D6352A" w14:textId="77777777" w:rsidR="001864BD" w:rsidRPr="007F696F" w:rsidRDefault="001864BD" w:rsidP="007F696F">
            <w:pPr>
              <w:jc w:val="both"/>
              <w:rPr>
                <w:rFonts w:ascii="Arial" w:eastAsia="Times New Roman" w:hAnsi="Arial" w:cs="Arial"/>
                <w:sz w:val="20"/>
                <w:szCs w:val="18"/>
              </w:rPr>
            </w:pPr>
            <w:r w:rsidRPr="007F696F">
              <w:rPr>
                <w:rFonts w:ascii="Arial" w:eastAsia="Times New Roman" w:hAnsi="Arial" w:cs="Arial"/>
                <w:sz w:val="20"/>
                <w:szCs w:val="18"/>
              </w:rPr>
              <w:t>B-C Ratio</w:t>
            </w:r>
          </w:p>
        </w:tc>
        <w:tc>
          <w:tcPr>
            <w:tcW w:w="2476" w:type="dxa"/>
            <w:tcBorders>
              <w:top w:val="nil"/>
              <w:left w:val="nil"/>
              <w:bottom w:val="nil"/>
              <w:right w:val="nil"/>
            </w:tcBorders>
          </w:tcPr>
          <w:p w14:paraId="15C27C21" w14:textId="77777777" w:rsidR="001864BD" w:rsidRPr="007F696F" w:rsidRDefault="001864BD" w:rsidP="00AF297A">
            <w:pPr>
              <w:rPr>
                <w:rFonts w:ascii="Arial" w:eastAsia="Times New Roman" w:hAnsi="Arial" w:cs="Arial"/>
                <w:sz w:val="20"/>
                <w:szCs w:val="18"/>
              </w:rPr>
            </w:pPr>
            <w:r w:rsidRPr="007F696F">
              <w:rPr>
                <w:rFonts w:ascii="Arial" w:eastAsia="Times New Roman" w:hAnsi="Arial" w:cs="Arial"/>
                <w:bCs/>
                <w:sz w:val="20"/>
                <w:szCs w:val="18"/>
              </w:rPr>
              <w:t xml:space="preserve">1.22                               </w:t>
            </w:r>
          </w:p>
        </w:tc>
        <w:tc>
          <w:tcPr>
            <w:tcW w:w="2476" w:type="dxa"/>
            <w:tcBorders>
              <w:top w:val="nil"/>
              <w:left w:val="nil"/>
              <w:bottom w:val="nil"/>
              <w:right w:val="nil"/>
            </w:tcBorders>
          </w:tcPr>
          <w:p w14:paraId="6120B8BB" w14:textId="77777777" w:rsidR="001864BD" w:rsidRPr="007F696F" w:rsidRDefault="001864BD" w:rsidP="00AF297A">
            <w:pPr>
              <w:rPr>
                <w:rFonts w:ascii="Arial" w:eastAsia="Times New Roman" w:hAnsi="Arial" w:cs="Arial"/>
                <w:sz w:val="20"/>
                <w:szCs w:val="18"/>
              </w:rPr>
            </w:pPr>
            <w:r w:rsidRPr="007F696F">
              <w:rPr>
                <w:rFonts w:ascii="Arial" w:eastAsia="Times New Roman" w:hAnsi="Arial" w:cs="Arial"/>
                <w:bCs/>
                <w:sz w:val="20"/>
                <w:szCs w:val="18"/>
              </w:rPr>
              <w:t xml:space="preserve">1.19                            </w:t>
            </w:r>
          </w:p>
        </w:tc>
        <w:tc>
          <w:tcPr>
            <w:tcW w:w="1320" w:type="dxa"/>
            <w:tcBorders>
              <w:top w:val="nil"/>
              <w:left w:val="nil"/>
              <w:bottom w:val="nil"/>
              <w:right w:val="nil"/>
            </w:tcBorders>
          </w:tcPr>
          <w:p w14:paraId="3F5BC75C" w14:textId="77777777" w:rsidR="001864BD" w:rsidRPr="007F696F" w:rsidRDefault="001864BD" w:rsidP="00AF297A">
            <w:pPr>
              <w:rPr>
                <w:rFonts w:ascii="Arial" w:eastAsia="Times New Roman" w:hAnsi="Arial" w:cs="Arial"/>
                <w:sz w:val="20"/>
                <w:szCs w:val="18"/>
              </w:rPr>
            </w:pPr>
            <w:r w:rsidRPr="007F696F">
              <w:rPr>
                <w:rFonts w:ascii="Arial" w:eastAsia="Times New Roman" w:hAnsi="Arial" w:cs="Arial"/>
                <w:bCs/>
                <w:sz w:val="20"/>
                <w:szCs w:val="18"/>
              </w:rPr>
              <w:t>1.16</w:t>
            </w:r>
          </w:p>
        </w:tc>
      </w:tr>
      <w:tr w:rsidR="001864BD" w:rsidRPr="007F696F" w14:paraId="23D2FAB6" w14:textId="77777777" w:rsidTr="007F696F">
        <w:trPr>
          <w:trHeight w:val="370"/>
        </w:trPr>
        <w:tc>
          <w:tcPr>
            <w:tcW w:w="2476" w:type="dxa"/>
            <w:tcBorders>
              <w:top w:val="nil"/>
              <w:left w:val="nil"/>
              <w:bottom w:val="nil"/>
              <w:right w:val="nil"/>
            </w:tcBorders>
          </w:tcPr>
          <w:p w14:paraId="5F750E97" w14:textId="77777777" w:rsidR="001864BD" w:rsidRPr="007F696F" w:rsidRDefault="001864BD" w:rsidP="007F696F">
            <w:pPr>
              <w:jc w:val="both"/>
              <w:rPr>
                <w:rFonts w:ascii="Arial" w:eastAsia="Times New Roman" w:hAnsi="Arial" w:cs="Arial"/>
                <w:sz w:val="20"/>
                <w:szCs w:val="18"/>
              </w:rPr>
            </w:pPr>
            <w:r w:rsidRPr="007F696F">
              <w:rPr>
                <w:rFonts w:ascii="Arial" w:eastAsia="Times New Roman" w:hAnsi="Arial" w:cs="Arial"/>
                <w:sz w:val="20"/>
                <w:szCs w:val="18"/>
              </w:rPr>
              <w:t>IRR (%)</w:t>
            </w:r>
          </w:p>
        </w:tc>
        <w:tc>
          <w:tcPr>
            <w:tcW w:w="2476" w:type="dxa"/>
            <w:tcBorders>
              <w:top w:val="nil"/>
              <w:left w:val="nil"/>
              <w:bottom w:val="nil"/>
              <w:right w:val="nil"/>
            </w:tcBorders>
          </w:tcPr>
          <w:p w14:paraId="28BDACA5" w14:textId="77777777" w:rsidR="001864BD" w:rsidRPr="007F696F" w:rsidRDefault="001864BD" w:rsidP="00AF297A">
            <w:pPr>
              <w:rPr>
                <w:rFonts w:ascii="Arial" w:eastAsia="Times New Roman" w:hAnsi="Arial" w:cs="Arial"/>
                <w:sz w:val="20"/>
                <w:szCs w:val="18"/>
              </w:rPr>
            </w:pPr>
            <w:r w:rsidRPr="007F696F">
              <w:rPr>
                <w:rFonts w:ascii="Arial" w:eastAsia="Times New Roman" w:hAnsi="Arial" w:cs="Arial"/>
                <w:bCs/>
                <w:sz w:val="20"/>
                <w:szCs w:val="18"/>
              </w:rPr>
              <w:t>49.52%</w:t>
            </w:r>
          </w:p>
        </w:tc>
        <w:tc>
          <w:tcPr>
            <w:tcW w:w="2476" w:type="dxa"/>
            <w:tcBorders>
              <w:top w:val="nil"/>
              <w:left w:val="nil"/>
              <w:bottom w:val="nil"/>
              <w:right w:val="nil"/>
            </w:tcBorders>
          </w:tcPr>
          <w:p w14:paraId="0F94FE1A" w14:textId="77777777" w:rsidR="001864BD" w:rsidRPr="007F696F" w:rsidRDefault="001864BD" w:rsidP="00AF297A">
            <w:pPr>
              <w:rPr>
                <w:rFonts w:ascii="Arial" w:eastAsia="Times New Roman" w:hAnsi="Arial" w:cs="Arial"/>
                <w:sz w:val="20"/>
                <w:szCs w:val="18"/>
              </w:rPr>
            </w:pPr>
          </w:p>
        </w:tc>
        <w:tc>
          <w:tcPr>
            <w:tcW w:w="1320" w:type="dxa"/>
            <w:tcBorders>
              <w:top w:val="nil"/>
              <w:left w:val="nil"/>
              <w:bottom w:val="nil"/>
              <w:right w:val="nil"/>
            </w:tcBorders>
          </w:tcPr>
          <w:p w14:paraId="61E4DBD9" w14:textId="77777777" w:rsidR="001864BD" w:rsidRPr="007F696F" w:rsidRDefault="001864BD" w:rsidP="00AF297A">
            <w:pPr>
              <w:rPr>
                <w:rFonts w:ascii="Arial" w:eastAsia="Times New Roman" w:hAnsi="Arial" w:cs="Arial"/>
                <w:sz w:val="20"/>
                <w:szCs w:val="18"/>
              </w:rPr>
            </w:pPr>
          </w:p>
        </w:tc>
      </w:tr>
    </w:tbl>
    <w:p w14:paraId="6FE8DAA7" w14:textId="77777777" w:rsidR="00AF297A" w:rsidRPr="007F696F" w:rsidRDefault="00AF297A" w:rsidP="00AF297A">
      <w:pPr>
        <w:rPr>
          <w:rFonts w:ascii="Arial" w:eastAsia="Times New Roman" w:hAnsi="Arial" w:cs="Arial"/>
          <w:sz w:val="27"/>
          <w:szCs w:val="24"/>
        </w:rPr>
      </w:pPr>
    </w:p>
    <w:p w14:paraId="53191DE5" w14:textId="77777777" w:rsidR="00AF297A" w:rsidRDefault="00AF297A" w:rsidP="00AF297A">
      <w:pPr>
        <w:rPr>
          <w:rFonts w:ascii="Arial" w:eastAsia="Times New Roman" w:hAnsi="Arial" w:cs="Arial"/>
          <w:b/>
          <w:bCs/>
          <w:szCs w:val="20"/>
        </w:rPr>
      </w:pPr>
      <w:r w:rsidRPr="007F696F">
        <w:rPr>
          <w:rFonts w:ascii="Arial" w:eastAsia="Times New Roman" w:hAnsi="Arial" w:cs="Arial"/>
          <w:b/>
          <w:bCs/>
          <w:szCs w:val="20"/>
        </w:rPr>
        <w:t>4.2 Break Even Analysis</w:t>
      </w:r>
    </w:p>
    <w:p w14:paraId="059CC352" w14:textId="77777777" w:rsidR="001B73A5" w:rsidRDefault="00C00DF7" w:rsidP="0055419F">
      <w:pPr>
        <w:jc w:val="both"/>
        <w:rPr>
          <w:rFonts w:ascii="Arial" w:eastAsia="Times New Roman" w:hAnsi="Arial" w:cs="Arial"/>
          <w:sz w:val="20"/>
          <w:szCs w:val="18"/>
        </w:rPr>
      </w:pPr>
      <w:r w:rsidRPr="007F696F">
        <w:rPr>
          <w:rFonts w:ascii="Arial" w:eastAsia="Times New Roman" w:hAnsi="Arial" w:cs="Arial"/>
          <w:sz w:val="20"/>
          <w:szCs w:val="18"/>
        </w:rPr>
        <w:lastRenderedPageBreak/>
        <w:t xml:space="preserve">The </w:t>
      </w:r>
      <w:proofErr w:type="spellStart"/>
      <w:r w:rsidRPr="007F696F">
        <w:rPr>
          <w:rFonts w:ascii="Arial" w:eastAsia="Times New Roman" w:hAnsi="Arial" w:cs="Arial"/>
          <w:sz w:val="20"/>
          <w:szCs w:val="18"/>
        </w:rPr>
        <w:t>break even</w:t>
      </w:r>
      <w:proofErr w:type="spellEnd"/>
      <w:r w:rsidRPr="007F696F">
        <w:rPr>
          <w:rFonts w:ascii="Arial" w:eastAsia="Times New Roman" w:hAnsi="Arial" w:cs="Arial"/>
          <w:sz w:val="20"/>
          <w:szCs w:val="18"/>
        </w:rPr>
        <w:t xml:space="preserve"> analysis showed that the overall break-even output was 1.91 </w:t>
      </w:r>
      <w:proofErr w:type="spellStart"/>
      <w:r w:rsidRPr="007F696F">
        <w:rPr>
          <w:rFonts w:ascii="Arial" w:eastAsia="Times New Roman" w:hAnsi="Arial" w:cs="Arial"/>
          <w:sz w:val="20"/>
          <w:szCs w:val="18"/>
        </w:rPr>
        <w:t>tonnes</w:t>
      </w:r>
      <w:proofErr w:type="spellEnd"/>
      <w:r w:rsidRPr="007F696F">
        <w:rPr>
          <w:rFonts w:ascii="Arial" w:eastAsia="Times New Roman" w:hAnsi="Arial" w:cs="Arial"/>
          <w:sz w:val="20"/>
          <w:szCs w:val="18"/>
        </w:rPr>
        <w:t xml:space="preserve"> in unorganized and 10.57 </w:t>
      </w:r>
      <w:proofErr w:type="spellStart"/>
      <w:r w:rsidRPr="007F696F">
        <w:rPr>
          <w:rFonts w:ascii="Arial" w:eastAsia="Times New Roman" w:hAnsi="Arial" w:cs="Arial"/>
          <w:sz w:val="20"/>
          <w:szCs w:val="18"/>
        </w:rPr>
        <w:t>tonnes</w:t>
      </w:r>
      <w:proofErr w:type="spellEnd"/>
      <w:r w:rsidRPr="007F696F">
        <w:rPr>
          <w:rFonts w:ascii="Arial" w:eastAsia="Times New Roman" w:hAnsi="Arial" w:cs="Arial"/>
          <w:sz w:val="20"/>
          <w:szCs w:val="18"/>
        </w:rPr>
        <w:t xml:space="preserve"> in organized units, while the actual production was 85 and </w:t>
      </w:r>
      <w:proofErr w:type="gramStart"/>
      <w:r w:rsidRPr="007F696F">
        <w:rPr>
          <w:rFonts w:ascii="Arial" w:eastAsia="Times New Roman" w:hAnsi="Arial" w:cs="Arial"/>
          <w:sz w:val="20"/>
          <w:szCs w:val="18"/>
        </w:rPr>
        <w:t xml:space="preserve">250  </w:t>
      </w:r>
      <w:proofErr w:type="spellStart"/>
      <w:r w:rsidRPr="007F696F">
        <w:rPr>
          <w:rFonts w:ascii="Arial" w:eastAsia="Times New Roman" w:hAnsi="Arial" w:cs="Arial"/>
          <w:sz w:val="20"/>
          <w:szCs w:val="18"/>
        </w:rPr>
        <w:t>tonnes</w:t>
      </w:r>
      <w:proofErr w:type="spellEnd"/>
      <w:proofErr w:type="gramEnd"/>
      <w:r w:rsidRPr="007F696F">
        <w:rPr>
          <w:rFonts w:ascii="Arial" w:eastAsia="Times New Roman" w:hAnsi="Arial" w:cs="Arial"/>
          <w:sz w:val="20"/>
          <w:szCs w:val="18"/>
        </w:rPr>
        <w:t>,  indicating that the turmeric processing units in the study area were working at a level above the break-even output production. Break-even point was ₹3,63,</w:t>
      </w:r>
      <w:proofErr w:type="gramStart"/>
      <w:r w:rsidRPr="007F696F">
        <w:rPr>
          <w:rFonts w:ascii="Arial" w:eastAsia="Times New Roman" w:hAnsi="Arial" w:cs="Arial"/>
          <w:sz w:val="20"/>
          <w:szCs w:val="18"/>
        </w:rPr>
        <w:t>732  (</w:t>
      </w:r>
      <w:proofErr w:type="gramEnd"/>
      <w:r w:rsidRPr="007F696F">
        <w:rPr>
          <w:rFonts w:ascii="Arial" w:eastAsia="Times New Roman" w:hAnsi="Arial" w:cs="Arial"/>
          <w:sz w:val="20"/>
          <w:szCs w:val="18"/>
        </w:rPr>
        <w:t>unorganized) and ₹1,01,09,691 (organized). The actual production under both the categories was significantly higher than the production level required to break even.</w:t>
      </w:r>
    </w:p>
    <w:p w14:paraId="69FDCE32" w14:textId="77777777" w:rsidR="00C21568" w:rsidRPr="007F696F" w:rsidRDefault="00C21568" w:rsidP="0055419F">
      <w:pPr>
        <w:jc w:val="both"/>
        <w:rPr>
          <w:rFonts w:ascii="Arial" w:eastAsia="Times New Roman" w:hAnsi="Arial" w:cs="Arial"/>
          <w:sz w:val="20"/>
          <w:szCs w:val="18"/>
        </w:rPr>
      </w:pPr>
    </w:p>
    <w:p w14:paraId="48DC30DA" w14:textId="77777777" w:rsidR="00317B96" w:rsidRPr="007F696F" w:rsidRDefault="00317B96" w:rsidP="00AF297A">
      <w:pPr>
        <w:rPr>
          <w:rFonts w:ascii="Arial" w:eastAsia="Times New Roman" w:hAnsi="Arial" w:cs="Arial"/>
          <w:b/>
          <w:bCs/>
          <w:sz w:val="20"/>
          <w:szCs w:val="18"/>
        </w:rPr>
      </w:pPr>
      <w:r w:rsidRPr="007F696F">
        <w:rPr>
          <w:rFonts w:ascii="Arial" w:eastAsia="Times New Roman" w:hAnsi="Arial" w:cs="Arial"/>
          <w:b/>
          <w:bCs/>
          <w:sz w:val="20"/>
          <w:szCs w:val="18"/>
        </w:rPr>
        <w:t>Table 2. Break even analysis for turmeric processing units</w:t>
      </w:r>
    </w:p>
    <w:tbl>
      <w:tblPr>
        <w:tblStyle w:val="TableGrid"/>
        <w:tblW w:w="8838" w:type="dxa"/>
        <w:tblBorders>
          <w:top w:val="single" w:sz="4" w:space="0" w:color="auto"/>
          <w:insideH w:val="single" w:sz="4" w:space="0" w:color="auto"/>
          <w:insideV w:val="single" w:sz="4" w:space="0" w:color="auto"/>
        </w:tblBorders>
        <w:tblLook w:val="04A0" w:firstRow="1" w:lastRow="0" w:firstColumn="1" w:lastColumn="0" w:noHBand="0" w:noVBand="1"/>
      </w:tblPr>
      <w:tblGrid>
        <w:gridCol w:w="3230"/>
        <w:gridCol w:w="3230"/>
        <w:gridCol w:w="2378"/>
      </w:tblGrid>
      <w:tr w:rsidR="00D53383" w:rsidRPr="007F696F" w14:paraId="3A91D153" w14:textId="77777777" w:rsidTr="007F696F">
        <w:trPr>
          <w:trHeight w:val="385"/>
        </w:trPr>
        <w:tc>
          <w:tcPr>
            <w:tcW w:w="3230" w:type="dxa"/>
            <w:tcBorders>
              <w:top w:val="single" w:sz="4" w:space="0" w:color="auto"/>
              <w:left w:val="nil"/>
              <w:bottom w:val="single" w:sz="4" w:space="0" w:color="auto"/>
              <w:right w:val="nil"/>
            </w:tcBorders>
          </w:tcPr>
          <w:p w14:paraId="424AE91F" w14:textId="77777777" w:rsidR="00D53383" w:rsidRPr="007F696F" w:rsidRDefault="00D53383" w:rsidP="007F696F">
            <w:pPr>
              <w:jc w:val="both"/>
              <w:rPr>
                <w:rFonts w:ascii="Arial" w:eastAsia="Times New Roman" w:hAnsi="Arial" w:cs="Arial"/>
                <w:b/>
                <w:bCs/>
                <w:sz w:val="20"/>
                <w:szCs w:val="18"/>
              </w:rPr>
            </w:pPr>
            <w:r w:rsidRPr="007F696F">
              <w:rPr>
                <w:rFonts w:ascii="Arial" w:eastAsia="Times New Roman" w:hAnsi="Arial" w:cs="Arial"/>
                <w:b/>
                <w:bCs/>
                <w:sz w:val="20"/>
                <w:szCs w:val="18"/>
              </w:rPr>
              <w:t>Particulars</w:t>
            </w:r>
          </w:p>
        </w:tc>
        <w:tc>
          <w:tcPr>
            <w:tcW w:w="5608" w:type="dxa"/>
            <w:gridSpan w:val="2"/>
            <w:tcBorders>
              <w:top w:val="single" w:sz="4" w:space="0" w:color="auto"/>
              <w:left w:val="nil"/>
              <w:bottom w:val="single" w:sz="4" w:space="0" w:color="auto"/>
              <w:right w:val="nil"/>
            </w:tcBorders>
          </w:tcPr>
          <w:p w14:paraId="4EDE2081" w14:textId="77777777" w:rsidR="00D53383" w:rsidRPr="007F696F" w:rsidRDefault="00D53383" w:rsidP="007F696F">
            <w:pPr>
              <w:jc w:val="both"/>
              <w:rPr>
                <w:rFonts w:ascii="Arial" w:eastAsia="Times New Roman" w:hAnsi="Arial" w:cs="Arial"/>
                <w:b/>
                <w:bCs/>
                <w:sz w:val="20"/>
                <w:szCs w:val="18"/>
              </w:rPr>
            </w:pPr>
            <w:r w:rsidRPr="007F696F">
              <w:rPr>
                <w:rFonts w:ascii="Arial" w:eastAsia="Times New Roman" w:hAnsi="Arial" w:cs="Arial"/>
                <w:b/>
                <w:bCs/>
                <w:sz w:val="20"/>
                <w:szCs w:val="18"/>
              </w:rPr>
              <w:t>Scale of Production</w:t>
            </w:r>
          </w:p>
        </w:tc>
      </w:tr>
      <w:tr w:rsidR="001864BD" w:rsidRPr="007F696F" w14:paraId="1405ED92" w14:textId="77777777" w:rsidTr="007F696F">
        <w:trPr>
          <w:trHeight w:val="401"/>
        </w:trPr>
        <w:tc>
          <w:tcPr>
            <w:tcW w:w="3230" w:type="dxa"/>
            <w:tcBorders>
              <w:left w:val="nil"/>
              <w:bottom w:val="single" w:sz="4" w:space="0" w:color="auto"/>
              <w:right w:val="nil"/>
            </w:tcBorders>
          </w:tcPr>
          <w:p w14:paraId="07183C8A" w14:textId="77777777" w:rsidR="001864BD" w:rsidRPr="007F696F" w:rsidRDefault="001864BD" w:rsidP="007F696F">
            <w:pPr>
              <w:jc w:val="both"/>
              <w:rPr>
                <w:rFonts w:ascii="Arial" w:eastAsia="Times New Roman" w:hAnsi="Arial" w:cs="Arial"/>
                <w:b/>
                <w:bCs/>
                <w:sz w:val="20"/>
                <w:szCs w:val="18"/>
              </w:rPr>
            </w:pPr>
          </w:p>
        </w:tc>
        <w:tc>
          <w:tcPr>
            <w:tcW w:w="3230" w:type="dxa"/>
            <w:tcBorders>
              <w:left w:val="nil"/>
              <w:bottom w:val="single" w:sz="4" w:space="0" w:color="auto"/>
              <w:right w:val="nil"/>
            </w:tcBorders>
          </w:tcPr>
          <w:p w14:paraId="47D73660" w14:textId="77777777" w:rsidR="001864BD" w:rsidRPr="007F696F" w:rsidRDefault="001864BD" w:rsidP="007F696F">
            <w:pPr>
              <w:jc w:val="both"/>
              <w:rPr>
                <w:rFonts w:ascii="Arial" w:eastAsia="Times New Roman" w:hAnsi="Arial" w:cs="Arial"/>
                <w:b/>
                <w:bCs/>
                <w:sz w:val="20"/>
                <w:szCs w:val="18"/>
              </w:rPr>
            </w:pPr>
            <w:r w:rsidRPr="007F696F">
              <w:rPr>
                <w:rFonts w:ascii="Arial" w:eastAsia="Times New Roman" w:hAnsi="Arial" w:cs="Arial"/>
                <w:b/>
                <w:bCs/>
                <w:sz w:val="20"/>
                <w:szCs w:val="18"/>
              </w:rPr>
              <w:t>Unorganized units (n=5)</w:t>
            </w:r>
          </w:p>
        </w:tc>
        <w:tc>
          <w:tcPr>
            <w:tcW w:w="2378" w:type="dxa"/>
            <w:tcBorders>
              <w:left w:val="nil"/>
              <w:bottom w:val="single" w:sz="4" w:space="0" w:color="auto"/>
              <w:right w:val="nil"/>
            </w:tcBorders>
          </w:tcPr>
          <w:p w14:paraId="264DDC37" w14:textId="77777777" w:rsidR="001864BD" w:rsidRPr="007F696F" w:rsidRDefault="001864BD" w:rsidP="007F696F">
            <w:pPr>
              <w:jc w:val="both"/>
              <w:rPr>
                <w:rFonts w:ascii="Arial" w:eastAsia="Times New Roman" w:hAnsi="Arial" w:cs="Arial"/>
                <w:b/>
                <w:bCs/>
                <w:sz w:val="20"/>
                <w:szCs w:val="18"/>
              </w:rPr>
            </w:pPr>
            <w:r w:rsidRPr="007F696F">
              <w:rPr>
                <w:rFonts w:ascii="Arial" w:eastAsia="Times New Roman" w:hAnsi="Arial" w:cs="Arial"/>
                <w:b/>
                <w:bCs/>
                <w:sz w:val="20"/>
                <w:szCs w:val="18"/>
              </w:rPr>
              <w:t>Organized units (n=5)</w:t>
            </w:r>
          </w:p>
        </w:tc>
      </w:tr>
      <w:tr w:rsidR="001864BD" w:rsidRPr="007F696F" w14:paraId="476D0E8D" w14:textId="77777777" w:rsidTr="007F696F">
        <w:trPr>
          <w:trHeight w:val="385"/>
        </w:trPr>
        <w:tc>
          <w:tcPr>
            <w:tcW w:w="3230" w:type="dxa"/>
            <w:tcBorders>
              <w:left w:val="nil"/>
              <w:bottom w:val="nil"/>
              <w:right w:val="nil"/>
            </w:tcBorders>
          </w:tcPr>
          <w:p w14:paraId="4277A75F" w14:textId="77777777" w:rsidR="001864BD" w:rsidRPr="007F696F" w:rsidRDefault="001864BD" w:rsidP="007F696F">
            <w:pPr>
              <w:jc w:val="both"/>
              <w:rPr>
                <w:rFonts w:ascii="Arial" w:eastAsia="Times New Roman" w:hAnsi="Arial" w:cs="Arial"/>
                <w:b/>
                <w:bCs/>
                <w:sz w:val="20"/>
                <w:szCs w:val="18"/>
              </w:rPr>
            </w:pPr>
            <w:r w:rsidRPr="007F696F">
              <w:rPr>
                <w:rFonts w:ascii="Arial" w:eastAsia="Times New Roman" w:hAnsi="Arial" w:cs="Arial"/>
                <w:bCs/>
                <w:sz w:val="20"/>
                <w:szCs w:val="18"/>
              </w:rPr>
              <w:t xml:space="preserve">Processing Capacity                         </w:t>
            </w:r>
          </w:p>
        </w:tc>
        <w:tc>
          <w:tcPr>
            <w:tcW w:w="3230" w:type="dxa"/>
            <w:tcBorders>
              <w:left w:val="nil"/>
              <w:bottom w:val="nil"/>
              <w:right w:val="nil"/>
            </w:tcBorders>
          </w:tcPr>
          <w:p w14:paraId="035CBD3C" w14:textId="77777777" w:rsidR="001864BD" w:rsidRPr="007F696F" w:rsidRDefault="001864BD" w:rsidP="007F696F">
            <w:pPr>
              <w:jc w:val="both"/>
              <w:rPr>
                <w:rFonts w:ascii="Arial" w:eastAsia="Times New Roman" w:hAnsi="Arial" w:cs="Arial"/>
                <w:b/>
                <w:bCs/>
                <w:sz w:val="20"/>
                <w:szCs w:val="18"/>
              </w:rPr>
            </w:pPr>
            <w:r w:rsidRPr="007F696F">
              <w:rPr>
                <w:rFonts w:ascii="Arial" w:eastAsia="Times New Roman" w:hAnsi="Arial" w:cs="Arial"/>
                <w:bCs/>
                <w:sz w:val="20"/>
                <w:szCs w:val="18"/>
              </w:rPr>
              <w:t xml:space="preserve">85 </w:t>
            </w:r>
            <w:proofErr w:type="spellStart"/>
            <w:r w:rsidRPr="007F696F">
              <w:rPr>
                <w:rFonts w:ascii="Arial" w:eastAsia="Times New Roman" w:hAnsi="Arial" w:cs="Arial"/>
                <w:bCs/>
                <w:sz w:val="20"/>
                <w:szCs w:val="18"/>
              </w:rPr>
              <w:t>tonnes</w:t>
            </w:r>
            <w:proofErr w:type="spellEnd"/>
          </w:p>
        </w:tc>
        <w:tc>
          <w:tcPr>
            <w:tcW w:w="2378" w:type="dxa"/>
            <w:tcBorders>
              <w:left w:val="nil"/>
              <w:bottom w:val="nil"/>
              <w:right w:val="nil"/>
            </w:tcBorders>
          </w:tcPr>
          <w:p w14:paraId="17D4527C" w14:textId="77777777" w:rsidR="001864BD" w:rsidRPr="007F696F" w:rsidRDefault="001864BD" w:rsidP="007F696F">
            <w:pPr>
              <w:jc w:val="both"/>
              <w:rPr>
                <w:rFonts w:ascii="Arial" w:eastAsia="Times New Roman" w:hAnsi="Arial" w:cs="Arial"/>
                <w:b/>
                <w:bCs/>
                <w:sz w:val="20"/>
                <w:szCs w:val="18"/>
              </w:rPr>
            </w:pPr>
            <w:r w:rsidRPr="007F696F">
              <w:rPr>
                <w:rFonts w:ascii="Arial" w:eastAsia="Times New Roman" w:hAnsi="Arial" w:cs="Arial"/>
                <w:bCs/>
                <w:sz w:val="20"/>
                <w:szCs w:val="18"/>
              </w:rPr>
              <w:t xml:space="preserve">250 </w:t>
            </w:r>
            <w:proofErr w:type="spellStart"/>
            <w:r w:rsidRPr="007F696F">
              <w:rPr>
                <w:rFonts w:ascii="Arial" w:eastAsia="Times New Roman" w:hAnsi="Arial" w:cs="Arial"/>
                <w:bCs/>
                <w:sz w:val="20"/>
                <w:szCs w:val="18"/>
              </w:rPr>
              <w:t>tonnes</w:t>
            </w:r>
            <w:proofErr w:type="spellEnd"/>
          </w:p>
        </w:tc>
      </w:tr>
      <w:tr w:rsidR="001864BD" w:rsidRPr="007F696F" w14:paraId="1747C18B" w14:textId="77777777" w:rsidTr="007F696F">
        <w:trPr>
          <w:trHeight w:val="385"/>
        </w:trPr>
        <w:tc>
          <w:tcPr>
            <w:tcW w:w="3230" w:type="dxa"/>
            <w:tcBorders>
              <w:top w:val="nil"/>
              <w:left w:val="nil"/>
              <w:bottom w:val="nil"/>
              <w:right w:val="nil"/>
            </w:tcBorders>
          </w:tcPr>
          <w:p w14:paraId="3DD41735" w14:textId="77777777" w:rsidR="001864BD" w:rsidRPr="007F696F" w:rsidRDefault="001864BD" w:rsidP="007F696F">
            <w:pPr>
              <w:jc w:val="both"/>
              <w:rPr>
                <w:rFonts w:ascii="Arial" w:eastAsia="Times New Roman" w:hAnsi="Arial" w:cs="Arial"/>
                <w:b/>
                <w:bCs/>
                <w:sz w:val="20"/>
                <w:szCs w:val="18"/>
              </w:rPr>
            </w:pPr>
            <w:r w:rsidRPr="007F696F">
              <w:rPr>
                <w:rFonts w:ascii="Arial" w:eastAsia="Times New Roman" w:hAnsi="Arial" w:cs="Arial"/>
                <w:bCs/>
                <w:sz w:val="20"/>
                <w:szCs w:val="18"/>
              </w:rPr>
              <w:t xml:space="preserve">Price per tone                                   </w:t>
            </w:r>
          </w:p>
        </w:tc>
        <w:tc>
          <w:tcPr>
            <w:tcW w:w="3230" w:type="dxa"/>
            <w:tcBorders>
              <w:top w:val="nil"/>
              <w:left w:val="nil"/>
              <w:bottom w:val="nil"/>
              <w:right w:val="nil"/>
            </w:tcBorders>
          </w:tcPr>
          <w:p w14:paraId="0C8B19E2" w14:textId="77777777" w:rsidR="001864BD" w:rsidRPr="007F696F" w:rsidRDefault="001864BD" w:rsidP="007F696F">
            <w:pPr>
              <w:jc w:val="both"/>
              <w:rPr>
                <w:rFonts w:ascii="Arial" w:eastAsia="Times New Roman" w:hAnsi="Arial" w:cs="Arial"/>
                <w:b/>
                <w:bCs/>
                <w:sz w:val="20"/>
                <w:szCs w:val="18"/>
              </w:rPr>
            </w:pPr>
            <w:r w:rsidRPr="007F696F">
              <w:rPr>
                <w:rFonts w:ascii="Arial" w:eastAsia="Times New Roman" w:hAnsi="Arial" w:cs="Arial"/>
                <w:bCs/>
                <w:sz w:val="20"/>
                <w:szCs w:val="18"/>
              </w:rPr>
              <w:t>1,90,000</w:t>
            </w:r>
          </w:p>
        </w:tc>
        <w:tc>
          <w:tcPr>
            <w:tcW w:w="2378" w:type="dxa"/>
            <w:tcBorders>
              <w:top w:val="nil"/>
              <w:left w:val="nil"/>
              <w:bottom w:val="nil"/>
              <w:right w:val="nil"/>
            </w:tcBorders>
          </w:tcPr>
          <w:p w14:paraId="4F6CAD78" w14:textId="77777777" w:rsidR="001864BD" w:rsidRPr="007F696F" w:rsidRDefault="001864BD" w:rsidP="007F696F">
            <w:pPr>
              <w:jc w:val="both"/>
              <w:rPr>
                <w:rFonts w:ascii="Arial" w:eastAsia="Times New Roman" w:hAnsi="Arial" w:cs="Arial"/>
                <w:b/>
                <w:bCs/>
                <w:sz w:val="20"/>
                <w:szCs w:val="18"/>
              </w:rPr>
            </w:pPr>
            <w:r w:rsidRPr="007F696F">
              <w:rPr>
                <w:rFonts w:ascii="Arial" w:eastAsia="Times New Roman" w:hAnsi="Arial" w:cs="Arial"/>
                <w:bCs/>
                <w:sz w:val="20"/>
                <w:szCs w:val="18"/>
              </w:rPr>
              <w:t>2,55,000</w:t>
            </w:r>
          </w:p>
        </w:tc>
      </w:tr>
      <w:tr w:rsidR="001864BD" w:rsidRPr="007F696F" w14:paraId="009EE76B" w14:textId="77777777" w:rsidTr="007F696F">
        <w:trPr>
          <w:trHeight w:val="730"/>
        </w:trPr>
        <w:tc>
          <w:tcPr>
            <w:tcW w:w="3230" w:type="dxa"/>
            <w:tcBorders>
              <w:top w:val="nil"/>
              <w:left w:val="nil"/>
              <w:bottom w:val="nil"/>
              <w:right w:val="nil"/>
            </w:tcBorders>
          </w:tcPr>
          <w:p w14:paraId="36D8A905" w14:textId="77777777" w:rsidR="001864BD" w:rsidRPr="007F696F" w:rsidRDefault="001864BD" w:rsidP="007F696F">
            <w:pPr>
              <w:jc w:val="both"/>
              <w:rPr>
                <w:rFonts w:ascii="Arial" w:eastAsia="Times New Roman" w:hAnsi="Arial" w:cs="Arial"/>
                <w:b/>
                <w:bCs/>
                <w:sz w:val="20"/>
                <w:szCs w:val="18"/>
              </w:rPr>
            </w:pPr>
            <w:r w:rsidRPr="007F696F">
              <w:rPr>
                <w:rFonts w:ascii="Arial" w:eastAsia="Times New Roman" w:hAnsi="Arial" w:cs="Arial"/>
                <w:sz w:val="20"/>
                <w:szCs w:val="18"/>
              </w:rPr>
              <w:t xml:space="preserve">Variable cost per tone                      </w:t>
            </w:r>
          </w:p>
        </w:tc>
        <w:tc>
          <w:tcPr>
            <w:tcW w:w="3230" w:type="dxa"/>
            <w:tcBorders>
              <w:top w:val="nil"/>
              <w:left w:val="nil"/>
              <w:bottom w:val="nil"/>
              <w:right w:val="nil"/>
            </w:tcBorders>
          </w:tcPr>
          <w:p w14:paraId="30D8EF26" w14:textId="77777777" w:rsidR="001864BD" w:rsidRPr="007F696F" w:rsidRDefault="001864BD" w:rsidP="007F696F">
            <w:pPr>
              <w:jc w:val="both"/>
              <w:rPr>
                <w:rFonts w:ascii="Arial" w:eastAsia="Times New Roman" w:hAnsi="Arial" w:cs="Arial"/>
                <w:b/>
                <w:bCs/>
                <w:sz w:val="20"/>
                <w:szCs w:val="18"/>
              </w:rPr>
            </w:pPr>
            <w:r w:rsidRPr="007F696F">
              <w:rPr>
                <w:rFonts w:ascii="Arial" w:eastAsia="Times New Roman" w:hAnsi="Arial" w:cs="Arial"/>
                <w:sz w:val="20"/>
                <w:szCs w:val="18"/>
              </w:rPr>
              <w:t>1,46,583</w:t>
            </w:r>
          </w:p>
        </w:tc>
        <w:tc>
          <w:tcPr>
            <w:tcW w:w="2378" w:type="dxa"/>
            <w:tcBorders>
              <w:top w:val="nil"/>
              <w:left w:val="nil"/>
              <w:bottom w:val="nil"/>
              <w:right w:val="nil"/>
            </w:tcBorders>
          </w:tcPr>
          <w:p w14:paraId="0D5B3F7A" w14:textId="77777777" w:rsidR="001864BD" w:rsidRPr="007F696F" w:rsidRDefault="001864BD" w:rsidP="007F696F">
            <w:pPr>
              <w:jc w:val="both"/>
              <w:rPr>
                <w:rFonts w:ascii="Arial" w:eastAsia="Times New Roman" w:hAnsi="Arial" w:cs="Arial"/>
                <w:b/>
                <w:bCs/>
                <w:sz w:val="20"/>
                <w:szCs w:val="18"/>
              </w:rPr>
            </w:pPr>
            <w:r w:rsidRPr="007F696F">
              <w:rPr>
                <w:rFonts w:ascii="Arial" w:eastAsia="Times New Roman" w:hAnsi="Arial" w:cs="Arial"/>
                <w:sz w:val="20"/>
                <w:szCs w:val="18"/>
              </w:rPr>
              <w:t>2,19,097.65</w:t>
            </w:r>
          </w:p>
        </w:tc>
      </w:tr>
      <w:tr w:rsidR="001864BD" w:rsidRPr="007F696F" w14:paraId="6927B2C3" w14:textId="77777777" w:rsidTr="007F696F">
        <w:trPr>
          <w:trHeight w:val="385"/>
        </w:trPr>
        <w:tc>
          <w:tcPr>
            <w:tcW w:w="3230" w:type="dxa"/>
            <w:tcBorders>
              <w:top w:val="nil"/>
              <w:left w:val="nil"/>
              <w:bottom w:val="nil"/>
              <w:right w:val="nil"/>
            </w:tcBorders>
          </w:tcPr>
          <w:p w14:paraId="6B209AE8" w14:textId="77777777" w:rsidR="001864BD" w:rsidRPr="007F696F" w:rsidRDefault="001864BD" w:rsidP="007F696F">
            <w:pPr>
              <w:jc w:val="both"/>
              <w:rPr>
                <w:rFonts w:ascii="Arial" w:eastAsia="Times New Roman" w:hAnsi="Arial" w:cs="Arial"/>
                <w:b/>
                <w:bCs/>
                <w:sz w:val="20"/>
                <w:szCs w:val="18"/>
              </w:rPr>
            </w:pPr>
            <w:r w:rsidRPr="007F696F">
              <w:rPr>
                <w:rFonts w:ascii="Arial" w:eastAsia="Times New Roman" w:hAnsi="Arial" w:cs="Arial"/>
                <w:sz w:val="20"/>
                <w:szCs w:val="18"/>
              </w:rPr>
              <w:t xml:space="preserve">Total fixed cost                                 </w:t>
            </w:r>
          </w:p>
        </w:tc>
        <w:tc>
          <w:tcPr>
            <w:tcW w:w="3230" w:type="dxa"/>
            <w:tcBorders>
              <w:top w:val="nil"/>
              <w:left w:val="nil"/>
              <w:bottom w:val="nil"/>
              <w:right w:val="nil"/>
            </w:tcBorders>
          </w:tcPr>
          <w:p w14:paraId="5CE3A879" w14:textId="77777777" w:rsidR="001864BD" w:rsidRPr="007F696F" w:rsidRDefault="001864BD" w:rsidP="007F696F">
            <w:pPr>
              <w:jc w:val="both"/>
              <w:rPr>
                <w:rFonts w:ascii="Arial" w:eastAsia="Times New Roman" w:hAnsi="Arial" w:cs="Arial"/>
                <w:b/>
                <w:bCs/>
                <w:sz w:val="20"/>
                <w:szCs w:val="18"/>
              </w:rPr>
            </w:pPr>
            <w:r w:rsidRPr="007F696F">
              <w:rPr>
                <w:rFonts w:ascii="Arial" w:eastAsia="Times New Roman" w:hAnsi="Arial" w:cs="Arial"/>
                <w:sz w:val="20"/>
                <w:szCs w:val="18"/>
              </w:rPr>
              <w:t>83,116</w:t>
            </w:r>
          </w:p>
        </w:tc>
        <w:tc>
          <w:tcPr>
            <w:tcW w:w="2378" w:type="dxa"/>
            <w:tcBorders>
              <w:top w:val="nil"/>
              <w:left w:val="nil"/>
              <w:bottom w:val="nil"/>
              <w:right w:val="nil"/>
            </w:tcBorders>
          </w:tcPr>
          <w:p w14:paraId="24C30872" w14:textId="77777777" w:rsidR="001864BD" w:rsidRPr="007F696F" w:rsidRDefault="001864BD" w:rsidP="007F696F">
            <w:pPr>
              <w:jc w:val="both"/>
              <w:rPr>
                <w:rFonts w:ascii="Arial" w:eastAsia="Times New Roman" w:hAnsi="Arial" w:cs="Arial"/>
                <w:b/>
                <w:bCs/>
                <w:sz w:val="20"/>
                <w:szCs w:val="18"/>
              </w:rPr>
            </w:pPr>
            <w:r w:rsidRPr="007F696F">
              <w:rPr>
                <w:rFonts w:ascii="Arial" w:eastAsia="Times New Roman" w:hAnsi="Arial" w:cs="Arial"/>
                <w:sz w:val="20"/>
                <w:szCs w:val="18"/>
              </w:rPr>
              <w:t>3,79,700</w:t>
            </w:r>
          </w:p>
        </w:tc>
      </w:tr>
      <w:tr w:rsidR="001864BD" w:rsidRPr="007F696F" w14:paraId="061C7D11" w14:textId="77777777" w:rsidTr="007F696F">
        <w:trPr>
          <w:trHeight w:val="786"/>
        </w:trPr>
        <w:tc>
          <w:tcPr>
            <w:tcW w:w="3230" w:type="dxa"/>
            <w:tcBorders>
              <w:top w:val="nil"/>
              <w:left w:val="nil"/>
              <w:bottom w:val="nil"/>
              <w:right w:val="nil"/>
            </w:tcBorders>
          </w:tcPr>
          <w:p w14:paraId="3301C945" w14:textId="77777777" w:rsidR="001864BD" w:rsidRPr="007F696F" w:rsidRDefault="001864BD" w:rsidP="007F696F">
            <w:pPr>
              <w:jc w:val="both"/>
              <w:rPr>
                <w:rFonts w:ascii="Arial" w:eastAsia="Times New Roman" w:hAnsi="Arial" w:cs="Arial"/>
                <w:b/>
                <w:bCs/>
                <w:sz w:val="20"/>
                <w:szCs w:val="18"/>
              </w:rPr>
            </w:pPr>
            <w:r w:rsidRPr="007F696F">
              <w:rPr>
                <w:rFonts w:ascii="Arial" w:eastAsia="Times New Roman" w:hAnsi="Arial" w:cs="Arial"/>
                <w:b/>
                <w:bCs/>
                <w:sz w:val="20"/>
                <w:szCs w:val="18"/>
              </w:rPr>
              <w:t>Break even output (</w:t>
            </w:r>
            <w:proofErr w:type="spellStart"/>
            <w:proofErr w:type="gramStart"/>
            <w:r w:rsidRPr="007F696F">
              <w:rPr>
                <w:rFonts w:ascii="Arial" w:eastAsia="Times New Roman" w:hAnsi="Arial" w:cs="Arial"/>
                <w:b/>
                <w:bCs/>
                <w:sz w:val="20"/>
                <w:szCs w:val="18"/>
              </w:rPr>
              <w:t>tonnes</w:t>
            </w:r>
            <w:proofErr w:type="spellEnd"/>
            <w:r w:rsidRPr="007F696F">
              <w:rPr>
                <w:rFonts w:ascii="Arial" w:eastAsia="Times New Roman" w:hAnsi="Arial" w:cs="Arial"/>
                <w:b/>
                <w:bCs/>
                <w:sz w:val="20"/>
                <w:szCs w:val="18"/>
              </w:rPr>
              <w:t xml:space="preserve">)   </w:t>
            </w:r>
            <w:proofErr w:type="gramEnd"/>
            <w:r w:rsidRPr="007F696F">
              <w:rPr>
                <w:rFonts w:ascii="Arial" w:eastAsia="Times New Roman" w:hAnsi="Arial" w:cs="Arial"/>
                <w:b/>
                <w:bCs/>
                <w:sz w:val="20"/>
                <w:szCs w:val="18"/>
              </w:rPr>
              <w:t xml:space="preserve">         </w:t>
            </w:r>
          </w:p>
        </w:tc>
        <w:tc>
          <w:tcPr>
            <w:tcW w:w="3230" w:type="dxa"/>
            <w:tcBorders>
              <w:top w:val="nil"/>
              <w:left w:val="nil"/>
              <w:bottom w:val="nil"/>
              <w:right w:val="nil"/>
            </w:tcBorders>
          </w:tcPr>
          <w:p w14:paraId="66931B27" w14:textId="77777777" w:rsidR="001864BD" w:rsidRPr="007F696F" w:rsidRDefault="001864BD" w:rsidP="007F696F">
            <w:pPr>
              <w:jc w:val="both"/>
              <w:rPr>
                <w:rFonts w:ascii="Arial" w:eastAsia="Times New Roman" w:hAnsi="Arial" w:cs="Arial"/>
                <w:b/>
                <w:bCs/>
                <w:sz w:val="20"/>
                <w:szCs w:val="18"/>
              </w:rPr>
            </w:pPr>
            <w:r w:rsidRPr="007F696F">
              <w:rPr>
                <w:rFonts w:ascii="Arial" w:eastAsia="Times New Roman" w:hAnsi="Arial" w:cs="Arial"/>
                <w:b/>
                <w:bCs/>
                <w:sz w:val="20"/>
                <w:szCs w:val="18"/>
              </w:rPr>
              <w:t>1.91</w:t>
            </w:r>
          </w:p>
        </w:tc>
        <w:tc>
          <w:tcPr>
            <w:tcW w:w="2378" w:type="dxa"/>
            <w:tcBorders>
              <w:top w:val="nil"/>
              <w:left w:val="nil"/>
              <w:bottom w:val="nil"/>
              <w:right w:val="nil"/>
            </w:tcBorders>
          </w:tcPr>
          <w:p w14:paraId="3485A520" w14:textId="77777777" w:rsidR="001864BD" w:rsidRPr="007F696F" w:rsidRDefault="001864BD" w:rsidP="007F696F">
            <w:pPr>
              <w:jc w:val="both"/>
              <w:rPr>
                <w:rFonts w:ascii="Arial" w:eastAsia="Times New Roman" w:hAnsi="Arial" w:cs="Arial"/>
                <w:b/>
                <w:bCs/>
                <w:sz w:val="20"/>
                <w:szCs w:val="18"/>
              </w:rPr>
            </w:pPr>
            <w:r w:rsidRPr="007F696F">
              <w:rPr>
                <w:rFonts w:ascii="Arial" w:eastAsia="Times New Roman" w:hAnsi="Arial" w:cs="Arial"/>
                <w:b/>
                <w:bCs/>
                <w:sz w:val="20"/>
                <w:szCs w:val="18"/>
              </w:rPr>
              <w:t>10.57</w:t>
            </w:r>
          </w:p>
        </w:tc>
      </w:tr>
      <w:tr w:rsidR="001864BD" w:rsidRPr="007F696F" w14:paraId="0997D4C4" w14:textId="77777777" w:rsidTr="007F696F">
        <w:trPr>
          <w:trHeight w:val="401"/>
        </w:trPr>
        <w:tc>
          <w:tcPr>
            <w:tcW w:w="3230" w:type="dxa"/>
            <w:tcBorders>
              <w:top w:val="nil"/>
              <w:left w:val="nil"/>
              <w:bottom w:val="nil"/>
              <w:right w:val="nil"/>
            </w:tcBorders>
          </w:tcPr>
          <w:p w14:paraId="0DF6B0BF" w14:textId="77777777" w:rsidR="001864BD" w:rsidRPr="007F696F" w:rsidRDefault="001864BD" w:rsidP="007F696F">
            <w:pPr>
              <w:jc w:val="both"/>
              <w:rPr>
                <w:rFonts w:ascii="Arial" w:eastAsia="Times New Roman" w:hAnsi="Arial" w:cs="Arial"/>
                <w:b/>
                <w:bCs/>
                <w:sz w:val="20"/>
                <w:szCs w:val="18"/>
              </w:rPr>
            </w:pPr>
            <w:r w:rsidRPr="007F696F">
              <w:rPr>
                <w:rFonts w:ascii="Arial" w:eastAsia="Times New Roman" w:hAnsi="Arial" w:cs="Arial"/>
                <w:b/>
                <w:bCs/>
                <w:sz w:val="20"/>
                <w:szCs w:val="18"/>
              </w:rPr>
              <w:t>Breakeven point (</w:t>
            </w:r>
            <w:proofErr w:type="gramStart"/>
            <w:r w:rsidRPr="007F696F">
              <w:rPr>
                <w:rFonts w:ascii="Arial" w:eastAsia="Times New Roman" w:hAnsi="Arial" w:cs="Arial"/>
                <w:b/>
                <w:bCs/>
                <w:sz w:val="20"/>
                <w:szCs w:val="18"/>
              </w:rPr>
              <w:t xml:space="preserve">₹)   </w:t>
            </w:r>
            <w:proofErr w:type="gramEnd"/>
            <w:r w:rsidRPr="007F696F">
              <w:rPr>
                <w:rFonts w:ascii="Arial" w:eastAsia="Times New Roman" w:hAnsi="Arial" w:cs="Arial"/>
                <w:b/>
                <w:bCs/>
                <w:sz w:val="20"/>
                <w:szCs w:val="18"/>
              </w:rPr>
              <w:t xml:space="preserve">                       </w:t>
            </w:r>
          </w:p>
        </w:tc>
        <w:tc>
          <w:tcPr>
            <w:tcW w:w="3230" w:type="dxa"/>
            <w:tcBorders>
              <w:top w:val="nil"/>
              <w:left w:val="nil"/>
              <w:bottom w:val="nil"/>
              <w:right w:val="nil"/>
            </w:tcBorders>
          </w:tcPr>
          <w:p w14:paraId="4BE7525F" w14:textId="77777777" w:rsidR="001864BD" w:rsidRPr="007F696F" w:rsidRDefault="001864BD" w:rsidP="007F696F">
            <w:pPr>
              <w:jc w:val="both"/>
              <w:rPr>
                <w:rFonts w:ascii="Arial" w:eastAsia="Times New Roman" w:hAnsi="Arial" w:cs="Arial"/>
                <w:b/>
                <w:bCs/>
                <w:sz w:val="20"/>
                <w:szCs w:val="18"/>
              </w:rPr>
            </w:pPr>
            <w:r w:rsidRPr="007F696F">
              <w:rPr>
                <w:rFonts w:ascii="Arial" w:eastAsia="Times New Roman" w:hAnsi="Arial" w:cs="Arial"/>
                <w:b/>
                <w:bCs/>
                <w:sz w:val="20"/>
                <w:szCs w:val="18"/>
              </w:rPr>
              <w:t>3,63,732</w:t>
            </w:r>
          </w:p>
        </w:tc>
        <w:tc>
          <w:tcPr>
            <w:tcW w:w="2378" w:type="dxa"/>
            <w:tcBorders>
              <w:top w:val="nil"/>
              <w:left w:val="nil"/>
              <w:bottom w:val="nil"/>
              <w:right w:val="nil"/>
            </w:tcBorders>
          </w:tcPr>
          <w:p w14:paraId="044FEF31" w14:textId="77777777" w:rsidR="001864BD" w:rsidRPr="007F696F" w:rsidRDefault="001864BD" w:rsidP="007F696F">
            <w:pPr>
              <w:jc w:val="both"/>
              <w:rPr>
                <w:rFonts w:ascii="Arial" w:eastAsia="Times New Roman" w:hAnsi="Arial" w:cs="Arial"/>
                <w:b/>
                <w:bCs/>
                <w:sz w:val="20"/>
                <w:szCs w:val="18"/>
              </w:rPr>
            </w:pPr>
            <w:r w:rsidRPr="007F696F">
              <w:rPr>
                <w:rFonts w:ascii="Arial" w:eastAsia="Times New Roman" w:hAnsi="Arial" w:cs="Arial"/>
                <w:b/>
                <w:bCs/>
                <w:sz w:val="20"/>
                <w:szCs w:val="18"/>
              </w:rPr>
              <w:t>1,01,09,691</w:t>
            </w:r>
          </w:p>
        </w:tc>
      </w:tr>
    </w:tbl>
    <w:p w14:paraId="20CA0BE4" w14:textId="77777777" w:rsidR="00C21568" w:rsidRPr="007F696F" w:rsidRDefault="00C21568" w:rsidP="00C00DF7">
      <w:pPr>
        <w:rPr>
          <w:rFonts w:ascii="Arial" w:eastAsia="Times New Roman" w:hAnsi="Arial" w:cs="Arial"/>
          <w:b/>
          <w:bCs/>
          <w:sz w:val="27"/>
          <w:szCs w:val="24"/>
        </w:rPr>
      </w:pPr>
    </w:p>
    <w:p w14:paraId="0236F583" w14:textId="77777777" w:rsidR="00D16731" w:rsidRPr="007F696F" w:rsidRDefault="00C00DF7" w:rsidP="00C00DF7">
      <w:pPr>
        <w:rPr>
          <w:rFonts w:ascii="Arial" w:eastAsia="Times New Roman" w:hAnsi="Arial" w:cs="Arial"/>
          <w:b/>
          <w:szCs w:val="20"/>
        </w:rPr>
      </w:pPr>
      <w:r w:rsidRPr="007F696F">
        <w:rPr>
          <w:rFonts w:ascii="Arial" w:eastAsia="Times New Roman" w:hAnsi="Arial" w:cs="Arial"/>
          <w:b/>
          <w:bCs/>
          <w:szCs w:val="20"/>
        </w:rPr>
        <w:t>4.3</w:t>
      </w:r>
      <w:r w:rsidRPr="007F696F">
        <w:rPr>
          <w:rFonts w:ascii="Arial" w:eastAsia="Times New Roman" w:hAnsi="Arial" w:cs="Arial"/>
          <w:szCs w:val="20"/>
        </w:rPr>
        <w:t xml:space="preserve"> </w:t>
      </w:r>
      <w:r w:rsidRPr="007F696F">
        <w:rPr>
          <w:rFonts w:ascii="Arial" w:eastAsia="Times New Roman" w:hAnsi="Arial" w:cs="Arial"/>
          <w:b/>
          <w:szCs w:val="20"/>
        </w:rPr>
        <w:t>Constraints faced by Turmeric Processors</w:t>
      </w:r>
    </w:p>
    <w:p w14:paraId="1175413D" w14:textId="14638F49" w:rsidR="00C21568" w:rsidRDefault="00371CF1" w:rsidP="00C21568">
      <w:pPr>
        <w:jc w:val="both"/>
        <w:rPr>
          <w:rFonts w:ascii="Arial" w:eastAsia="Times New Roman" w:hAnsi="Arial" w:cs="Arial"/>
          <w:bCs/>
          <w:sz w:val="20"/>
          <w:szCs w:val="20"/>
        </w:rPr>
      </w:pPr>
      <w:r w:rsidRPr="007F696F">
        <w:rPr>
          <w:rFonts w:ascii="Arial" w:eastAsia="Times New Roman" w:hAnsi="Arial" w:cs="Arial"/>
          <w:sz w:val="20"/>
          <w:szCs w:val="20"/>
        </w:rPr>
        <w:t xml:space="preserve">The processing constraints were Price fluctuation was the first ranked constraint in turmeric processing units with mean score 77, followed by Fluctuations in procurement was ranked second with mean score 70, Lack of </w:t>
      </w:r>
      <w:proofErr w:type="spellStart"/>
      <w:r w:rsidRPr="007F696F">
        <w:rPr>
          <w:rFonts w:ascii="Arial" w:eastAsia="Times New Roman" w:hAnsi="Arial" w:cs="Arial"/>
          <w:sz w:val="20"/>
          <w:szCs w:val="20"/>
        </w:rPr>
        <w:t>Labour</w:t>
      </w:r>
      <w:proofErr w:type="spellEnd"/>
      <w:r w:rsidRPr="007F696F">
        <w:rPr>
          <w:rFonts w:ascii="Arial" w:eastAsia="Times New Roman" w:hAnsi="Arial" w:cs="Arial"/>
          <w:sz w:val="20"/>
          <w:szCs w:val="20"/>
        </w:rPr>
        <w:t xml:space="preserve"> availability was third ranked with mean score 65.1, Lack of access to credit was ranked fourth constraint with mean score 61.5, fifth major constraint was Inadequate storage facilities with mean score </w:t>
      </w:r>
      <w:proofErr w:type="gramStart"/>
      <w:r w:rsidRPr="007F696F">
        <w:rPr>
          <w:rFonts w:ascii="Arial" w:eastAsia="Times New Roman" w:hAnsi="Arial" w:cs="Arial"/>
          <w:sz w:val="20"/>
          <w:szCs w:val="20"/>
        </w:rPr>
        <w:t>52.5  and</w:t>
      </w:r>
      <w:proofErr w:type="gramEnd"/>
      <w:r w:rsidRPr="007F696F">
        <w:rPr>
          <w:rFonts w:ascii="Arial" w:eastAsia="Times New Roman" w:hAnsi="Arial" w:cs="Arial"/>
          <w:sz w:val="20"/>
          <w:szCs w:val="20"/>
        </w:rPr>
        <w:t xml:space="preserve"> Lack of skilled labor was ranked sixth with mean score 46.5. The marketing constraints were</w:t>
      </w:r>
      <w:r w:rsidRPr="007F696F">
        <w:rPr>
          <w:rFonts w:ascii="Arial" w:hAnsi="Arial" w:cs="Arial"/>
          <w:sz w:val="20"/>
          <w:szCs w:val="20"/>
        </w:rPr>
        <w:t xml:space="preserve"> </w:t>
      </w:r>
      <w:r w:rsidRPr="007F696F">
        <w:rPr>
          <w:rFonts w:ascii="Arial" w:eastAsia="Times New Roman" w:hAnsi="Arial" w:cs="Arial"/>
          <w:sz w:val="20"/>
          <w:szCs w:val="20"/>
        </w:rPr>
        <w:t>More intermediaries</w:t>
      </w:r>
      <w:r w:rsidRPr="007F696F">
        <w:rPr>
          <w:rFonts w:ascii="Arial" w:eastAsia="Times New Roman" w:hAnsi="Arial" w:cs="Arial"/>
          <w:bCs/>
          <w:sz w:val="20"/>
          <w:szCs w:val="20"/>
        </w:rPr>
        <w:t xml:space="preserve"> was the first ranked constraint in turmeric processing units with mean score </w:t>
      </w:r>
      <w:r w:rsidRPr="007F696F">
        <w:rPr>
          <w:rFonts w:ascii="Arial" w:eastAsia="Times New Roman" w:hAnsi="Arial" w:cs="Arial"/>
          <w:sz w:val="20"/>
          <w:szCs w:val="20"/>
        </w:rPr>
        <w:t>86</w:t>
      </w:r>
      <w:r w:rsidRPr="007F696F">
        <w:rPr>
          <w:rFonts w:ascii="Arial" w:eastAsia="Times New Roman" w:hAnsi="Arial" w:cs="Arial"/>
          <w:bCs/>
          <w:sz w:val="20"/>
          <w:szCs w:val="20"/>
        </w:rPr>
        <w:t xml:space="preserve">, followed by </w:t>
      </w:r>
      <w:r w:rsidRPr="007F696F">
        <w:rPr>
          <w:rFonts w:ascii="Arial" w:eastAsia="Times New Roman" w:hAnsi="Arial" w:cs="Arial"/>
          <w:sz w:val="20"/>
          <w:szCs w:val="20"/>
        </w:rPr>
        <w:t xml:space="preserve">Competition in the market </w:t>
      </w:r>
      <w:r w:rsidRPr="007F696F">
        <w:rPr>
          <w:rFonts w:ascii="Arial" w:eastAsia="Times New Roman" w:hAnsi="Arial" w:cs="Arial"/>
          <w:bCs/>
          <w:sz w:val="20"/>
          <w:szCs w:val="20"/>
        </w:rPr>
        <w:t xml:space="preserve">was ranked second with mean score 70, </w:t>
      </w:r>
      <w:r w:rsidRPr="007F696F">
        <w:rPr>
          <w:rFonts w:ascii="Arial" w:eastAsia="Times New Roman" w:hAnsi="Arial" w:cs="Arial"/>
          <w:sz w:val="20"/>
          <w:szCs w:val="20"/>
        </w:rPr>
        <w:t xml:space="preserve">Demand Fluctuations </w:t>
      </w:r>
      <w:r w:rsidRPr="007F696F">
        <w:rPr>
          <w:rFonts w:ascii="Arial" w:eastAsia="Times New Roman" w:hAnsi="Arial" w:cs="Arial"/>
          <w:bCs/>
          <w:sz w:val="20"/>
          <w:szCs w:val="20"/>
        </w:rPr>
        <w:t xml:space="preserve">was third ranked with mean score </w:t>
      </w:r>
      <w:r w:rsidRPr="007F696F">
        <w:rPr>
          <w:rFonts w:ascii="Arial" w:eastAsia="Times New Roman" w:hAnsi="Arial" w:cs="Arial"/>
          <w:sz w:val="20"/>
          <w:szCs w:val="20"/>
        </w:rPr>
        <w:t>82</w:t>
      </w:r>
      <w:r w:rsidRPr="007F696F">
        <w:rPr>
          <w:rFonts w:ascii="Arial" w:eastAsia="Times New Roman" w:hAnsi="Arial" w:cs="Arial"/>
          <w:bCs/>
          <w:sz w:val="20"/>
          <w:szCs w:val="20"/>
        </w:rPr>
        <w:t xml:space="preserve">, </w:t>
      </w:r>
      <w:r w:rsidRPr="007F696F">
        <w:rPr>
          <w:rFonts w:ascii="Arial" w:eastAsia="Times New Roman" w:hAnsi="Arial" w:cs="Arial"/>
          <w:sz w:val="20"/>
          <w:szCs w:val="20"/>
        </w:rPr>
        <w:t xml:space="preserve">High Transportation cost </w:t>
      </w:r>
      <w:r w:rsidRPr="007F696F">
        <w:rPr>
          <w:rFonts w:ascii="Arial" w:eastAsia="Times New Roman" w:hAnsi="Arial" w:cs="Arial"/>
          <w:bCs/>
          <w:sz w:val="20"/>
          <w:szCs w:val="20"/>
        </w:rPr>
        <w:t>was ranked fourth constraint with mean score 65.</w:t>
      </w:r>
    </w:p>
    <w:p w14:paraId="4A7C92A6" w14:textId="2812CDD0" w:rsidR="005825BE" w:rsidRDefault="005825BE" w:rsidP="00C21568">
      <w:pPr>
        <w:jc w:val="both"/>
        <w:rPr>
          <w:rFonts w:ascii="Arial" w:eastAsia="Times New Roman" w:hAnsi="Arial" w:cs="Arial"/>
          <w:bCs/>
          <w:sz w:val="20"/>
          <w:szCs w:val="20"/>
        </w:rPr>
      </w:pPr>
    </w:p>
    <w:p w14:paraId="746E606D" w14:textId="49763AD2" w:rsidR="005825BE" w:rsidRDefault="005825BE" w:rsidP="00C21568">
      <w:pPr>
        <w:jc w:val="both"/>
        <w:rPr>
          <w:rFonts w:ascii="Arial" w:eastAsia="Times New Roman" w:hAnsi="Arial" w:cs="Arial"/>
          <w:bCs/>
          <w:sz w:val="20"/>
          <w:szCs w:val="20"/>
        </w:rPr>
      </w:pPr>
    </w:p>
    <w:p w14:paraId="57BB62A1" w14:textId="4AC39A3F" w:rsidR="005825BE" w:rsidRDefault="005825BE" w:rsidP="00C21568">
      <w:pPr>
        <w:jc w:val="both"/>
        <w:rPr>
          <w:rFonts w:ascii="Arial" w:eastAsia="Times New Roman" w:hAnsi="Arial" w:cs="Arial"/>
          <w:bCs/>
          <w:sz w:val="20"/>
          <w:szCs w:val="20"/>
        </w:rPr>
      </w:pPr>
    </w:p>
    <w:p w14:paraId="4D0141F8" w14:textId="444CB430" w:rsidR="005825BE" w:rsidRDefault="005825BE" w:rsidP="00C21568">
      <w:pPr>
        <w:jc w:val="both"/>
        <w:rPr>
          <w:rFonts w:ascii="Arial" w:eastAsia="Times New Roman" w:hAnsi="Arial" w:cs="Arial"/>
          <w:bCs/>
          <w:sz w:val="20"/>
          <w:szCs w:val="20"/>
        </w:rPr>
      </w:pPr>
    </w:p>
    <w:p w14:paraId="4DA98142" w14:textId="77777777" w:rsidR="005825BE" w:rsidRDefault="005825BE" w:rsidP="00C21568">
      <w:pPr>
        <w:jc w:val="both"/>
        <w:rPr>
          <w:rFonts w:ascii="Arial" w:eastAsia="Times New Roman" w:hAnsi="Arial" w:cs="Arial"/>
          <w:bCs/>
          <w:sz w:val="20"/>
          <w:szCs w:val="20"/>
        </w:rPr>
      </w:pPr>
      <w:bookmarkStart w:id="0" w:name="_GoBack"/>
      <w:bookmarkEnd w:id="0"/>
    </w:p>
    <w:p w14:paraId="5A547FCD" w14:textId="77777777" w:rsidR="00C845A2" w:rsidRPr="007F696F" w:rsidRDefault="00C845A2" w:rsidP="00C21568">
      <w:pPr>
        <w:jc w:val="both"/>
        <w:rPr>
          <w:rFonts w:ascii="Arial" w:eastAsia="Times New Roman" w:hAnsi="Arial" w:cs="Arial"/>
          <w:bCs/>
          <w:sz w:val="20"/>
          <w:szCs w:val="20"/>
        </w:rPr>
      </w:pPr>
    </w:p>
    <w:p w14:paraId="76B7C69E" w14:textId="77777777" w:rsidR="00893DB0" w:rsidRPr="007F696F" w:rsidRDefault="00317B96" w:rsidP="00C00DF7">
      <w:pPr>
        <w:rPr>
          <w:rFonts w:ascii="Arial" w:eastAsia="Times New Roman" w:hAnsi="Arial" w:cs="Arial"/>
          <w:b/>
          <w:sz w:val="20"/>
          <w:szCs w:val="20"/>
        </w:rPr>
      </w:pPr>
      <w:r w:rsidRPr="007F696F">
        <w:rPr>
          <w:rFonts w:ascii="Arial" w:eastAsia="Times New Roman" w:hAnsi="Arial" w:cs="Arial"/>
          <w:b/>
          <w:sz w:val="20"/>
          <w:szCs w:val="20"/>
        </w:rPr>
        <w:lastRenderedPageBreak/>
        <w:t>Table 3. CONSTRAINTS FACED BY TURMERIC PROCESSORS</w:t>
      </w:r>
    </w:p>
    <w:tbl>
      <w:tblPr>
        <w:tblStyle w:val="TableGrid"/>
        <w:tblW w:w="7326" w:type="dxa"/>
        <w:tblLook w:val="04A0" w:firstRow="1" w:lastRow="0" w:firstColumn="1" w:lastColumn="0" w:noHBand="0" w:noVBand="1"/>
      </w:tblPr>
      <w:tblGrid>
        <w:gridCol w:w="3310"/>
        <w:gridCol w:w="3310"/>
        <w:gridCol w:w="706"/>
      </w:tblGrid>
      <w:tr w:rsidR="00D53383" w:rsidRPr="007F696F" w14:paraId="31AB5C22" w14:textId="77777777" w:rsidTr="007F696F">
        <w:trPr>
          <w:trHeight w:val="363"/>
        </w:trPr>
        <w:tc>
          <w:tcPr>
            <w:tcW w:w="3310" w:type="dxa"/>
            <w:tcBorders>
              <w:top w:val="single" w:sz="4" w:space="0" w:color="auto"/>
              <w:left w:val="nil"/>
              <w:bottom w:val="single" w:sz="4" w:space="0" w:color="000000" w:themeColor="text1"/>
              <w:right w:val="nil"/>
            </w:tcBorders>
          </w:tcPr>
          <w:p w14:paraId="034B91DD" w14:textId="77777777" w:rsidR="00D53383" w:rsidRPr="007F696F" w:rsidRDefault="00D53383" w:rsidP="007F696F">
            <w:pPr>
              <w:jc w:val="both"/>
              <w:rPr>
                <w:rFonts w:ascii="Arial" w:eastAsia="Times New Roman" w:hAnsi="Arial" w:cs="Arial"/>
                <w:b/>
                <w:sz w:val="20"/>
                <w:szCs w:val="20"/>
              </w:rPr>
            </w:pPr>
            <w:r w:rsidRPr="007F696F">
              <w:rPr>
                <w:rFonts w:ascii="Arial" w:eastAsia="Times New Roman" w:hAnsi="Arial" w:cs="Arial"/>
                <w:b/>
                <w:bCs/>
                <w:sz w:val="20"/>
                <w:szCs w:val="20"/>
              </w:rPr>
              <w:t>Particulars</w:t>
            </w:r>
          </w:p>
        </w:tc>
        <w:tc>
          <w:tcPr>
            <w:tcW w:w="3310" w:type="dxa"/>
            <w:tcBorders>
              <w:top w:val="single" w:sz="4" w:space="0" w:color="auto"/>
              <w:left w:val="nil"/>
              <w:bottom w:val="single" w:sz="4" w:space="0" w:color="000000" w:themeColor="text1"/>
              <w:right w:val="nil"/>
            </w:tcBorders>
          </w:tcPr>
          <w:p w14:paraId="05278582" w14:textId="77777777" w:rsidR="00D53383" w:rsidRPr="007F696F" w:rsidRDefault="00D53383" w:rsidP="007F696F">
            <w:pPr>
              <w:jc w:val="both"/>
              <w:rPr>
                <w:rFonts w:ascii="Arial" w:eastAsia="Times New Roman" w:hAnsi="Arial" w:cs="Arial"/>
                <w:b/>
                <w:sz w:val="20"/>
                <w:szCs w:val="20"/>
              </w:rPr>
            </w:pPr>
            <w:r w:rsidRPr="007F696F">
              <w:rPr>
                <w:rFonts w:ascii="Arial" w:eastAsia="Times New Roman" w:hAnsi="Arial" w:cs="Arial"/>
                <w:b/>
                <w:bCs/>
                <w:sz w:val="20"/>
                <w:szCs w:val="20"/>
              </w:rPr>
              <w:t>Mean Score</w:t>
            </w:r>
          </w:p>
        </w:tc>
        <w:tc>
          <w:tcPr>
            <w:tcW w:w="706" w:type="dxa"/>
            <w:tcBorders>
              <w:top w:val="single" w:sz="4" w:space="0" w:color="auto"/>
              <w:left w:val="nil"/>
              <w:bottom w:val="single" w:sz="4" w:space="0" w:color="000000" w:themeColor="text1"/>
              <w:right w:val="nil"/>
            </w:tcBorders>
          </w:tcPr>
          <w:p w14:paraId="583984E0" w14:textId="77777777" w:rsidR="00D53383" w:rsidRPr="007F696F" w:rsidRDefault="00D53383" w:rsidP="007F696F">
            <w:pPr>
              <w:jc w:val="both"/>
              <w:rPr>
                <w:rFonts w:ascii="Arial" w:eastAsia="Times New Roman" w:hAnsi="Arial" w:cs="Arial"/>
                <w:b/>
                <w:sz w:val="20"/>
                <w:szCs w:val="20"/>
              </w:rPr>
            </w:pPr>
            <w:r w:rsidRPr="007F696F">
              <w:rPr>
                <w:rFonts w:ascii="Arial" w:eastAsia="Times New Roman" w:hAnsi="Arial" w:cs="Arial"/>
                <w:b/>
                <w:bCs/>
                <w:sz w:val="20"/>
                <w:szCs w:val="20"/>
              </w:rPr>
              <w:t>Rank</w:t>
            </w:r>
          </w:p>
        </w:tc>
      </w:tr>
      <w:tr w:rsidR="00D53383" w:rsidRPr="007F696F" w14:paraId="7D67AEA1" w14:textId="77777777" w:rsidTr="007F696F">
        <w:trPr>
          <w:trHeight w:val="742"/>
        </w:trPr>
        <w:tc>
          <w:tcPr>
            <w:tcW w:w="3310" w:type="dxa"/>
            <w:tcBorders>
              <w:left w:val="nil"/>
              <w:bottom w:val="single" w:sz="4" w:space="0" w:color="000000" w:themeColor="text1"/>
              <w:right w:val="nil"/>
            </w:tcBorders>
          </w:tcPr>
          <w:p w14:paraId="15FA5BF2" w14:textId="77777777" w:rsidR="00D53383" w:rsidRPr="007F696F" w:rsidRDefault="00D53383" w:rsidP="007F696F">
            <w:pPr>
              <w:jc w:val="both"/>
              <w:rPr>
                <w:rFonts w:ascii="Arial" w:eastAsia="Times New Roman" w:hAnsi="Arial" w:cs="Arial"/>
                <w:b/>
                <w:bCs/>
                <w:sz w:val="20"/>
                <w:szCs w:val="20"/>
              </w:rPr>
            </w:pPr>
            <w:r w:rsidRPr="007F696F">
              <w:rPr>
                <w:rFonts w:ascii="Arial" w:eastAsia="Times New Roman" w:hAnsi="Arial" w:cs="Arial"/>
                <w:b/>
                <w:bCs/>
                <w:sz w:val="20"/>
                <w:szCs w:val="20"/>
              </w:rPr>
              <w:t>Processing Constraints</w:t>
            </w:r>
          </w:p>
          <w:p w14:paraId="40A6135A" w14:textId="77777777" w:rsidR="00D53383" w:rsidRPr="007F696F" w:rsidRDefault="00D53383" w:rsidP="007F696F">
            <w:pPr>
              <w:jc w:val="both"/>
              <w:rPr>
                <w:rFonts w:ascii="Arial" w:eastAsia="Times New Roman" w:hAnsi="Arial" w:cs="Arial"/>
                <w:b/>
                <w:sz w:val="20"/>
                <w:szCs w:val="20"/>
              </w:rPr>
            </w:pPr>
          </w:p>
        </w:tc>
        <w:tc>
          <w:tcPr>
            <w:tcW w:w="3310" w:type="dxa"/>
            <w:tcBorders>
              <w:left w:val="nil"/>
              <w:bottom w:val="single" w:sz="4" w:space="0" w:color="000000" w:themeColor="text1"/>
              <w:right w:val="nil"/>
            </w:tcBorders>
          </w:tcPr>
          <w:p w14:paraId="3E4145A1" w14:textId="77777777" w:rsidR="00D53383" w:rsidRPr="007F696F" w:rsidRDefault="00D53383" w:rsidP="007F696F">
            <w:pPr>
              <w:jc w:val="both"/>
              <w:rPr>
                <w:rFonts w:ascii="Arial" w:eastAsia="Times New Roman" w:hAnsi="Arial" w:cs="Arial"/>
                <w:b/>
                <w:sz w:val="20"/>
                <w:szCs w:val="20"/>
              </w:rPr>
            </w:pPr>
          </w:p>
        </w:tc>
        <w:tc>
          <w:tcPr>
            <w:tcW w:w="706" w:type="dxa"/>
            <w:tcBorders>
              <w:left w:val="nil"/>
              <w:bottom w:val="single" w:sz="4" w:space="0" w:color="000000" w:themeColor="text1"/>
              <w:right w:val="nil"/>
            </w:tcBorders>
          </w:tcPr>
          <w:p w14:paraId="6918F479" w14:textId="77777777" w:rsidR="00D53383" w:rsidRPr="007F696F" w:rsidRDefault="00D53383" w:rsidP="007F696F">
            <w:pPr>
              <w:jc w:val="both"/>
              <w:rPr>
                <w:rFonts w:ascii="Arial" w:eastAsia="Times New Roman" w:hAnsi="Arial" w:cs="Arial"/>
                <w:b/>
                <w:sz w:val="20"/>
                <w:szCs w:val="20"/>
              </w:rPr>
            </w:pPr>
          </w:p>
        </w:tc>
      </w:tr>
      <w:tr w:rsidR="00D53383" w:rsidRPr="007F696F" w14:paraId="531F6B4E" w14:textId="77777777" w:rsidTr="007F696F">
        <w:trPr>
          <w:trHeight w:val="379"/>
        </w:trPr>
        <w:tc>
          <w:tcPr>
            <w:tcW w:w="3310" w:type="dxa"/>
            <w:tcBorders>
              <w:left w:val="nil"/>
              <w:bottom w:val="nil"/>
              <w:right w:val="nil"/>
            </w:tcBorders>
          </w:tcPr>
          <w:p w14:paraId="0DA34D2E" w14:textId="77777777" w:rsidR="00D53383" w:rsidRPr="007F696F" w:rsidRDefault="00D53383" w:rsidP="007F696F">
            <w:pPr>
              <w:jc w:val="both"/>
              <w:rPr>
                <w:rFonts w:ascii="Arial" w:eastAsia="Times New Roman" w:hAnsi="Arial" w:cs="Arial"/>
                <w:b/>
                <w:sz w:val="20"/>
                <w:szCs w:val="20"/>
              </w:rPr>
            </w:pPr>
            <w:r w:rsidRPr="007F696F">
              <w:rPr>
                <w:rFonts w:ascii="Arial" w:eastAsia="Times New Roman" w:hAnsi="Arial" w:cs="Arial"/>
                <w:sz w:val="20"/>
                <w:szCs w:val="20"/>
              </w:rPr>
              <w:t>Price fluctuation</w:t>
            </w:r>
          </w:p>
        </w:tc>
        <w:tc>
          <w:tcPr>
            <w:tcW w:w="3310" w:type="dxa"/>
            <w:tcBorders>
              <w:left w:val="nil"/>
              <w:bottom w:val="nil"/>
              <w:right w:val="nil"/>
            </w:tcBorders>
          </w:tcPr>
          <w:p w14:paraId="4CD48666" w14:textId="77777777" w:rsidR="00D53383" w:rsidRPr="007F696F" w:rsidRDefault="00D53383" w:rsidP="007F696F">
            <w:pPr>
              <w:jc w:val="both"/>
              <w:rPr>
                <w:rFonts w:ascii="Arial" w:eastAsia="Times New Roman" w:hAnsi="Arial" w:cs="Arial"/>
                <w:bCs/>
                <w:sz w:val="20"/>
                <w:szCs w:val="20"/>
              </w:rPr>
            </w:pPr>
            <w:r w:rsidRPr="007F696F">
              <w:rPr>
                <w:rFonts w:ascii="Arial" w:eastAsia="Times New Roman" w:hAnsi="Arial" w:cs="Arial"/>
                <w:bCs/>
                <w:sz w:val="20"/>
                <w:szCs w:val="20"/>
              </w:rPr>
              <w:t>76.9</w:t>
            </w:r>
          </w:p>
        </w:tc>
        <w:tc>
          <w:tcPr>
            <w:tcW w:w="706" w:type="dxa"/>
            <w:tcBorders>
              <w:left w:val="nil"/>
              <w:bottom w:val="nil"/>
              <w:right w:val="nil"/>
            </w:tcBorders>
          </w:tcPr>
          <w:p w14:paraId="1034C2BC" w14:textId="77777777" w:rsidR="00D53383" w:rsidRPr="007F696F" w:rsidRDefault="00D53383" w:rsidP="007F696F">
            <w:pPr>
              <w:jc w:val="both"/>
              <w:rPr>
                <w:rFonts w:ascii="Arial" w:eastAsia="Times New Roman" w:hAnsi="Arial" w:cs="Arial"/>
                <w:bCs/>
                <w:sz w:val="20"/>
                <w:szCs w:val="20"/>
              </w:rPr>
            </w:pPr>
            <w:r w:rsidRPr="007F696F">
              <w:rPr>
                <w:rFonts w:ascii="Arial" w:eastAsia="Times New Roman" w:hAnsi="Arial" w:cs="Arial"/>
                <w:bCs/>
                <w:sz w:val="20"/>
                <w:szCs w:val="20"/>
              </w:rPr>
              <w:t>1</w:t>
            </w:r>
          </w:p>
        </w:tc>
      </w:tr>
      <w:tr w:rsidR="00D53383" w:rsidRPr="007F696F" w14:paraId="54D2FF90" w14:textId="77777777" w:rsidTr="007F696F">
        <w:trPr>
          <w:trHeight w:val="742"/>
        </w:trPr>
        <w:tc>
          <w:tcPr>
            <w:tcW w:w="3310" w:type="dxa"/>
            <w:tcBorders>
              <w:top w:val="nil"/>
              <w:left w:val="nil"/>
              <w:bottom w:val="nil"/>
              <w:right w:val="nil"/>
            </w:tcBorders>
          </w:tcPr>
          <w:p w14:paraId="77647456" w14:textId="77777777" w:rsidR="00D53383" w:rsidRPr="007F696F" w:rsidRDefault="00D53383" w:rsidP="007F696F">
            <w:pPr>
              <w:jc w:val="both"/>
              <w:rPr>
                <w:rFonts w:ascii="Arial" w:eastAsia="Times New Roman" w:hAnsi="Arial" w:cs="Arial"/>
                <w:b/>
                <w:sz w:val="20"/>
                <w:szCs w:val="20"/>
              </w:rPr>
            </w:pPr>
            <w:r w:rsidRPr="007F696F">
              <w:rPr>
                <w:rFonts w:ascii="Arial" w:hAnsi="Arial" w:cs="Arial"/>
                <w:sz w:val="20"/>
                <w:szCs w:val="20"/>
              </w:rPr>
              <w:t>Fluctuations in procurement</w:t>
            </w:r>
          </w:p>
        </w:tc>
        <w:tc>
          <w:tcPr>
            <w:tcW w:w="3310" w:type="dxa"/>
            <w:tcBorders>
              <w:top w:val="nil"/>
              <w:left w:val="nil"/>
              <w:bottom w:val="nil"/>
              <w:right w:val="nil"/>
            </w:tcBorders>
          </w:tcPr>
          <w:p w14:paraId="63D001C0" w14:textId="77777777" w:rsidR="00D53383" w:rsidRPr="007F696F" w:rsidRDefault="00D53383" w:rsidP="007F696F">
            <w:pPr>
              <w:jc w:val="both"/>
              <w:rPr>
                <w:rFonts w:ascii="Arial" w:eastAsia="Times New Roman" w:hAnsi="Arial" w:cs="Arial"/>
                <w:bCs/>
                <w:sz w:val="20"/>
                <w:szCs w:val="20"/>
              </w:rPr>
            </w:pPr>
            <w:r w:rsidRPr="007F696F">
              <w:rPr>
                <w:rFonts w:ascii="Arial" w:eastAsia="Times New Roman" w:hAnsi="Arial" w:cs="Arial"/>
                <w:bCs/>
                <w:sz w:val="20"/>
                <w:szCs w:val="20"/>
              </w:rPr>
              <w:t>70.1</w:t>
            </w:r>
          </w:p>
        </w:tc>
        <w:tc>
          <w:tcPr>
            <w:tcW w:w="706" w:type="dxa"/>
            <w:tcBorders>
              <w:top w:val="nil"/>
              <w:left w:val="nil"/>
              <w:bottom w:val="nil"/>
              <w:right w:val="nil"/>
            </w:tcBorders>
          </w:tcPr>
          <w:p w14:paraId="3DDFFBFD" w14:textId="77777777" w:rsidR="00D53383" w:rsidRPr="007F696F" w:rsidRDefault="00D53383" w:rsidP="007F696F">
            <w:pPr>
              <w:jc w:val="both"/>
              <w:rPr>
                <w:rFonts w:ascii="Arial" w:eastAsia="Times New Roman" w:hAnsi="Arial" w:cs="Arial"/>
                <w:bCs/>
                <w:sz w:val="20"/>
                <w:szCs w:val="20"/>
              </w:rPr>
            </w:pPr>
            <w:r w:rsidRPr="007F696F">
              <w:rPr>
                <w:rFonts w:ascii="Arial" w:eastAsia="Times New Roman" w:hAnsi="Arial" w:cs="Arial"/>
                <w:bCs/>
                <w:sz w:val="20"/>
                <w:szCs w:val="20"/>
              </w:rPr>
              <w:t>2</w:t>
            </w:r>
          </w:p>
        </w:tc>
      </w:tr>
      <w:tr w:rsidR="00D53383" w:rsidRPr="007F696F" w14:paraId="65A7998B" w14:textId="77777777" w:rsidTr="007F696F">
        <w:trPr>
          <w:trHeight w:val="363"/>
        </w:trPr>
        <w:tc>
          <w:tcPr>
            <w:tcW w:w="3310" w:type="dxa"/>
            <w:tcBorders>
              <w:top w:val="nil"/>
              <w:left w:val="nil"/>
              <w:bottom w:val="nil"/>
              <w:right w:val="nil"/>
            </w:tcBorders>
          </w:tcPr>
          <w:p w14:paraId="3DA30B4F" w14:textId="77777777" w:rsidR="00D53383" w:rsidRPr="007F696F" w:rsidRDefault="00D53383" w:rsidP="007F696F">
            <w:pPr>
              <w:jc w:val="both"/>
              <w:rPr>
                <w:rFonts w:ascii="Arial" w:eastAsia="Times New Roman" w:hAnsi="Arial" w:cs="Arial"/>
                <w:b/>
                <w:sz w:val="20"/>
                <w:szCs w:val="20"/>
              </w:rPr>
            </w:pPr>
            <w:r w:rsidRPr="007F696F">
              <w:rPr>
                <w:rFonts w:ascii="Arial" w:eastAsia="Times New Roman" w:hAnsi="Arial" w:cs="Arial"/>
                <w:sz w:val="20"/>
                <w:szCs w:val="20"/>
              </w:rPr>
              <w:t xml:space="preserve">Lack of </w:t>
            </w:r>
            <w:proofErr w:type="spellStart"/>
            <w:r w:rsidRPr="007F696F">
              <w:rPr>
                <w:rFonts w:ascii="Arial" w:eastAsia="Times New Roman" w:hAnsi="Arial" w:cs="Arial"/>
                <w:sz w:val="20"/>
                <w:szCs w:val="20"/>
              </w:rPr>
              <w:t>Labour</w:t>
            </w:r>
            <w:proofErr w:type="spellEnd"/>
            <w:r w:rsidRPr="007F696F">
              <w:rPr>
                <w:rFonts w:ascii="Arial" w:eastAsia="Times New Roman" w:hAnsi="Arial" w:cs="Arial"/>
                <w:sz w:val="20"/>
                <w:szCs w:val="20"/>
              </w:rPr>
              <w:t xml:space="preserve"> availability</w:t>
            </w:r>
          </w:p>
        </w:tc>
        <w:tc>
          <w:tcPr>
            <w:tcW w:w="3310" w:type="dxa"/>
            <w:tcBorders>
              <w:top w:val="nil"/>
              <w:left w:val="nil"/>
              <w:bottom w:val="nil"/>
              <w:right w:val="nil"/>
            </w:tcBorders>
          </w:tcPr>
          <w:p w14:paraId="32F5A0EE" w14:textId="77777777" w:rsidR="00D53383" w:rsidRPr="007F696F" w:rsidRDefault="00D53383" w:rsidP="007F696F">
            <w:pPr>
              <w:jc w:val="both"/>
              <w:rPr>
                <w:rFonts w:ascii="Arial" w:eastAsia="Times New Roman" w:hAnsi="Arial" w:cs="Arial"/>
                <w:bCs/>
                <w:sz w:val="20"/>
                <w:szCs w:val="20"/>
              </w:rPr>
            </w:pPr>
            <w:r w:rsidRPr="007F696F">
              <w:rPr>
                <w:rFonts w:ascii="Arial" w:eastAsia="Times New Roman" w:hAnsi="Arial" w:cs="Arial"/>
                <w:bCs/>
                <w:sz w:val="20"/>
                <w:szCs w:val="20"/>
              </w:rPr>
              <w:t>65.1</w:t>
            </w:r>
          </w:p>
        </w:tc>
        <w:tc>
          <w:tcPr>
            <w:tcW w:w="706" w:type="dxa"/>
            <w:tcBorders>
              <w:top w:val="nil"/>
              <w:left w:val="nil"/>
              <w:bottom w:val="nil"/>
              <w:right w:val="nil"/>
            </w:tcBorders>
          </w:tcPr>
          <w:p w14:paraId="142B8C07" w14:textId="77777777" w:rsidR="00D53383" w:rsidRPr="007F696F" w:rsidRDefault="00D53383" w:rsidP="007F696F">
            <w:pPr>
              <w:jc w:val="both"/>
              <w:rPr>
                <w:rFonts w:ascii="Arial" w:eastAsia="Times New Roman" w:hAnsi="Arial" w:cs="Arial"/>
                <w:bCs/>
                <w:sz w:val="20"/>
                <w:szCs w:val="20"/>
              </w:rPr>
            </w:pPr>
            <w:r w:rsidRPr="007F696F">
              <w:rPr>
                <w:rFonts w:ascii="Arial" w:eastAsia="Times New Roman" w:hAnsi="Arial" w:cs="Arial"/>
                <w:bCs/>
                <w:sz w:val="20"/>
                <w:szCs w:val="20"/>
              </w:rPr>
              <w:t>3</w:t>
            </w:r>
          </w:p>
        </w:tc>
      </w:tr>
      <w:tr w:rsidR="00D53383" w:rsidRPr="007F696F" w14:paraId="2E54EE9B" w14:textId="77777777" w:rsidTr="007F696F">
        <w:trPr>
          <w:trHeight w:val="379"/>
        </w:trPr>
        <w:tc>
          <w:tcPr>
            <w:tcW w:w="3310" w:type="dxa"/>
            <w:tcBorders>
              <w:top w:val="nil"/>
              <w:left w:val="nil"/>
              <w:bottom w:val="nil"/>
              <w:right w:val="nil"/>
            </w:tcBorders>
          </w:tcPr>
          <w:p w14:paraId="69BA61C1" w14:textId="77777777" w:rsidR="00D53383" w:rsidRPr="007F696F" w:rsidRDefault="00D53383" w:rsidP="007F696F">
            <w:pPr>
              <w:jc w:val="both"/>
              <w:rPr>
                <w:rFonts w:ascii="Arial" w:eastAsia="Times New Roman" w:hAnsi="Arial" w:cs="Arial"/>
                <w:b/>
                <w:sz w:val="20"/>
                <w:szCs w:val="20"/>
              </w:rPr>
            </w:pPr>
            <w:r w:rsidRPr="007F696F">
              <w:rPr>
                <w:rFonts w:ascii="Arial" w:eastAsia="Times New Roman" w:hAnsi="Arial" w:cs="Arial"/>
                <w:sz w:val="20"/>
                <w:szCs w:val="20"/>
              </w:rPr>
              <w:t>Lack of Credit support</w:t>
            </w:r>
          </w:p>
        </w:tc>
        <w:tc>
          <w:tcPr>
            <w:tcW w:w="3310" w:type="dxa"/>
            <w:tcBorders>
              <w:top w:val="nil"/>
              <w:left w:val="nil"/>
              <w:bottom w:val="nil"/>
              <w:right w:val="nil"/>
            </w:tcBorders>
          </w:tcPr>
          <w:p w14:paraId="2E451769" w14:textId="77777777" w:rsidR="00D53383" w:rsidRPr="007F696F" w:rsidRDefault="00D53383" w:rsidP="007F696F">
            <w:pPr>
              <w:jc w:val="both"/>
              <w:rPr>
                <w:rFonts w:ascii="Arial" w:eastAsia="Times New Roman" w:hAnsi="Arial" w:cs="Arial"/>
                <w:bCs/>
                <w:sz w:val="20"/>
                <w:szCs w:val="20"/>
              </w:rPr>
            </w:pPr>
            <w:r w:rsidRPr="007F696F">
              <w:rPr>
                <w:rFonts w:ascii="Arial" w:eastAsia="Times New Roman" w:hAnsi="Arial" w:cs="Arial"/>
                <w:bCs/>
                <w:sz w:val="20"/>
                <w:szCs w:val="20"/>
              </w:rPr>
              <w:t>61.5</w:t>
            </w:r>
          </w:p>
        </w:tc>
        <w:tc>
          <w:tcPr>
            <w:tcW w:w="706" w:type="dxa"/>
            <w:tcBorders>
              <w:top w:val="nil"/>
              <w:left w:val="nil"/>
              <w:bottom w:val="nil"/>
              <w:right w:val="nil"/>
            </w:tcBorders>
          </w:tcPr>
          <w:p w14:paraId="2B9FD902" w14:textId="77777777" w:rsidR="00D53383" w:rsidRPr="007F696F" w:rsidRDefault="00D53383" w:rsidP="007F696F">
            <w:pPr>
              <w:jc w:val="both"/>
              <w:rPr>
                <w:rFonts w:ascii="Arial" w:eastAsia="Times New Roman" w:hAnsi="Arial" w:cs="Arial"/>
                <w:bCs/>
                <w:sz w:val="20"/>
                <w:szCs w:val="20"/>
              </w:rPr>
            </w:pPr>
            <w:r w:rsidRPr="007F696F">
              <w:rPr>
                <w:rFonts w:ascii="Arial" w:eastAsia="Times New Roman" w:hAnsi="Arial" w:cs="Arial"/>
                <w:bCs/>
                <w:sz w:val="20"/>
                <w:szCs w:val="20"/>
              </w:rPr>
              <w:t>4</w:t>
            </w:r>
          </w:p>
        </w:tc>
      </w:tr>
      <w:tr w:rsidR="00D53383" w:rsidRPr="007F696F" w14:paraId="7CDB7C50" w14:textId="77777777" w:rsidTr="007F696F">
        <w:trPr>
          <w:trHeight w:val="379"/>
        </w:trPr>
        <w:tc>
          <w:tcPr>
            <w:tcW w:w="3310" w:type="dxa"/>
            <w:tcBorders>
              <w:top w:val="nil"/>
              <w:left w:val="nil"/>
              <w:bottom w:val="nil"/>
              <w:right w:val="nil"/>
            </w:tcBorders>
          </w:tcPr>
          <w:p w14:paraId="0B5271B9" w14:textId="77777777" w:rsidR="00D53383" w:rsidRPr="007F696F" w:rsidRDefault="00D53383" w:rsidP="007F696F">
            <w:pPr>
              <w:jc w:val="both"/>
              <w:rPr>
                <w:rFonts w:ascii="Arial" w:eastAsia="Times New Roman" w:hAnsi="Arial" w:cs="Arial"/>
                <w:b/>
                <w:sz w:val="20"/>
                <w:szCs w:val="20"/>
              </w:rPr>
            </w:pPr>
            <w:r w:rsidRPr="007F696F">
              <w:rPr>
                <w:rFonts w:ascii="Arial" w:eastAsia="Times New Roman" w:hAnsi="Arial" w:cs="Arial"/>
                <w:sz w:val="20"/>
                <w:szCs w:val="20"/>
              </w:rPr>
              <w:t>Lack of Storage facilities</w:t>
            </w:r>
          </w:p>
        </w:tc>
        <w:tc>
          <w:tcPr>
            <w:tcW w:w="3310" w:type="dxa"/>
            <w:tcBorders>
              <w:top w:val="nil"/>
              <w:left w:val="nil"/>
              <w:bottom w:val="nil"/>
              <w:right w:val="nil"/>
            </w:tcBorders>
          </w:tcPr>
          <w:p w14:paraId="74E18FA2" w14:textId="77777777" w:rsidR="00D53383" w:rsidRPr="007F696F" w:rsidRDefault="00D53383" w:rsidP="007F696F">
            <w:pPr>
              <w:jc w:val="both"/>
              <w:rPr>
                <w:rFonts w:ascii="Arial" w:eastAsia="Times New Roman" w:hAnsi="Arial" w:cs="Arial"/>
                <w:bCs/>
                <w:sz w:val="20"/>
                <w:szCs w:val="20"/>
              </w:rPr>
            </w:pPr>
            <w:r w:rsidRPr="007F696F">
              <w:rPr>
                <w:rFonts w:ascii="Arial" w:eastAsia="Times New Roman" w:hAnsi="Arial" w:cs="Arial"/>
                <w:bCs/>
                <w:sz w:val="20"/>
                <w:szCs w:val="20"/>
              </w:rPr>
              <w:t>52.5</w:t>
            </w:r>
          </w:p>
        </w:tc>
        <w:tc>
          <w:tcPr>
            <w:tcW w:w="706" w:type="dxa"/>
            <w:tcBorders>
              <w:top w:val="nil"/>
              <w:left w:val="nil"/>
              <w:bottom w:val="nil"/>
              <w:right w:val="nil"/>
            </w:tcBorders>
          </w:tcPr>
          <w:p w14:paraId="0C503A5B" w14:textId="77777777" w:rsidR="00D53383" w:rsidRPr="007F696F" w:rsidRDefault="00D53383" w:rsidP="007F696F">
            <w:pPr>
              <w:jc w:val="both"/>
              <w:rPr>
                <w:rFonts w:ascii="Arial" w:eastAsia="Times New Roman" w:hAnsi="Arial" w:cs="Arial"/>
                <w:bCs/>
                <w:sz w:val="20"/>
                <w:szCs w:val="20"/>
              </w:rPr>
            </w:pPr>
            <w:r w:rsidRPr="007F696F">
              <w:rPr>
                <w:rFonts w:ascii="Arial" w:eastAsia="Times New Roman" w:hAnsi="Arial" w:cs="Arial"/>
                <w:bCs/>
                <w:sz w:val="20"/>
                <w:szCs w:val="20"/>
              </w:rPr>
              <w:t>5</w:t>
            </w:r>
          </w:p>
        </w:tc>
      </w:tr>
      <w:tr w:rsidR="00D53383" w:rsidRPr="007F696F" w14:paraId="368EB2BE" w14:textId="77777777" w:rsidTr="007F696F">
        <w:trPr>
          <w:trHeight w:val="379"/>
        </w:trPr>
        <w:tc>
          <w:tcPr>
            <w:tcW w:w="3310" w:type="dxa"/>
            <w:tcBorders>
              <w:top w:val="nil"/>
              <w:left w:val="nil"/>
              <w:right w:val="nil"/>
            </w:tcBorders>
          </w:tcPr>
          <w:p w14:paraId="0B3CFF4E" w14:textId="77777777" w:rsidR="00D53383" w:rsidRPr="007F696F" w:rsidRDefault="00D53383" w:rsidP="007F696F">
            <w:pPr>
              <w:jc w:val="both"/>
              <w:rPr>
                <w:rFonts w:ascii="Arial" w:eastAsia="Times New Roman" w:hAnsi="Arial" w:cs="Arial"/>
                <w:b/>
                <w:sz w:val="20"/>
                <w:szCs w:val="20"/>
              </w:rPr>
            </w:pPr>
            <w:r w:rsidRPr="007F696F">
              <w:rPr>
                <w:rFonts w:ascii="Arial" w:eastAsia="Times New Roman" w:hAnsi="Arial" w:cs="Arial"/>
                <w:sz w:val="20"/>
                <w:szCs w:val="20"/>
              </w:rPr>
              <w:t xml:space="preserve">Lack of skilled </w:t>
            </w:r>
            <w:proofErr w:type="spellStart"/>
            <w:r w:rsidRPr="007F696F">
              <w:rPr>
                <w:rFonts w:ascii="Arial" w:eastAsia="Times New Roman" w:hAnsi="Arial" w:cs="Arial"/>
                <w:sz w:val="20"/>
                <w:szCs w:val="20"/>
              </w:rPr>
              <w:t>labour</w:t>
            </w:r>
            <w:proofErr w:type="spellEnd"/>
          </w:p>
        </w:tc>
        <w:tc>
          <w:tcPr>
            <w:tcW w:w="3310" w:type="dxa"/>
            <w:tcBorders>
              <w:top w:val="nil"/>
              <w:left w:val="nil"/>
              <w:right w:val="nil"/>
            </w:tcBorders>
          </w:tcPr>
          <w:p w14:paraId="3E1AF8BA" w14:textId="77777777" w:rsidR="00D53383" w:rsidRPr="007F696F" w:rsidRDefault="00D53383" w:rsidP="007F696F">
            <w:pPr>
              <w:jc w:val="both"/>
              <w:rPr>
                <w:rFonts w:ascii="Arial" w:eastAsia="Times New Roman" w:hAnsi="Arial" w:cs="Arial"/>
                <w:bCs/>
                <w:sz w:val="20"/>
                <w:szCs w:val="20"/>
              </w:rPr>
            </w:pPr>
            <w:r w:rsidRPr="007F696F">
              <w:rPr>
                <w:rFonts w:ascii="Arial" w:eastAsia="Times New Roman" w:hAnsi="Arial" w:cs="Arial"/>
                <w:bCs/>
                <w:sz w:val="20"/>
                <w:szCs w:val="20"/>
              </w:rPr>
              <w:t>46.5</w:t>
            </w:r>
          </w:p>
        </w:tc>
        <w:tc>
          <w:tcPr>
            <w:tcW w:w="706" w:type="dxa"/>
            <w:tcBorders>
              <w:top w:val="nil"/>
              <w:left w:val="nil"/>
              <w:right w:val="nil"/>
            </w:tcBorders>
          </w:tcPr>
          <w:p w14:paraId="2BC4C38D" w14:textId="77777777" w:rsidR="00D53383" w:rsidRPr="007F696F" w:rsidRDefault="00D53383" w:rsidP="007F696F">
            <w:pPr>
              <w:jc w:val="both"/>
              <w:rPr>
                <w:rFonts w:ascii="Arial" w:eastAsia="Times New Roman" w:hAnsi="Arial" w:cs="Arial"/>
                <w:bCs/>
                <w:sz w:val="20"/>
                <w:szCs w:val="20"/>
              </w:rPr>
            </w:pPr>
            <w:r w:rsidRPr="007F696F">
              <w:rPr>
                <w:rFonts w:ascii="Arial" w:eastAsia="Times New Roman" w:hAnsi="Arial" w:cs="Arial"/>
                <w:bCs/>
                <w:sz w:val="20"/>
                <w:szCs w:val="20"/>
              </w:rPr>
              <w:t>6</w:t>
            </w:r>
          </w:p>
        </w:tc>
      </w:tr>
      <w:tr w:rsidR="00D53383" w:rsidRPr="007F696F" w14:paraId="61BEEF00" w14:textId="77777777" w:rsidTr="007F696F">
        <w:trPr>
          <w:trHeight w:val="422"/>
        </w:trPr>
        <w:tc>
          <w:tcPr>
            <w:tcW w:w="3310" w:type="dxa"/>
            <w:tcBorders>
              <w:left w:val="nil"/>
              <w:bottom w:val="single" w:sz="4" w:space="0" w:color="000000" w:themeColor="text1"/>
              <w:right w:val="nil"/>
            </w:tcBorders>
          </w:tcPr>
          <w:p w14:paraId="1B6BF78C" w14:textId="77777777" w:rsidR="00D53383" w:rsidRPr="007F696F" w:rsidRDefault="00D53383" w:rsidP="007F696F">
            <w:pPr>
              <w:tabs>
                <w:tab w:val="left" w:pos="720"/>
                <w:tab w:val="left" w:pos="1440"/>
                <w:tab w:val="left" w:pos="2160"/>
                <w:tab w:val="left" w:pos="2880"/>
                <w:tab w:val="left" w:pos="3600"/>
                <w:tab w:val="left" w:pos="4320"/>
                <w:tab w:val="left" w:pos="5040"/>
                <w:tab w:val="left" w:pos="5760"/>
                <w:tab w:val="left" w:pos="6480"/>
              </w:tabs>
              <w:jc w:val="both"/>
              <w:rPr>
                <w:rFonts w:ascii="Arial" w:eastAsia="Times New Roman" w:hAnsi="Arial" w:cs="Arial"/>
                <w:b/>
                <w:bCs/>
                <w:sz w:val="20"/>
                <w:szCs w:val="20"/>
              </w:rPr>
            </w:pPr>
            <w:r w:rsidRPr="007F696F">
              <w:rPr>
                <w:rFonts w:ascii="Arial" w:eastAsia="Times New Roman" w:hAnsi="Arial" w:cs="Arial"/>
                <w:b/>
                <w:bCs/>
                <w:sz w:val="20"/>
                <w:szCs w:val="20"/>
              </w:rPr>
              <w:t>Marketing Constraints</w:t>
            </w:r>
          </w:p>
          <w:p w14:paraId="18046524" w14:textId="77777777" w:rsidR="00D53383" w:rsidRPr="007F696F" w:rsidRDefault="00D53383" w:rsidP="007F696F">
            <w:pPr>
              <w:jc w:val="both"/>
              <w:rPr>
                <w:rFonts w:ascii="Arial" w:eastAsia="Times New Roman" w:hAnsi="Arial" w:cs="Arial"/>
                <w:b/>
                <w:sz w:val="20"/>
                <w:szCs w:val="20"/>
              </w:rPr>
            </w:pPr>
          </w:p>
        </w:tc>
        <w:tc>
          <w:tcPr>
            <w:tcW w:w="3310" w:type="dxa"/>
            <w:tcBorders>
              <w:left w:val="nil"/>
              <w:bottom w:val="single" w:sz="4" w:space="0" w:color="000000" w:themeColor="text1"/>
              <w:right w:val="nil"/>
            </w:tcBorders>
          </w:tcPr>
          <w:p w14:paraId="7BA8E127" w14:textId="77777777" w:rsidR="00D53383" w:rsidRPr="007F696F" w:rsidRDefault="00D53383" w:rsidP="007F696F">
            <w:pPr>
              <w:jc w:val="both"/>
              <w:rPr>
                <w:rFonts w:ascii="Arial" w:eastAsia="Times New Roman" w:hAnsi="Arial" w:cs="Arial"/>
                <w:b/>
                <w:sz w:val="20"/>
                <w:szCs w:val="20"/>
              </w:rPr>
            </w:pPr>
          </w:p>
        </w:tc>
        <w:tc>
          <w:tcPr>
            <w:tcW w:w="706" w:type="dxa"/>
            <w:tcBorders>
              <w:left w:val="nil"/>
              <w:bottom w:val="single" w:sz="4" w:space="0" w:color="000000" w:themeColor="text1"/>
              <w:right w:val="nil"/>
            </w:tcBorders>
          </w:tcPr>
          <w:p w14:paraId="18D29586" w14:textId="77777777" w:rsidR="00D53383" w:rsidRPr="007F696F" w:rsidRDefault="00D53383" w:rsidP="007F696F">
            <w:pPr>
              <w:jc w:val="both"/>
              <w:rPr>
                <w:rFonts w:ascii="Arial" w:eastAsia="Times New Roman" w:hAnsi="Arial" w:cs="Arial"/>
                <w:b/>
                <w:sz w:val="20"/>
                <w:szCs w:val="20"/>
              </w:rPr>
            </w:pPr>
          </w:p>
        </w:tc>
      </w:tr>
      <w:tr w:rsidR="00D53383" w:rsidRPr="007F696F" w14:paraId="3B043F02" w14:textId="77777777" w:rsidTr="007F696F">
        <w:trPr>
          <w:trHeight w:val="363"/>
        </w:trPr>
        <w:tc>
          <w:tcPr>
            <w:tcW w:w="3310" w:type="dxa"/>
            <w:tcBorders>
              <w:left w:val="nil"/>
              <w:bottom w:val="nil"/>
              <w:right w:val="nil"/>
            </w:tcBorders>
          </w:tcPr>
          <w:p w14:paraId="74E3AB1D" w14:textId="77777777" w:rsidR="00D53383" w:rsidRPr="007F696F" w:rsidRDefault="00D53383" w:rsidP="007F696F">
            <w:pPr>
              <w:jc w:val="both"/>
              <w:rPr>
                <w:rFonts w:ascii="Arial" w:eastAsia="Times New Roman" w:hAnsi="Arial" w:cs="Arial"/>
                <w:b/>
                <w:sz w:val="20"/>
                <w:szCs w:val="20"/>
              </w:rPr>
            </w:pPr>
            <w:r w:rsidRPr="007F696F">
              <w:rPr>
                <w:rFonts w:ascii="Arial" w:eastAsia="Times New Roman" w:hAnsi="Arial" w:cs="Arial"/>
                <w:sz w:val="20"/>
                <w:szCs w:val="20"/>
              </w:rPr>
              <w:t>More Intermediaries</w:t>
            </w:r>
          </w:p>
        </w:tc>
        <w:tc>
          <w:tcPr>
            <w:tcW w:w="3310" w:type="dxa"/>
            <w:tcBorders>
              <w:left w:val="nil"/>
              <w:bottom w:val="nil"/>
              <w:right w:val="nil"/>
            </w:tcBorders>
          </w:tcPr>
          <w:p w14:paraId="5D2868C0" w14:textId="77777777" w:rsidR="00D53383" w:rsidRPr="007F696F" w:rsidRDefault="00D53383" w:rsidP="007F696F">
            <w:pPr>
              <w:jc w:val="both"/>
              <w:rPr>
                <w:rFonts w:ascii="Arial" w:eastAsia="Times New Roman" w:hAnsi="Arial" w:cs="Arial"/>
                <w:bCs/>
                <w:sz w:val="20"/>
                <w:szCs w:val="20"/>
              </w:rPr>
            </w:pPr>
            <w:r w:rsidRPr="007F696F">
              <w:rPr>
                <w:rFonts w:ascii="Arial" w:eastAsia="Times New Roman" w:hAnsi="Arial" w:cs="Arial"/>
                <w:bCs/>
                <w:sz w:val="20"/>
                <w:szCs w:val="20"/>
              </w:rPr>
              <w:t>86</w:t>
            </w:r>
          </w:p>
        </w:tc>
        <w:tc>
          <w:tcPr>
            <w:tcW w:w="706" w:type="dxa"/>
            <w:tcBorders>
              <w:left w:val="nil"/>
              <w:bottom w:val="nil"/>
              <w:right w:val="nil"/>
            </w:tcBorders>
          </w:tcPr>
          <w:p w14:paraId="72477945" w14:textId="77777777" w:rsidR="00D53383" w:rsidRPr="007F696F" w:rsidRDefault="00D53383" w:rsidP="007F696F">
            <w:pPr>
              <w:jc w:val="both"/>
              <w:rPr>
                <w:rFonts w:ascii="Arial" w:eastAsia="Times New Roman" w:hAnsi="Arial" w:cs="Arial"/>
                <w:bCs/>
                <w:sz w:val="20"/>
                <w:szCs w:val="20"/>
              </w:rPr>
            </w:pPr>
            <w:r w:rsidRPr="007F696F">
              <w:rPr>
                <w:rFonts w:ascii="Arial" w:eastAsia="Times New Roman" w:hAnsi="Arial" w:cs="Arial"/>
                <w:bCs/>
                <w:sz w:val="20"/>
                <w:szCs w:val="20"/>
              </w:rPr>
              <w:t>1</w:t>
            </w:r>
          </w:p>
        </w:tc>
      </w:tr>
      <w:tr w:rsidR="00D53383" w:rsidRPr="007F696F" w14:paraId="1E0A0E20" w14:textId="77777777" w:rsidTr="007F696F">
        <w:trPr>
          <w:trHeight w:val="363"/>
        </w:trPr>
        <w:tc>
          <w:tcPr>
            <w:tcW w:w="3310" w:type="dxa"/>
            <w:tcBorders>
              <w:top w:val="nil"/>
              <w:left w:val="nil"/>
              <w:bottom w:val="nil"/>
              <w:right w:val="nil"/>
            </w:tcBorders>
          </w:tcPr>
          <w:p w14:paraId="2CF1FBC8" w14:textId="77777777" w:rsidR="00D53383" w:rsidRPr="007F696F" w:rsidRDefault="00D53383" w:rsidP="007F696F">
            <w:pPr>
              <w:jc w:val="both"/>
              <w:rPr>
                <w:rFonts w:ascii="Arial" w:eastAsia="Times New Roman" w:hAnsi="Arial" w:cs="Arial"/>
                <w:b/>
                <w:sz w:val="20"/>
                <w:szCs w:val="20"/>
              </w:rPr>
            </w:pPr>
            <w:r w:rsidRPr="007F696F">
              <w:rPr>
                <w:rFonts w:ascii="Arial" w:eastAsia="Times New Roman" w:hAnsi="Arial" w:cs="Arial"/>
                <w:sz w:val="20"/>
                <w:szCs w:val="20"/>
              </w:rPr>
              <w:t>Competition in the market</w:t>
            </w:r>
          </w:p>
        </w:tc>
        <w:tc>
          <w:tcPr>
            <w:tcW w:w="3310" w:type="dxa"/>
            <w:tcBorders>
              <w:top w:val="nil"/>
              <w:left w:val="nil"/>
              <w:bottom w:val="nil"/>
              <w:right w:val="nil"/>
            </w:tcBorders>
          </w:tcPr>
          <w:p w14:paraId="5A54E924" w14:textId="77777777" w:rsidR="00D53383" w:rsidRPr="007F696F" w:rsidRDefault="00D53383" w:rsidP="007F696F">
            <w:pPr>
              <w:jc w:val="both"/>
              <w:rPr>
                <w:rFonts w:ascii="Arial" w:eastAsia="Times New Roman" w:hAnsi="Arial" w:cs="Arial"/>
                <w:bCs/>
                <w:sz w:val="20"/>
                <w:szCs w:val="20"/>
              </w:rPr>
            </w:pPr>
            <w:r w:rsidRPr="007F696F">
              <w:rPr>
                <w:rFonts w:ascii="Arial" w:eastAsia="Times New Roman" w:hAnsi="Arial" w:cs="Arial"/>
                <w:bCs/>
                <w:sz w:val="20"/>
                <w:szCs w:val="20"/>
              </w:rPr>
              <w:t>83</w:t>
            </w:r>
          </w:p>
        </w:tc>
        <w:tc>
          <w:tcPr>
            <w:tcW w:w="706" w:type="dxa"/>
            <w:tcBorders>
              <w:top w:val="nil"/>
              <w:left w:val="nil"/>
              <w:bottom w:val="nil"/>
              <w:right w:val="nil"/>
            </w:tcBorders>
          </w:tcPr>
          <w:p w14:paraId="068100D8" w14:textId="77777777" w:rsidR="00D53383" w:rsidRPr="007F696F" w:rsidRDefault="00D53383" w:rsidP="007F696F">
            <w:pPr>
              <w:jc w:val="both"/>
              <w:rPr>
                <w:rFonts w:ascii="Arial" w:eastAsia="Times New Roman" w:hAnsi="Arial" w:cs="Arial"/>
                <w:bCs/>
                <w:sz w:val="20"/>
                <w:szCs w:val="20"/>
              </w:rPr>
            </w:pPr>
            <w:r w:rsidRPr="007F696F">
              <w:rPr>
                <w:rFonts w:ascii="Arial" w:eastAsia="Times New Roman" w:hAnsi="Arial" w:cs="Arial"/>
                <w:bCs/>
                <w:sz w:val="20"/>
                <w:szCs w:val="20"/>
              </w:rPr>
              <w:t>2</w:t>
            </w:r>
          </w:p>
        </w:tc>
      </w:tr>
      <w:tr w:rsidR="00D53383" w:rsidRPr="007F696F" w14:paraId="48FA8272" w14:textId="77777777" w:rsidTr="007F696F">
        <w:trPr>
          <w:trHeight w:val="379"/>
        </w:trPr>
        <w:tc>
          <w:tcPr>
            <w:tcW w:w="3310" w:type="dxa"/>
            <w:tcBorders>
              <w:top w:val="nil"/>
              <w:left w:val="nil"/>
              <w:bottom w:val="nil"/>
              <w:right w:val="nil"/>
            </w:tcBorders>
          </w:tcPr>
          <w:p w14:paraId="02CCA930" w14:textId="77777777" w:rsidR="00D53383" w:rsidRPr="007F696F" w:rsidRDefault="00D53383" w:rsidP="007F696F">
            <w:pPr>
              <w:jc w:val="both"/>
              <w:rPr>
                <w:rFonts w:ascii="Arial" w:eastAsia="Times New Roman" w:hAnsi="Arial" w:cs="Arial"/>
                <w:b/>
                <w:sz w:val="20"/>
                <w:szCs w:val="20"/>
              </w:rPr>
            </w:pPr>
            <w:r w:rsidRPr="007F696F">
              <w:rPr>
                <w:rFonts w:ascii="Arial" w:eastAsia="Times New Roman" w:hAnsi="Arial" w:cs="Arial"/>
                <w:sz w:val="20"/>
                <w:szCs w:val="20"/>
              </w:rPr>
              <w:t>Demand Fluctuations</w:t>
            </w:r>
          </w:p>
        </w:tc>
        <w:tc>
          <w:tcPr>
            <w:tcW w:w="3310" w:type="dxa"/>
            <w:tcBorders>
              <w:top w:val="nil"/>
              <w:left w:val="nil"/>
              <w:bottom w:val="nil"/>
              <w:right w:val="nil"/>
            </w:tcBorders>
          </w:tcPr>
          <w:p w14:paraId="00833576" w14:textId="77777777" w:rsidR="00D53383" w:rsidRPr="007F696F" w:rsidRDefault="00D53383" w:rsidP="007F696F">
            <w:pPr>
              <w:jc w:val="both"/>
              <w:rPr>
                <w:rFonts w:ascii="Arial" w:eastAsia="Times New Roman" w:hAnsi="Arial" w:cs="Arial"/>
                <w:bCs/>
                <w:sz w:val="20"/>
                <w:szCs w:val="20"/>
              </w:rPr>
            </w:pPr>
            <w:r w:rsidRPr="007F696F">
              <w:rPr>
                <w:rFonts w:ascii="Arial" w:eastAsia="Times New Roman" w:hAnsi="Arial" w:cs="Arial"/>
                <w:bCs/>
                <w:sz w:val="20"/>
                <w:szCs w:val="20"/>
              </w:rPr>
              <w:t>82</w:t>
            </w:r>
          </w:p>
        </w:tc>
        <w:tc>
          <w:tcPr>
            <w:tcW w:w="706" w:type="dxa"/>
            <w:tcBorders>
              <w:top w:val="nil"/>
              <w:left w:val="nil"/>
              <w:bottom w:val="nil"/>
              <w:right w:val="nil"/>
            </w:tcBorders>
          </w:tcPr>
          <w:p w14:paraId="44A6AAFD" w14:textId="77777777" w:rsidR="00D53383" w:rsidRPr="007F696F" w:rsidRDefault="00D53383" w:rsidP="007F696F">
            <w:pPr>
              <w:jc w:val="both"/>
              <w:rPr>
                <w:rFonts w:ascii="Arial" w:eastAsia="Times New Roman" w:hAnsi="Arial" w:cs="Arial"/>
                <w:bCs/>
                <w:sz w:val="20"/>
                <w:szCs w:val="20"/>
              </w:rPr>
            </w:pPr>
            <w:r w:rsidRPr="007F696F">
              <w:rPr>
                <w:rFonts w:ascii="Arial" w:eastAsia="Times New Roman" w:hAnsi="Arial" w:cs="Arial"/>
                <w:bCs/>
                <w:sz w:val="20"/>
                <w:szCs w:val="20"/>
              </w:rPr>
              <w:t>3</w:t>
            </w:r>
          </w:p>
        </w:tc>
      </w:tr>
      <w:tr w:rsidR="00D53383" w:rsidRPr="007F696F" w14:paraId="136270B1" w14:textId="77777777" w:rsidTr="007F696F">
        <w:trPr>
          <w:trHeight w:val="379"/>
        </w:trPr>
        <w:tc>
          <w:tcPr>
            <w:tcW w:w="3310" w:type="dxa"/>
            <w:tcBorders>
              <w:top w:val="nil"/>
              <w:left w:val="nil"/>
              <w:bottom w:val="nil"/>
              <w:right w:val="nil"/>
            </w:tcBorders>
          </w:tcPr>
          <w:p w14:paraId="4D6B34A4" w14:textId="77777777" w:rsidR="00D53383" w:rsidRPr="007F696F" w:rsidRDefault="00D53383" w:rsidP="007F696F">
            <w:pPr>
              <w:jc w:val="both"/>
              <w:rPr>
                <w:rFonts w:ascii="Arial" w:eastAsia="Times New Roman" w:hAnsi="Arial" w:cs="Arial"/>
                <w:b/>
                <w:sz w:val="20"/>
                <w:szCs w:val="20"/>
              </w:rPr>
            </w:pPr>
            <w:r w:rsidRPr="007F696F">
              <w:rPr>
                <w:rFonts w:ascii="Arial" w:eastAsia="Times New Roman" w:hAnsi="Arial" w:cs="Arial"/>
                <w:sz w:val="20"/>
                <w:szCs w:val="20"/>
              </w:rPr>
              <w:t>High Transportation cost</w:t>
            </w:r>
          </w:p>
        </w:tc>
        <w:tc>
          <w:tcPr>
            <w:tcW w:w="3310" w:type="dxa"/>
            <w:tcBorders>
              <w:top w:val="nil"/>
              <w:left w:val="nil"/>
              <w:bottom w:val="nil"/>
              <w:right w:val="nil"/>
            </w:tcBorders>
          </w:tcPr>
          <w:p w14:paraId="24CF60A1" w14:textId="77777777" w:rsidR="00D53383" w:rsidRPr="007F696F" w:rsidRDefault="00D53383" w:rsidP="007F696F">
            <w:pPr>
              <w:jc w:val="both"/>
              <w:rPr>
                <w:rFonts w:ascii="Arial" w:eastAsia="Times New Roman" w:hAnsi="Arial" w:cs="Arial"/>
                <w:bCs/>
                <w:sz w:val="20"/>
                <w:szCs w:val="20"/>
              </w:rPr>
            </w:pPr>
            <w:r w:rsidRPr="007F696F">
              <w:rPr>
                <w:rFonts w:ascii="Arial" w:eastAsia="Times New Roman" w:hAnsi="Arial" w:cs="Arial"/>
                <w:bCs/>
                <w:sz w:val="20"/>
                <w:szCs w:val="20"/>
              </w:rPr>
              <w:t>65</w:t>
            </w:r>
          </w:p>
        </w:tc>
        <w:tc>
          <w:tcPr>
            <w:tcW w:w="706" w:type="dxa"/>
            <w:tcBorders>
              <w:top w:val="nil"/>
              <w:left w:val="nil"/>
              <w:bottom w:val="nil"/>
              <w:right w:val="nil"/>
            </w:tcBorders>
          </w:tcPr>
          <w:p w14:paraId="42BACD4A" w14:textId="77777777" w:rsidR="00D53383" w:rsidRPr="007F696F" w:rsidRDefault="00D53383" w:rsidP="007F696F">
            <w:pPr>
              <w:jc w:val="both"/>
              <w:rPr>
                <w:rFonts w:ascii="Arial" w:eastAsia="Times New Roman" w:hAnsi="Arial" w:cs="Arial"/>
                <w:bCs/>
                <w:sz w:val="20"/>
                <w:szCs w:val="20"/>
              </w:rPr>
            </w:pPr>
            <w:r w:rsidRPr="007F696F">
              <w:rPr>
                <w:rFonts w:ascii="Arial" w:eastAsia="Times New Roman" w:hAnsi="Arial" w:cs="Arial"/>
                <w:bCs/>
                <w:sz w:val="20"/>
                <w:szCs w:val="20"/>
              </w:rPr>
              <w:t>4</w:t>
            </w:r>
          </w:p>
        </w:tc>
      </w:tr>
    </w:tbl>
    <w:p w14:paraId="428A03DA" w14:textId="77777777" w:rsidR="00C21568" w:rsidRDefault="00C21568" w:rsidP="00893DB0">
      <w:pPr>
        <w:rPr>
          <w:rFonts w:ascii="Arial" w:eastAsia="Times New Roman" w:hAnsi="Arial" w:cs="Arial"/>
          <w:b/>
          <w:bCs/>
          <w:szCs w:val="20"/>
        </w:rPr>
      </w:pPr>
    </w:p>
    <w:p w14:paraId="43C29BF6" w14:textId="77777777" w:rsidR="00893DB0" w:rsidRPr="007F696F" w:rsidRDefault="00371CF1" w:rsidP="00893DB0">
      <w:pPr>
        <w:rPr>
          <w:rFonts w:ascii="Arial" w:eastAsia="Times New Roman" w:hAnsi="Arial" w:cs="Arial"/>
          <w:b/>
          <w:bCs/>
          <w:szCs w:val="20"/>
        </w:rPr>
      </w:pPr>
      <w:r w:rsidRPr="007F696F">
        <w:rPr>
          <w:rFonts w:ascii="Arial" w:eastAsia="Times New Roman" w:hAnsi="Arial" w:cs="Arial"/>
          <w:b/>
          <w:bCs/>
          <w:szCs w:val="20"/>
        </w:rPr>
        <w:t>5. Conclusion</w:t>
      </w:r>
    </w:p>
    <w:p w14:paraId="1BE5F713" w14:textId="77777777" w:rsidR="00371CF1" w:rsidRDefault="00371CF1" w:rsidP="0055419F">
      <w:pPr>
        <w:jc w:val="both"/>
        <w:rPr>
          <w:rFonts w:ascii="Arial" w:eastAsia="Times New Roman" w:hAnsi="Arial" w:cs="Arial"/>
          <w:sz w:val="20"/>
          <w:szCs w:val="18"/>
        </w:rPr>
      </w:pPr>
      <w:r w:rsidRPr="007F696F">
        <w:rPr>
          <w:rFonts w:ascii="Arial" w:eastAsia="Times New Roman" w:hAnsi="Arial" w:cs="Arial"/>
          <w:sz w:val="20"/>
          <w:szCs w:val="18"/>
        </w:rPr>
        <w:t xml:space="preserve">The cost-benefit analysis shows that organized units are more profitable, with higher gross returns per </w:t>
      </w:r>
      <w:proofErr w:type="spellStart"/>
      <w:r w:rsidRPr="007F696F">
        <w:rPr>
          <w:rFonts w:ascii="Arial" w:eastAsia="Times New Roman" w:hAnsi="Arial" w:cs="Arial"/>
          <w:sz w:val="20"/>
          <w:szCs w:val="18"/>
        </w:rPr>
        <w:t>tonne</w:t>
      </w:r>
      <w:proofErr w:type="spellEnd"/>
      <w:r w:rsidRPr="007F696F">
        <w:rPr>
          <w:rFonts w:ascii="Arial" w:eastAsia="Times New Roman" w:hAnsi="Arial" w:cs="Arial"/>
          <w:sz w:val="20"/>
          <w:szCs w:val="18"/>
        </w:rPr>
        <w:t xml:space="preserve"> (₹3,55,000) and net returns (₹1,21,255) compared to unorganized units (₹1,90,000and ₹42,439, respectively). Economic viability indicators, such as Net Present Value (NPV), Benefit-Cost (B:C) ratio, and Internal Rate of Return (IRR), confirm profitability for both types of units. Break-even analysis indicates that organized units have a break-even output of 10.57 </w:t>
      </w:r>
      <w:proofErr w:type="spellStart"/>
      <w:r w:rsidRPr="007F696F">
        <w:rPr>
          <w:rFonts w:ascii="Arial" w:eastAsia="Times New Roman" w:hAnsi="Arial" w:cs="Arial"/>
          <w:sz w:val="20"/>
          <w:szCs w:val="18"/>
        </w:rPr>
        <w:t>tonnes</w:t>
      </w:r>
      <w:proofErr w:type="spellEnd"/>
      <w:r w:rsidRPr="007F696F">
        <w:rPr>
          <w:rFonts w:ascii="Arial" w:eastAsia="Times New Roman" w:hAnsi="Arial" w:cs="Arial"/>
          <w:sz w:val="20"/>
          <w:szCs w:val="18"/>
        </w:rPr>
        <w:t xml:space="preserve">, much higher than unorganized units 1.91 </w:t>
      </w:r>
      <w:proofErr w:type="spellStart"/>
      <w:r w:rsidRPr="007F696F">
        <w:rPr>
          <w:rFonts w:ascii="Arial" w:eastAsia="Times New Roman" w:hAnsi="Arial" w:cs="Arial"/>
          <w:sz w:val="20"/>
          <w:szCs w:val="18"/>
        </w:rPr>
        <w:t>tonnes</w:t>
      </w:r>
      <w:proofErr w:type="spellEnd"/>
      <w:r w:rsidRPr="007F696F">
        <w:rPr>
          <w:rFonts w:ascii="Arial" w:eastAsia="Times New Roman" w:hAnsi="Arial" w:cs="Arial"/>
          <w:sz w:val="20"/>
          <w:szCs w:val="18"/>
        </w:rPr>
        <w:t xml:space="preserve">, yet both operate well above these levels, with actual production at 250 </w:t>
      </w:r>
      <w:proofErr w:type="spellStart"/>
      <w:r w:rsidRPr="007F696F">
        <w:rPr>
          <w:rFonts w:ascii="Arial" w:eastAsia="Times New Roman" w:hAnsi="Arial" w:cs="Arial"/>
          <w:sz w:val="20"/>
          <w:szCs w:val="18"/>
        </w:rPr>
        <w:t>tonnes</w:t>
      </w:r>
      <w:proofErr w:type="spellEnd"/>
      <w:r w:rsidRPr="007F696F">
        <w:rPr>
          <w:rFonts w:ascii="Arial" w:eastAsia="Times New Roman" w:hAnsi="Arial" w:cs="Arial"/>
          <w:sz w:val="20"/>
          <w:szCs w:val="18"/>
        </w:rPr>
        <w:t xml:space="preserve"> for organized and 85 </w:t>
      </w:r>
      <w:proofErr w:type="spellStart"/>
      <w:r w:rsidRPr="007F696F">
        <w:rPr>
          <w:rFonts w:ascii="Arial" w:eastAsia="Times New Roman" w:hAnsi="Arial" w:cs="Arial"/>
          <w:sz w:val="20"/>
          <w:szCs w:val="18"/>
        </w:rPr>
        <w:t>tonnes</w:t>
      </w:r>
      <w:proofErr w:type="spellEnd"/>
      <w:r w:rsidRPr="007F696F">
        <w:rPr>
          <w:rFonts w:ascii="Arial" w:eastAsia="Times New Roman" w:hAnsi="Arial" w:cs="Arial"/>
          <w:sz w:val="20"/>
          <w:szCs w:val="18"/>
        </w:rPr>
        <w:t xml:space="preserve"> for unorganized units. This data underscores the profitability and economic feasibility of investing in turmeric processing units, particularly for larger, organized </w:t>
      </w:r>
      <w:proofErr w:type="spellStart"/>
      <w:proofErr w:type="gramStart"/>
      <w:r w:rsidRPr="007F696F">
        <w:rPr>
          <w:rFonts w:ascii="Arial" w:eastAsia="Times New Roman" w:hAnsi="Arial" w:cs="Arial"/>
          <w:sz w:val="20"/>
          <w:szCs w:val="18"/>
        </w:rPr>
        <w:t>units.Turmeric</w:t>
      </w:r>
      <w:proofErr w:type="spellEnd"/>
      <w:proofErr w:type="gramEnd"/>
      <w:r w:rsidRPr="007F696F">
        <w:rPr>
          <w:rFonts w:ascii="Arial" w:eastAsia="Times New Roman" w:hAnsi="Arial" w:cs="Arial"/>
          <w:sz w:val="20"/>
          <w:szCs w:val="18"/>
        </w:rPr>
        <w:t xml:space="preserve"> processing units in Guntur district face several challenges, including price fluctuations (77%), procurement fluctuations (70%), and lack of labor availability (65%). Other constraints include limited access to credit, inadequate storage facilities, lack of skilled labor. Marketing challenges primarily involve numerous intermediaries (86%), market competition (83%), demand fluctuations (82%), and high transportation costs (65%).</w:t>
      </w:r>
    </w:p>
    <w:p w14:paraId="60444B0C" w14:textId="77777777" w:rsidR="00E85CE4" w:rsidRDefault="00E85CE4" w:rsidP="0055419F">
      <w:pPr>
        <w:jc w:val="both"/>
        <w:rPr>
          <w:rFonts w:ascii="Arial" w:eastAsia="Times New Roman" w:hAnsi="Arial" w:cs="Arial"/>
          <w:sz w:val="27"/>
          <w:szCs w:val="24"/>
        </w:rPr>
      </w:pPr>
    </w:p>
    <w:p w14:paraId="36FFFF93" w14:textId="77777777" w:rsidR="00C845A2" w:rsidRDefault="00C845A2" w:rsidP="0055419F">
      <w:pPr>
        <w:jc w:val="both"/>
        <w:rPr>
          <w:rFonts w:ascii="Arial" w:eastAsia="Times New Roman" w:hAnsi="Arial" w:cs="Arial"/>
          <w:sz w:val="27"/>
          <w:szCs w:val="24"/>
        </w:rPr>
      </w:pPr>
    </w:p>
    <w:p w14:paraId="15FC79AE" w14:textId="77777777" w:rsidR="00C845A2" w:rsidRDefault="00C845A2" w:rsidP="0055419F">
      <w:pPr>
        <w:jc w:val="both"/>
        <w:rPr>
          <w:rFonts w:ascii="Arial" w:eastAsia="Times New Roman" w:hAnsi="Arial" w:cs="Arial"/>
          <w:sz w:val="27"/>
          <w:szCs w:val="24"/>
        </w:rPr>
      </w:pPr>
    </w:p>
    <w:p w14:paraId="11D4C26F" w14:textId="77777777" w:rsidR="00C845A2" w:rsidRPr="007F696F" w:rsidRDefault="00C845A2" w:rsidP="0055419F">
      <w:pPr>
        <w:jc w:val="both"/>
        <w:rPr>
          <w:rFonts w:ascii="Arial" w:eastAsia="Times New Roman" w:hAnsi="Arial" w:cs="Arial"/>
          <w:sz w:val="27"/>
          <w:szCs w:val="24"/>
        </w:rPr>
      </w:pPr>
    </w:p>
    <w:p w14:paraId="2A33D4F9" w14:textId="77777777" w:rsidR="00D159CC" w:rsidRPr="007F696F" w:rsidRDefault="00D159CC" w:rsidP="00371CF1">
      <w:pPr>
        <w:rPr>
          <w:rFonts w:ascii="Arial" w:eastAsia="Times New Roman" w:hAnsi="Arial" w:cs="Arial"/>
          <w:b/>
          <w:bCs/>
          <w:szCs w:val="20"/>
        </w:rPr>
      </w:pPr>
      <w:r w:rsidRPr="007F696F">
        <w:rPr>
          <w:rFonts w:ascii="Arial" w:eastAsia="Times New Roman" w:hAnsi="Arial" w:cs="Arial"/>
          <w:b/>
          <w:bCs/>
          <w:szCs w:val="20"/>
        </w:rPr>
        <w:lastRenderedPageBreak/>
        <w:t>REFERENCES</w:t>
      </w:r>
    </w:p>
    <w:p w14:paraId="217E1439" w14:textId="77777777" w:rsidR="0055419F" w:rsidRPr="007F696F" w:rsidRDefault="0055419F" w:rsidP="00D159CC">
      <w:pPr>
        <w:widowControl w:val="0"/>
        <w:autoSpaceDE w:val="0"/>
        <w:autoSpaceDN w:val="0"/>
        <w:spacing w:line="288" w:lineRule="auto"/>
        <w:ind w:left="1080" w:hanging="1080"/>
        <w:jc w:val="both"/>
        <w:rPr>
          <w:rFonts w:ascii="Arial" w:eastAsia="Times New Roman" w:hAnsi="Arial" w:cs="Arial"/>
          <w:sz w:val="20"/>
          <w:szCs w:val="18"/>
        </w:rPr>
      </w:pPr>
      <w:r w:rsidRPr="007F696F">
        <w:rPr>
          <w:rFonts w:ascii="Arial" w:eastAsia="Times New Roman" w:hAnsi="Arial" w:cs="Arial"/>
          <w:sz w:val="20"/>
          <w:szCs w:val="18"/>
        </w:rPr>
        <w:t xml:space="preserve">BM, N., </w:t>
      </w:r>
      <w:proofErr w:type="spellStart"/>
      <w:r w:rsidRPr="007F696F">
        <w:rPr>
          <w:rFonts w:ascii="Arial" w:eastAsia="Times New Roman" w:hAnsi="Arial" w:cs="Arial"/>
          <w:sz w:val="20"/>
          <w:szCs w:val="18"/>
        </w:rPr>
        <w:t>Vedamurthy</w:t>
      </w:r>
      <w:proofErr w:type="spellEnd"/>
      <w:r w:rsidRPr="007F696F">
        <w:rPr>
          <w:rFonts w:ascii="Arial" w:eastAsia="Times New Roman" w:hAnsi="Arial" w:cs="Arial"/>
          <w:sz w:val="20"/>
          <w:szCs w:val="18"/>
        </w:rPr>
        <w:t xml:space="preserve">, K.B. and MN, V., 2024. Economic Analysis of Cost and Returns in Turmeric Production and Processing in the Chamarajanagar District of Karnataka, India. </w:t>
      </w:r>
      <w:r w:rsidRPr="007F696F">
        <w:rPr>
          <w:rFonts w:ascii="Arial" w:eastAsia="Times New Roman" w:hAnsi="Arial" w:cs="Arial"/>
          <w:i/>
          <w:iCs/>
          <w:sz w:val="20"/>
          <w:szCs w:val="18"/>
        </w:rPr>
        <w:t>Journal of Scientific Research and Reports</w:t>
      </w:r>
      <w:r w:rsidRPr="007F696F">
        <w:rPr>
          <w:rFonts w:ascii="Arial" w:eastAsia="Times New Roman" w:hAnsi="Arial" w:cs="Arial"/>
          <w:sz w:val="20"/>
          <w:szCs w:val="18"/>
        </w:rPr>
        <w:t>, 30(5): 570-579.</w:t>
      </w:r>
    </w:p>
    <w:p w14:paraId="7CDA9849" w14:textId="77777777" w:rsidR="0055419F" w:rsidRPr="007F696F" w:rsidRDefault="0055419F" w:rsidP="00D159CC">
      <w:pPr>
        <w:spacing w:line="288" w:lineRule="auto"/>
        <w:ind w:left="1080" w:hanging="1080"/>
        <w:jc w:val="both"/>
        <w:rPr>
          <w:rFonts w:ascii="Arial" w:eastAsia="Calibri" w:hAnsi="Arial" w:cs="Arial"/>
          <w:sz w:val="20"/>
          <w:szCs w:val="18"/>
        </w:rPr>
      </w:pPr>
      <w:proofErr w:type="spellStart"/>
      <w:r w:rsidRPr="007F696F">
        <w:rPr>
          <w:rFonts w:ascii="Arial" w:eastAsia="Calibri" w:hAnsi="Arial" w:cs="Arial"/>
          <w:sz w:val="20"/>
          <w:szCs w:val="18"/>
        </w:rPr>
        <w:t>Borbaruah</w:t>
      </w:r>
      <w:proofErr w:type="spellEnd"/>
      <w:r w:rsidRPr="007F696F">
        <w:rPr>
          <w:rFonts w:ascii="Arial" w:eastAsia="Calibri" w:hAnsi="Arial" w:cs="Arial"/>
          <w:sz w:val="20"/>
          <w:szCs w:val="18"/>
        </w:rPr>
        <w:t>, N. and Barman, R.N., 2023. The Production and Marketing Constraints Faced by Ginger and. </w:t>
      </w:r>
      <w:r w:rsidRPr="007F696F">
        <w:rPr>
          <w:rFonts w:ascii="Arial" w:eastAsia="Calibri" w:hAnsi="Arial" w:cs="Arial"/>
          <w:i/>
          <w:iCs/>
          <w:sz w:val="20"/>
          <w:szCs w:val="18"/>
        </w:rPr>
        <w:t>Asian Journal Agriculture. Ext. Econ. Soc</w:t>
      </w:r>
      <w:r w:rsidRPr="007F696F">
        <w:rPr>
          <w:rFonts w:ascii="Arial" w:eastAsia="Calibri" w:hAnsi="Arial" w:cs="Arial"/>
          <w:sz w:val="20"/>
          <w:szCs w:val="18"/>
        </w:rPr>
        <w:t>, </w:t>
      </w:r>
      <w:r w:rsidRPr="007F696F">
        <w:rPr>
          <w:rFonts w:ascii="Arial" w:eastAsia="Calibri" w:hAnsi="Arial" w:cs="Arial"/>
          <w:i/>
          <w:iCs/>
          <w:sz w:val="20"/>
          <w:szCs w:val="18"/>
        </w:rPr>
        <w:t>41</w:t>
      </w:r>
      <w:r w:rsidRPr="007F696F">
        <w:rPr>
          <w:rFonts w:ascii="Arial" w:eastAsia="Calibri" w:hAnsi="Arial" w:cs="Arial"/>
          <w:sz w:val="20"/>
          <w:szCs w:val="18"/>
        </w:rPr>
        <w:t>(9): 398-403.</w:t>
      </w:r>
    </w:p>
    <w:p w14:paraId="69111098" w14:textId="77777777" w:rsidR="0055419F" w:rsidRPr="007F696F" w:rsidRDefault="0055419F" w:rsidP="00D159CC">
      <w:pPr>
        <w:spacing w:line="288" w:lineRule="auto"/>
        <w:ind w:left="1080" w:hanging="1080"/>
        <w:jc w:val="both"/>
        <w:rPr>
          <w:rFonts w:ascii="Arial" w:eastAsia="Calibri" w:hAnsi="Arial" w:cs="Arial"/>
          <w:sz w:val="20"/>
          <w:szCs w:val="18"/>
        </w:rPr>
      </w:pPr>
      <w:r w:rsidRPr="007F696F">
        <w:rPr>
          <w:rFonts w:ascii="Arial" w:eastAsia="Calibri" w:hAnsi="Arial" w:cs="Arial"/>
          <w:sz w:val="20"/>
          <w:szCs w:val="18"/>
        </w:rPr>
        <w:t xml:space="preserve">Devi, G. and </w:t>
      </w:r>
      <w:proofErr w:type="spellStart"/>
      <w:r w:rsidRPr="007F696F">
        <w:rPr>
          <w:rFonts w:ascii="Arial" w:eastAsia="Calibri" w:hAnsi="Arial" w:cs="Arial"/>
          <w:sz w:val="20"/>
          <w:szCs w:val="18"/>
        </w:rPr>
        <w:t>Bhoi</w:t>
      </w:r>
      <w:proofErr w:type="spellEnd"/>
      <w:r w:rsidRPr="007F696F">
        <w:rPr>
          <w:rFonts w:ascii="Arial" w:eastAsia="Calibri" w:hAnsi="Arial" w:cs="Arial"/>
          <w:sz w:val="20"/>
          <w:szCs w:val="18"/>
        </w:rPr>
        <w:t>, R., 2022. Economic impact of turmeric processing in middle Gujarat. </w:t>
      </w:r>
      <w:r w:rsidRPr="007F696F">
        <w:rPr>
          <w:rFonts w:ascii="Arial" w:eastAsia="Calibri" w:hAnsi="Arial" w:cs="Arial"/>
          <w:i/>
          <w:iCs/>
          <w:sz w:val="20"/>
          <w:szCs w:val="18"/>
        </w:rPr>
        <w:t>Indian Journal of Economics and Development</w:t>
      </w:r>
      <w:r w:rsidRPr="007F696F">
        <w:rPr>
          <w:rFonts w:ascii="Arial" w:eastAsia="Calibri" w:hAnsi="Arial" w:cs="Arial"/>
          <w:sz w:val="20"/>
          <w:szCs w:val="18"/>
        </w:rPr>
        <w:t>, </w:t>
      </w:r>
      <w:r w:rsidRPr="007F696F">
        <w:rPr>
          <w:rFonts w:ascii="Arial" w:eastAsia="Calibri" w:hAnsi="Arial" w:cs="Arial"/>
          <w:i/>
          <w:iCs/>
          <w:sz w:val="20"/>
          <w:szCs w:val="18"/>
        </w:rPr>
        <w:t>18</w:t>
      </w:r>
      <w:r w:rsidRPr="007F696F">
        <w:rPr>
          <w:rFonts w:ascii="Arial" w:eastAsia="Calibri" w:hAnsi="Arial" w:cs="Arial"/>
          <w:sz w:val="20"/>
          <w:szCs w:val="18"/>
        </w:rPr>
        <w:t>(2): 303-312.</w:t>
      </w:r>
    </w:p>
    <w:p w14:paraId="4EB67C99" w14:textId="77777777" w:rsidR="0055419F" w:rsidRPr="007F696F" w:rsidRDefault="0055419F" w:rsidP="00D159CC">
      <w:pPr>
        <w:spacing w:line="288" w:lineRule="auto"/>
        <w:ind w:left="1080" w:hanging="1080"/>
        <w:jc w:val="both"/>
        <w:rPr>
          <w:rFonts w:ascii="Arial" w:eastAsia="Calibri" w:hAnsi="Arial" w:cs="Arial"/>
          <w:sz w:val="20"/>
          <w:szCs w:val="18"/>
        </w:rPr>
      </w:pPr>
      <w:proofErr w:type="spellStart"/>
      <w:r w:rsidRPr="007F696F">
        <w:rPr>
          <w:rFonts w:ascii="Arial" w:eastAsia="Calibri" w:hAnsi="Arial" w:cs="Arial"/>
          <w:sz w:val="20"/>
          <w:szCs w:val="18"/>
        </w:rPr>
        <w:t>Govindasamy</w:t>
      </w:r>
      <w:proofErr w:type="spellEnd"/>
      <w:r w:rsidRPr="007F696F">
        <w:rPr>
          <w:rFonts w:ascii="Arial" w:eastAsia="Calibri" w:hAnsi="Arial" w:cs="Arial"/>
          <w:sz w:val="20"/>
          <w:szCs w:val="18"/>
        </w:rPr>
        <w:t xml:space="preserve">, R., Das, D.S. and </w:t>
      </w:r>
      <w:proofErr w:type="spellStart"/>
      <w:r w:rsidRPr="007F696F">
        <w:rPr>
          <w:rFonts w:ascii="Arial" w:eastAsia="Calibri" w:hAnsi="Arial" w:cs="Arial"/>
          <w:sz w:val="20"/>
          <w:szCs w:val="18"/>
        </w:rPr>
        <w:t>Tamilarasi</w:t>
      </w:r>
      <w:proofErr w:type="spellEnd"/>
      <w:r w:rsidRPr="007F696F">
        <w:rPr>
          <w:rFonts w:ascii="Arial" w:eastAsia="Calibri" w:hAnsi="Arial" w:cs="Arial"/>
          <w:sz w:val="20"/>
          <w:szCs w:val="18"/>
        </w:rPr>
        <w:t xml:space="preserve">, R., 2021. An Economic Analysis on Turmeric Cultivation in Coimbatore District of </w:t>
      </w:r>
      <w:proofErr w:type="spellStart"/>
      <w:r w:rsidRPr="007F696F">
        <w:rPr>
          <w:rFonts w:ascii="Arial" w:eastAsia="Calibri" w:hAnsi="Arial" w:cs="Arial"/>
          <w:sz w:val="20"/>
          <w:szCs w:val="18"/>
        </w:rPr>
        <w:t>Tamilnadu</w:t>
      </w:r>
      <w:proofErr w:type="spellEnd"/>
      <w:r w:rsidRPr="007F696F">
        <w:rPr>
          <w:rFonts w:ascii="Arial" w:eastAsia="Calibri" w:hAnsi="Arial" w:cs="Arial"/>
          <w:sz w:val="20"/>
          <w:szCs w:val="18"/>
        </w:rPr>
        <w:t>. </w:t>
      </w:r>
      <w:proofErr w:type="spellStart"/>
      <w:r w:rsidRPr="007F696F">
        <w:rPr>
          <w:rFonts w:ascii="Arial" w:eastAsia="Calibri" w:hAnsi="Arial" w:cs="Arial"/>
          <w:sz w:val="20"/>
          <w:szCs w:val="18"/>
        </w:rPr>
        <w:t>Shanlax</w:t>
      </w:r>
      <w:r w:rsidRPr="007F696F">
        <w:rPr>
          <w:rFonts w:ascii="Arial" w:eastAsia="Calibri" w:hAnsi="Arial" w:cs="Arial"/>
          <w:i/>
          <w:iCs/>
          <w:sz w:val="20"/>
          <w:szCs w:val="18"/>
        </w:rPr>
        <w:t>International</w:t>
      </w:r>
      <w:proofErr w:type="spellEnd"/>
      <w:r w:rsidRPr="007F696F">
        <w:rPr>
          <w:rFonts w:ascii="Arial" w:eastAsia="Calibri" w:hAnsi="Arial" w:cs="Arial"/>
          <w:i/>
          <w:iCs/>
          <w:sz w:val="20"/>
          <w:szCs w:val="18"/>
        </w:rPr>
        <w:t xml:space="preserve"> Journal of </w:t>
      </w:r>
      <w:proofErr w:type="spellStart"/>
      <w:r w:rsidRPr="007F696F">
        <w:rPr>
          <w:rFonts w:ascii="Arial" w:eastAsia="Calibri" w:hAnsi="Arial" w:cs="Arial"/>
          <w:i/>
          <w:iCs/>
          <w:sz w:val="20"/>
          <w:szCs w:val="18"/>
        </w:rPr>
        <w:t>Economcis</w:t>
      </w:r>
      <w:proofErr w:type="spellEnd"/>
      <w:r w:rsidRPr="007F696F">
        <w:rPr>
          <w:rFonts w:ascii="Arial" w:eastAsia="Calibri" w:hAnsi="Arial" w:cs="Arial"/>
          <w:sz w:val="20"/>
          <w:szCs w:val="18"/>
        </w:rPr>
        <w:t>, </w:t>
      </w:r>
      <w:r w:rsidRPr="007F696F">
        <w:rPr>
          <w:rFonts w:ascii="Arial" w:eastAsia="Calibri" w:hAnsi="Arial" w:cs="Arial"/>
          <w:i/>
          <w:iCs/>
          <w:sz w:val="20"/>
          <w:szCs w:val="18"/>
        </w:rPr>
        <w:t>9</w:t>
      </w:r>
      <w:r w:rsidRPr="007F696F">
        <w:rPr>
          <w:rFonts w:ascii="Arial" w:eastAsia="Calibri" w:hAnsi="Arial" w:cs="Arial"/>
          <w:sz w:val="20"/>
          <w:szCs w:val="18"/>
        </w:rPr>
        <w:t>(2): 59-65.</w:t>
      </w:r>
    </w:p>
    <w:p w14:paraId="49D6CA34" w14:textId="77777777" w:rsidR="0055419F" w:rsidRPr="007F696F" w:rsidRDefault="0055419F" w:rsidP="00D159CC">
      <w:pPr>
        <w:spacing w:line="288" w:lineRule="auto"/>
        <w:ind w:left="1080" w:hanging="1080"/>
        <w:jc w:val="both"/>
        <w:rPr>
          <w:rFonts w:ascii="Arial" w:eastAsia="Calibri" w:hAnsi="Arial" w:cs="Arial"/>
          <w:sz w:val="20"/>
          <w:szCs w:val="18"/>
        </w:rPr>
      </w:pPr>
      <w:r w:rsidRPr="007F696F">
        <w:rPr>
          <w:rFonts w:ascii="Arial" w:eastAsia="Calibri" w:hAnsi="Arial" w:cs="Arial"/>
          <w:sz w:val="20"/>
          <w:szCs w:val="18"/>
        </w:rPr>
        <w:t xml:space="preserve">Kumar, S.P., </w:t>
      </w:r>
      <w:proofErr w:type="spellStart"/>
      <w:r w:rsidRPr="007F696F">
        <w:rPr>
          <w:rFonts w:ascii="Arial" w:eastAsia="Calibri" w:hAnsi="Arial" w:cs="Arial"/>
          <w:sz w:val="20"/>
          <w:szCs w:val="18"/>
        </w:rPr>
        <w:t>Muthulakshmi</w:t>
      </w:r>
      <w:proofErr w:type="spellEnd"/>
      <w:r w:rsidRPr="007F696F">
        <w:rPr>
          <w:rFonts w:ascii="Arial" w:eastAsia="Calibri" w:hAnsi="Arial" w:cs="Arial"/>
          <w:sz w:val="20"/>
          <w:szCs w:val="18"/>
        </w:rPr>
        <w:t xml:space="preserve">, K and </w:t>
      </w:r>
      <w:proofErr w:type="spellStart"/>
      <w:r w:rsidRPr="007F696F">
        <w:rPr>
          <w:rFonts w:ascii="Arial" w:eastAsia="Calibri" w:hAnsi="Arial" w:cs="Arial"/>
          <w:sz w:val="20"/>
          <w:szCs w:val="18"/>
        </w:rPr>
        <w:t>Rengaraju</w:t>
      </w:r>
      <w:proofErr w:type="spellEnd"/>
      <w:r w:rsidRPr="007F696F">
        <w:rPr>
          <w:rFonts w:ascii="Arial" w:eastAsia="Calibri" w:hAnsi="Arial" w:cs="Arial"/>
          <w:sz w:val="20"/>
          <w:szCs w:val="18"/>
        </w:rPr>
        <w:t xml:space="preserve">, R. 2023. Cost and returns analysis of turmeric production in </w:t>
      </w:r>
      <w:proofErr w:type="spellStart"/>
      <w:r w:rsidRPr="007F696F">
        <w:rPr>
          <w:rFonts w:ascii="Arial" w:eastAsia="Calibri" w:hAnsi="Arial" w:cs="Arial"/>
          <w:sz w:val="20"/>
          <w:szCs w:val="18"/>
        </w:rPr>
        <w:t>Kodumudi</w:t>
      </w:r>
      <w:proofErr w:type="spellEnd"/>
      <w:r w:rsidRPr="007F696F">
        <w:rPr>
          <w:rFonts w:ascii="Arial" w:eastAsia="Calibri" w:hAnsi="Arial" w:cs="Arial"/>
          <w:sz w:val="20"/>
          <w:szCs w:val="18"/>
        </w:rPr>
        <w:t xml:space="preserve"> block of Erode District from Tamil Nadu, India. </w:t>
      </w:r>
      <w:r w:rsidRPr="007F696F">
        <w:rPr>
          <w:rFonts w:ascii="Arial" w:eastAsia="Calibri" w:hAnsi="Arial" w:cs="Arial"/>
          <w:i/>
          <w:iCs/>
          <w:sz w:val="20"/>
          <w:szCs w:val="18"/>
        </w:rPr>
        <w:t>Journal of Experimental Agriculture International</w:t>
      </w:r>
      <w:r w:rsidRPr="007F696F">
        <w:rPr>
          <w:rFonts w:ascii="Arial" w:eastAsia="Calibri" w:hAnsi="Arial" w:cs="Arial"/>
          <w:sz w:val="20"/>
          <w:szCs w:val="18"/>
        </w:rPr>
        <w:t>. 45(3): 11-14.</w:t>
      </w:r>
    </w:p>
    <w:p w14:paraId="501817D0" w14:textId="77777777" w:rsidR="0055419F" w:rsidRPr="007F696F" w:rsidRDefault="0055419F" w:rsidP="00D159CC">
      <w:pPr>
        <w:spacing w:line="288" w:lineRule="auto"/>
        <w:ind w:left="1080" w:hanging="1080"/>
        <w:jc w:val="both"/>
        <w:rPr>
          <w:rFonts w:ascii="Arial" w:eastAsia="Calibri" w:hAnsi="Arial" w:cs="Arial"/>
          <w:sz w:val="20"/>
          <w:szCs w:val="18"/>
        </w:rPr>
      </w:pPr>
      <w:r w:rsidRPr="007F696F">
        <w:rPr>
          <w:rFonts w:ascii="Arial" w:eastAsia="Calibri" w:hAnsi="Arial" w:cs="Arial"/>
          <w:sz w:val="20"/>
          <w:szCs w:val="18"/>
        </w:rPr>
        <w:t xml:space="preserve">Lokesh, </w:t>
      </w:r>
      <w:proofErr w:type="spellStart"/>
      <w:proofErr w:type="gramStart"/>
      <w:r w:rsidRPr="007F696F">
        <w:rPr>
          <w:rFonts w:ascii="Arial" w:eastAsia="Calibri" w:hAnsi="Arial" w:cs="Arial"/>
          <w:sz w:val="20"/>
          <w:szCs w:val="18"/>
        </w:rPr>
        <w:t>G.BandChandrakanth</w:t>
      </w:r>
      <w:proofErr w:type="spellEnd"/>
      <w:proofErr w:type="gramEnd"/>
      <w:r w:rsidRPr="007F696F">
        <w:rPr>
          <w:rFonts w:ascii="Arial" w:eastAsia="Calibri" w:hAnsi="Arial" w:cs="Arial"/>
          <w:sz w:val="20"/>
          <w:szCs w:val="18"/>
        </w:rPr>
        <w:t xml:space="preserve">, M.G. 2004. Economics of production, marketing and processing of turmeric in Karnataka. </w:t>
      </w:r>
      <w:r w:rsidRPr="007F696F">
        <w:rPr>
          <w:rFonts w:ascii="Arial" w:eastAsia="Calibri" w:hAnsi="Arial" w:cs="Arial"/>
          <w:i/>
          <w:iCs/>
          <w:sz w:val="20"/>
          <w:szCs w:val="18"/>
        </w:rPr>
        <w:t>Indian Journal of Agricultural Marketing</w:t>
      </w:r>
      <w:r w:rsidRPr="007F696F">
        <w:rPr>
          <w:rFonts w:ascii="Arial" w:eastAsia="Calibri" w:hAnsi="Arial" w:cs="Arial"/>
          <w:sz w:val="20"/>
          <w:szCs w:val="18"/>
        </w:rPr>
        <w:t>. 18(2):32-39.</w:t>
      </w:r>
    </w:p>
    <w:p w14:paraId="4756681E" w14:textId="77777777" w:rsidR="0055419F" w:rsidRPr="007F696F" w:rsidRDefault="0055419F" w:rsidP="00D159CC">
      <w:pPr>
        <w:spacing w:line="288" w:lineRule="auto"/>
        <w:ind w:left="1080" w:hanging="1080"/>
        <w:jc w:val="both"/>
        <w:rPr>
          <w:rFonts w:ascii="Arial" w:eastAsia="Calibri" w:hAnsi="Arial" w:cs="Arial"/>
          <w:sz w:val="20"/>
          <w:szCs w:val="18"/>
        </w:rPr>
      </w:pPr>
      <w:r w:rsidRPr="007F696F">
        <w:rPr>
          <w:rFonts w:ascii="Arial" w:eastAsia="Calibri" w:hAnsi="Arial" w:cs="Arial"/>
          <w:sz w:val="20"/>
          <w:szCs w:val="18"/>
        </w:rPr>
        <w:t>Malik, S.H and Saraf, S.A. 2013. Economic analysis of processing of Guava (</w:t>
      </w:r>
      <w:proofErr w:type="spellStart"/>
      <w:r w:rsidRPr="007F696F">
        <w:rPr>
          <w:rFonts w:ascii="Arial" w:eastAsia="Calibri" w:hAnsi="Arial" w:cs="Arial"/>
          <w:i/>
          <w:iCs/>
          <w:sz w:val="20"/>
          <w:szCs w:val="18"/>
        </w:rPr>
        <w:t>Psydiumguajava</w:t>
      </w:r>
      <w:proofErr w:type="spellEnd"/>
      <w:r w:rsidRPr="007F696F">
        <w:rPr>
          <w:rFonts w:ascii="Arial" w:eastAsia="Calibri" w:hAnsi="Arial" w:cs="Arial"/>
          <w:sz w:val="20"/>
          <w:szCs w:val="18"/>
        </w:rPr>
        <w:t xml:space="preserve"> L.) in Uttar Pradesh state of India. </w:t>
      </w:r>
      <w:r w:rsidRPr="007F696F">
        <w:rPr>
          <w:rFonts w:ascii="Arial" w:eastAsia="Calibri" w:hAnsi="Arial" w:cs="Arial"/>
          <w:i/>
          <w:iCs/>
          <w:sz w:val="20"/>
          <w:szCs w:val="18"/>
        </w:rPr>
        <w:t>Journal of Agricultural Science</w:t>
      </w:r>
      <w:r w:rsidRPr="007F696F">
        <w:rPr>
          <w:rFonts w:ascii="Arial" w:eastAsia="Calibri" w:hAnsi="Arial" w:cs="Arial"/>
          <w:sz w:val="20"/>
          <w:szCs w:val="18"/>
        </w:rPr>
        <w:t>. 5(6):44.</w:t>
      </w:r>
    </w:p>
    <w:p w14:paraId="58E533C5" w14:textId="77777777" w:rsidR="0055419F" w:rsidRPr="007F696F" w:rsidRDefault="0055419F" w:rsidP="00D159CC">
      <w:pPr>
        <w:spacing w:line="288" w:lineRule="auto"/>
        <w:ind w:left="1080" w:hanging="1080"/>
        <w:jc w:val="both"/>
        <w:rPr>
          <w:rFonts w:ascii="Arial" w:eastAsia="Calibri" w:hAnsi="Arial" w:cs="Arial"/>
          <w:sz w:val="20"/>
          <w:szCs w:val="18"/>
        </w:rPr>
      </w:pPr>
      <w:proofErr w:type="spellStart"/>
      <w:r w:rsidRPr="007F696F">
        <w:rPr>
          <w:rFonts w:ascii="Arial" w:eastAsia="Calibri" w:hAnsi="Arial" w:cs="Arial"/>
          <w:sz w:val="20"/>
          <w:szCs w:val="18"/>
        </w:rPr>
        <w:t>Papang</w:t>
      </w:r>
      <w:proofErr w:type="spellEnd"/>
      <w:r w:rsidRPr="007F696F">
        <w:rPr>
          <w:rFonts w:ascii="Arial" w:eastAsia="Calibri" w:hAnsi="Arial" w:cs="Arial"/>
          <w:sz w:val="20"/>
          <w:szCs w:val="18"/>
        </w:rPr>
        <w:t>, J.S and Tripathi, A.K. 2014. Costs and returns structure of turmeric (</w:t>
      </w:r>
      <w:r w:rsidRPr="007F696F">
        <w:rPr>
          <w:rFonts w:ascii="Arial" w:eastAsia="Calibri" w:hAnsi="Arial" w:cs="Arial"/>
          <w:i/>
          <w:iCs/>
          <w:sz w:val="20"/>
          <w:szCs w:val="18"/>
        </w:rPr>
        <w:t xml:space="preserve">Curcuma </w:t>
      </w:r>
      <w:proofErr w:type="spellStart"/>
      <w:r w:rsidRPr="007F696F">
        <w:rPr>
          <w:rFonts w:ascii="Arial" w:eastAsia="Calibri" w:hAnsi="Arial" w:cs="Arial"/>
          <w:i/>
          <w:iCs/>
          <w:sz w:val="20"/>
          <w:szCs w:val="18"/>
        </w:rPr>
        <w:t>longa</w:t>
      </w:r>
      <w:r w:rsidRPr="007F696F">
        <w:rPr>
          <w:rFonts w:ascii="Arial" w:eastAsia="Calibri" w:hAnsi="Arial" w:cs="Arial"/>
          <w:sz w:val="20"/>
          <w:szCs w:val="18"/>
        </w:rPr>
        <w:t>linn</w:t>
      </w:r>
      <w:proofErr w:type="spellEnd"/>
      <w:r w:rsidRPr="007F696F">
        <w:rPr>
          <w:rFonts w:ascii="Arial" w:eastAsia="Calibri" w:hAnsi="Arial" w:cs="Arial"/>
          <w:sz w:val="20"/>
          <w:szCs w:val="18"/>
        </w:rPr>
        <w:t xml:space="preserve">.) and constraints faced by producers in </w:t>
      </w:r>
      <w:proofErr w:type="spellStart"/>
      <w:r w:rsidRPr="007F696F">
        <w:rPr>
          <w:rFonts w:ascii="Arial" w:eastAsia="Calibri" w:hAnsi="Arial" w:cs="Arial"/>
          <w:sz w:val="20"/>
          <w:szCs w:val="18"/>
        </w:rPr>
        <w:t>Jaintia</w:t>
      </w:r>
      <w:proofErr w:type="spellEnd"/>
      <w:r w:rsidRPr="007F696F">
        <w:rPr>
          <w:rFonts w:ascii="Arial" w:eastAsia="Calibri" w:hAnsi="Arial" w:cs="Arial"/>
          <w:sz w:val="20"/>
          <w:szCs w:val="18"/>
        </w:rPr>
        <w:t xml:space="preserve"> Hills district of Meghalaya, India. </w:t>
      </w:r>
      <w:r w:rsidRPr="007F696F">
        <w:rPr>
          <w:rFonts w:ascii="Arial" w:eastAsia="Calibri" w:hAnsi="Arial" w:cs="Arial"/>
          <w:i/>
          <w:iCs/>
          <w:sz w:val="20"/>
          <w:szCs w:val="18"/>
        </w:rPr>
        <w:t>Indian Journal of Agricultural Research</w:t>
      </w:r>
      <w:r w:rsidRPr="007F696F">
        <w:rPr>
          <w:rFonts w:ascii="Arial" w:eastAsia="Calibri" w:hAnsi="Arial" w:cs="Arial"/>
          <w:sz w:val="20"/>
          <w:szCs w:val="18"/>
        </w:rPr>
        <w:t>. 48(3): 192-198.</w:t>
      </w:r>
    </w:p>
    <w:p w14:paraId="6BFFE37B" w14:textId="77777777" w:rsidR="0055419F" w:rsidRPr="007F696F" w:rsidRDefault="0055419F" w:rsidP="00D159CC">
      <w:pPr>
        <w:spacing w:line="288" w:lineRule="auto"/>
        <w:ind w:left="1080" w:hanging="1080"/>
        <w:jc w:val="both"/>
        <w:rPr>
          <w:rFonts w:ascii="Arial" w:eastAsia="Calibri" w:hAnsi="Arial" w:cs="Arial"/>
          <w:sz w:val="20"/>
          <w:szCs w:val="18"/>
        </w:rPr>
      </w:pPr>
      <w:r w:rsidRPr="007F696F">
        <w:rPr>
          <w:rFonts w:ascii="Arial" w:eastAsia="Calibri" w:hAnsi="Arial" w:cs="Arial"/>
          <w:sz w:val="20"/>
          <w:szCs w:val="18"/>
        </w:rPr>
        <w:t xml:space="preserve">Sharma, B.B and Pandey, H.K. 2008. Economics of guava production and marketing: A case study. </w:t>
      </w:r>
      <w:r w:rsidRPr="007F696F">
        <w:rPr>
          <w:rFonts w:ascii="Arial" w:eastAsia="Calibri" w:hAnsi="Arial" w:cs="Arial"/>
          <w:i/>
          <w:sz w:val="20"/>
          <w:szCs w:val="18"/>
        </w:rPr>
        <w:t>Indian Horticulture</w:t>
      </w:r>
      <w:r w:rsidRPr="007F696F">
        <w:rPr>
          <w:rFonts w:ascii="Arial" w:eastAsia="Calibri" w:hAnsi="Arial" w:cs="Arial"/>
          <w:sz w:val="20"/>
          <w:szCs w:val="18"/>
        </w:rPr>
        <w:t>.</w:t>
      </w:r>
      <w:r w:rsidRPr="007F696F">
        <w:rPr>
          <w:rFonts w:ascii="Arial" w:eastAsia="Calibri" w:hAnsi="Arial" w:cs="Arial"/>
          <w:iCs/>
          <w:sz w:val="20"/>
          <w:szCs w:val="18"/>
        </w:rPr>
        <w:t>52(</w:t>
      </w:r>
      <w:r w:rsidRPr="007F696F">
        <w:rPr>
          <w:rFonts w:ascii="Arial" w:eastAsia="Calibri" w:hAnsi="Arial" w:cs="Arial"/>
          <w:sz w:val="20"/>
          <w:szCs w:val="18"/>
        </w:rPr>
        <w:t>3):12-16.</w:t>
      </w:r>
    </w:p>
    <w:p w14:paraId="52C6DA7F" w14:textId="77777777" w:rsidR="00D159CC" w:rsidRPr="007F696F" w:rsidRDefault="00D159CC" w:rsidP="00D159CC">
      <w:pPr>
        <w:spacing w:line="288" w:lineRule="auto"/>
        <w:ind w:left="1080" w:hanging="1080"/>
        <w:jc w:val="both"/>
        <w:rPr>
          <w:rFonts w:ascii="Arial" w:eastAsia="Calibri" w:hAnsi="Arial" w:cs="Arial"/>
          <w:sz w:val="27"/>
          <w:szCs w:val="24"/>
        </w:rPr>
      </w:pPr>
    </w:p>
    <w:p w14:paraId="31B91ADF" w14:textId="77777777" w:rsidR="00D159CC" w:rsidRPr="007F696F" w:rsidRDefault="00D159CC" w:rsidP="00371CF1">
      <w:pPr>
        <w:rPr>
          <w:rFonts w:ascii="Arial" w:eastAsia="Times New Roman" w:hAnsi="Arial" w:cs="Arial"/>
          <w:sz w:val="27"/>
          <w:szCs w:val="24"/>
        </w:rPr>
      </w:pPr>
    </w:p>
    <w:p w14:paraId="2548A399" w14:textId="77777777" w:rsidR="00D159CC" w:rsidRPr="007F696F" w:rsidRDefault="00D159CC" w:rsidP="00371CF1">
      <w:pPr>
        <w:rPr>
          <w:rFonts w:ascii="Arial" w:eastAsia="Times New Roman" w:hAnsi="Arial" w:cs="Arial"/>
          <w:b/>
          <w:bCs/>
          <w:sz w:val="27"/>
          <w:szCs w:val="24"/>
        </w:rPr>
      </w:pPr>
    </w:p>
    <w:sectPr w:rsidR="00D159CC" w:rsidRPr="007F696F" w:rsidSect="00DB0386">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6899C" w14:textId="77777777" w:rsidR="00802ACF" w:rsidRDefault="00802ACF" w:rsidP="00516BE9">
      <w:pPr>
        <w:spacing w:after="0" w:line="240" w:lineRule="auto"/>
      </w:pPr>
      <w:r>
        <w:separator/>
      </w:r>
    </w:p>
  </w:endnote>
  <w:endnote w:type="continuationSeparator" w:id="0">
    <w:p w14:paraId="2F3C3138" w14:textId="77777777" w:rsidR="00802ACF" w:rsidRDefault="00802ACF" w:rsidP="00516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Gautami">
    <w:altName w:val="Gautami"/>
    <w:panose1 w:val="02000500000000000000"/>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4AF51" w14:textId="77777777" w:rsidR="005825BE" w:rsidRDefault="005825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0ADAD" w14:textId="77777777" w:rsidR="005825BE" w:rsidRDefault="005825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8D6CB" w14:textId="77777777" w:rsidR="005825BE" w:rsidRDefault="00582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F39DA" w14:textId="77777777" w:rsidR="00802ACF" w:rsidRDefault="00802ACF" w:rsidP="00516BE9">
      <w:pPr>
        <w:spacing w:after="0" w:line="240" w:lineRule="auto"/>
      </w:pPr>
      <w:r>
        <w:separator/>
      </w:r>
    </w:p>
  </w:footnote>
  <w:footnote w:type="continuationSeparator" w:id="0">
    <w:p w14:paraId="26C6F876" w14:textId="77777777" w:rsidR="00802ACF" w:rsidRDefault="00802ACF" w:rsidP="00516B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D5D84" w14:textId="425A6D42" w:rsidR="005825BE" w:rsidRDefault="005825BE">
    <w:pPr>
      <w:pStyle w:val="Header"/>
    </w:pPr>
    <w:r>
      <w:rPr>
        <w:noProof/>
      </w:rPr>
      <w:pict w14:anchorId="207EFA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8154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33BCB" w14:textId="13CC6164" w:rsidR="005825BE" w:rsidRDefault="005825BE">
    <w:pPr>
      <w:pStyle w:val="Header"/>
    </w:pPr>
    <w:r>
      <w:rPr>
        <w:noProof/>
      </w:rPr>
      <w:pict w14:anchorId="539846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8154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79F8B" w14:textId="5E2616FD" w:rsidR="005825BE" w:rsidRDefault="005825BE">
    <w:pPr>
      <w:pStyle w:val="Header"/>
    </w:pPr>
    <w:r>
      <w:rPr>
        <w:noProof/>
      </w:rPr>
      <w:pict w14:anchorId="2764B9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8154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2777"/>
    <w:rsid w:val="000344DD"/>
    <w:rsid w:val="00100580"/>
    <w:rsid w:val="001864BD"/>
    <w:rsid w:val="001B73A5"/>
    <w:rsid w:val="002A6028"/>
    <w:rsid w:val="00317B96"/>
    <w:rsid w:val="00354C61"/>
    <w:rsid w:val="00355809"/>
    <w:rsid w:val="00371CF1"/>
    <w:rsid w:val="003E3C6F"/>
    <w:rsid w:val="00434B08"/>
    <w:rsid w:val="00487F6E"/>
    <w:rsid w:val="004E14F0"/>
    <w:rsid w:val="005051AF"/>
    <w:rsid w:val="00515234"/>
    <w:rsid w:val="00516BE9"/>
    <w:rsid w:val="0055419F"/>
    <w:rsid w:val="005825BE"/>
    <w:rsid w:val="00587A81"/>
    <w:rsid w:val="005C1A54"/>
    <w:rsid w:val="006248AC"/>
    <w:rsid w:val="00690EB4"/>
    <w:rsid w:val="007418F0"/>
    <w:rsid w:val="007958F3"/>
    <w:rsid w:val="007B7FA6"/>
    <w:rsid w:val="007C691A"/>
    <w:rsid w:val="007E05BE"/>
    <w:rsid w:val="007F4642"/>
    <w:rsid w:val="007F696F"/>
    <w:rsid w:val="00802ACF"/>
    <w:rsid w:val="0083531A"/>
    <w:rsid w:val="00893DB0"/>
    <w:rsid w:val="00996CF1"/>
    <w:rsid w:val="00A25E12"/>
    <w:rsid w:val="00A53379"/>
    <w:rsid w:val="00A955B1"/>
    <w:rsid w:val="00AD6CF7"/>
    <w:rsid w:val="00AF297A"/>
    <w:rsid w:val="00B440DB"/>
    <w:rsid w:val="00B82777"/>
    <w:rsid w:val="00B96D3F"/>
    <w:rsid w:val="00C00DF7"/>
    <w:rsid w:val="00C02C1A"/>
    <w:rsid w:val="00C137B1"/>
    <w:rsid w:val="00C21568"/>
    <w:rsid w:val="00C845A2"/>
    <w:rsid w:val="00D159CC"/>
    <w:rsid w:val="00D16731"/>
    <w:rsid w:val="00D42C6F"/>
    <w:rsid w:val="00D53383"/>
    <w:rsid w:val="00DB0386"/>
    <w:rsid w:val="00DE2CF5"/>
    <w:rsid w:val="00E001FD"/>
    <w:rsid w:val="00E85CE4"/>
    <w:rsid w:val="00E92FB4"/>
    <w:rsid w:val="00ED2450"/>
    <w:rsid w:val="00F05AB9"/>
    <w:rsid w:val="00F21DA8"/>
    <w:rsid w:val="00F653CA"/>
    <w:rsid w:val="00FE6F3C"/>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48D87E"/>
  <w15:docId w15:val="{D6F9D15F-E3BD-458D-B87A-688111923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te-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03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imalAligned">
    <w:name w:val="Decimal Aligned"/>
    <w:basedOn w:val="Normal"/>
    <w:uiPriority w:val="40"/>
    <w:qFormat/>
    <w:rsid w:val="00A955B1"/>
    <w:pPr>
      <w:tabs>
        <w:tab w:val="decimal" w:pos="360"/>
      </w:tabs>
    </w:pPr>
    <w:rPr>
      <w:rFonts w:eastAsiaTheme="minorEastAsia"/>
      <w:lang w:bidi="ar-SA"/>
    </w:rPr>
  </w:style>
  <w:style w:type="paragraph" w:styleId="FootnoteText">
    <w:name w:val="footnote text"/>
    <w:basedOn w:val="Normal"/>
    <w:link w:val="FootnoteTextChar"/>
    <w:uiPriority w:val="99"/>
    <w:unhideWhenUsed/>
    <w:rsid w:val="00A955B1"/>
    <w:pPr>
      <w:spacing w:after="0" w:line="240" w:lineRule="auto"/>
    </w:pPr>
    <w:rPr>
      <w:rFonts w:eastAsiaTheme="minorEastAsia"/>
      <w:sz w:val="20"/>
      <w:szCs w:val="20"/>
      <w:lang w:bidi="ar-SA"/>
    </w:rPr>
  </w:style>
  <w:style w:type="character" w:customStyle="1" w:styleId="FootnoteTextChar">
    <w:name w:val="Footnote Text Char"/>
    <w:basedOn w:val="DefaultParagraphFont"/>
    <w:link w:val="FootnoteText"/>
    <w:uiPriority w:val="99"/>
    <w:rsid w:val="00A955B1"/>
    <w:rPr>
      <w:rFonts w:eastAsiaTheme="minorEastAsia"/>
      <w:sz w:val="20"/>
      <w:szCs w:val="20"/>
      <w:lang w:bidi="ar-SA"/>
    </w:rPr>
  </w:style>
  <w:style w:type="character" w:styleId="SubtleEmphasis">
    <w:name w:val="Subtle Emphasis"/>
    <w:basedOn w:val="DefaultParagraphFont"/>
    <w:uiPriority w:val="19"/>
    <w:qFormat/>
    <w:rsid w:val="00A955B1"/>
    <w:rPr>
      <w:rFonts w:eastAsiaTheme="minorEastAsia" w:cstheme="minorBidi"/>
      <w:bCs w:val="0"/>
      <w:i/>
      <w:iCs/>
      <w:color w:val="808080" w:themeColor="text1" w:themeTint="7F"/>
      <w:szCs w:val="22"/>
      <w:lang w:val="en-US"/>
    </w:rPr>
  </w:style>
  <w:style w:type="table" w:customStyle="1" w:styleId="LightShading-Accent11">
    <w:name w:val="Light Shading - Accent 11"/>
    <w:basedOn w:val="TableNormal"/>
    <w:uiPriority w:val="60"/>
    <w:rsid w:val="00A955B1"/>
    <w:pPr>
      <w:spacing w:after="0" w:line="240" w:lineRule="auto"/>
    </w:pPr>
    <w:rPr>
      <w:rFonts w:eastAsiaTheme="minorEastAsia"/>
      <w:color w:val="365F91" w:themeColor="accent1" w:themeShade="BF"/>
      <w:lang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Calendar1">
    <w:name w:val="Calendar 1"/>
    <w:basedOn w:val="TableNormal"/>
    <w:uiPriority w:val="99"/>
    <w:qFormat/>
    <w:rsid w:val="00434B08"/>
    <w:pPr>
      <w:spacing w:after="0" w:line="240" w:lineRule="auto"/>
    </w:pPr>
    <w:rPr>
      <w:rFonts w:eastAsiaTheme="minorEastAsia"/>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ListParagraph">
    <w:name w:val="List Paragraph"/>
    <w:basedOn w:val="Normal"/>
    <w:uiPriority w:val="34"/>
    <w:qFormat/>
    <w:rsid w:val="00893DB0"/>
    <w:pPr>
      <w:ind w:left="720"/>
      <w:contextualSpacing/>
    </w:pPr>
  </w:style>
  <w:style w:type="paragraph" w:styleId="Header">
    <w:name w:val="header"/>
    <w:basedOn w:val="Normal"/>
    <w:link w:val="HeaderChar"/>
    <w:uiPriority w:val="99"/>
    <w:unhideWhenUsed/>
    <w:rsid w:val="00516B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BE9"/>
  </w:style>
  <w:style w:type="paragraph" w:styleId="Footer">
    <w:name w:val="footer"/>
    <w:basedOn w:val="Normal"/>
    <w:link w:val="FooterChar"/>
    <w:uiPriority w:val="99"/>
    <w:unhideWhenUsed/>
    <w:rsid w:val="00516B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BE9"/>
  </w:style>
  <w:style w:type="table" w:styleId="TableGrid">
    <w:name w:val="Table Grid"/>
    <w:basedOn w:val="TableNormal"/>
    <w:uiPriority w:val="59"/>
    <w:rsid w:val="005C1A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C691A"/>
    <w:rPr>
      <w:color w:val="0000FF" w:themeColor="hyperlink"/>
      <w:u w:val="single"/>
    </w:rPr>
  </w:style>
  <w:style w:type="character" w:styleId="UnresolvedMention">
    <w:name w:val="Unresolved Mention"/>
    <w:basedOn w:val="DefaultParagraphFont"/>
    <w:uiPriority w:val="99"/>
    <w:semiHidden/>
    <w:unhideWhenUsed/>
    <w:rsid w:val="007C69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37839">
      <w:bodyDiv w:val="1"/>
      <w:marLeft w:val="0"/>
      <w:marRight w:val="0"/>
      <w:marTop w:val="0"/>
      <w:marBottom w:val="0"/>
      <w:divBdr>
        <w:top w:val="none" w:sz="0" w:space="0" w:color="auto"/>
        <w:left w:val="none" w:sz="0" w:space="0" w:color="auto"/>
        <w:bottom w:val="none" w:sz="0" w:space="0" w:color="auto"/>
        <w:right w:val="none" w:sz="0" w:space="0" w:color="auto"/>
      </w:divBdr>
    </w:div>
    <w:div w:id="165225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F5640-223A-466A-8CBF-E2AF6A362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8</Pages>
  <Words>2722</Words>
  <Characters>15516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KANCHU. JHNAVI</dc:creator>
  <cp:lastModifiedBy>SDI 1084</cp:lastModifiedBy>
  <cp:revision>11</cp:revision>
  <dcterms:created xsi:type="dcterms:W3CDTF">2025-01-20T13:37:00Z</dcterms:created>
  <dcterms:modified xsi:type="dcterms:W3CDTF">2025-02-06T07:51:00Z</dcterms:modified>
</cp:coreProperties>
</file>