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35DBA64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808D4E1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8C8A4B6" w14:textId="77777777" w:rsidTr="002643B3">
        <w:trPr>
          <w:trHeight w:val="290"/>
        </w:trPr>
        <w:tc>
          <w:tcPr>
            <w:tcW w:w="1234" w:type="pct"/>
          </w:tcPr>
          <w:p w14:paraId="4687239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7FB2" w14:textId="77777777" w:rsidR="0000007A" w:rsidRPr="00E65EB7" w:rsidRDefault="000647B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C452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Pr="000647B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4C44625" w14:textId="77777777" w:rsidTr="002643B3">
        <w:trPr>
          <w:trHeight w:val="290"/>
        </w:trPr>
        <w:tc>
          <w:tcPr>
            <w:tcW w:w="1234" w:type="pct"/>
          </w:tcPr>
          <w:p w14:paraId="146393D1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A6728" w14:textId="77777777" w:rsidR="0000007A" w:rsidRPr="00F245A7" w:rsidRDefault="00FF17E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FF17E6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Ms_JPRI_131649</w:t>
            </w:r>
          </w:p>
        </w:tc>
      </w:tr>
      <w:tr w:rsidR="0000007A" w:rsidRPr="00F245A7" w14:paraId="27F95BF6" w14:textId="77777777" w:rsidTr="002643B3">
        <w:trPr>
          <w:trHeight w:val="650"/>
        </w:trPr>
        <w:tc>
          <w:tcPr>
            <w:tcW w:w="1234" w:type="pct"/>
          </w:tcPr>
          <w:p w14:paraId="68C3C06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8E36B" w14:textId="77777777" w:rsidR="0000007A" w:rsidRPr="00F245A7" w:rsidRDefault="00FF1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FF17E6">
              <w:rPr>
                <w:rFonts w:ascii="Arial" w:hAnsi="Arial" w:cs="Arial"/>
                <w:b/>
                <w:sz w:val="20"/>
                <w:szCs w:val="28"/>
                <w:lang w:val="en-GB"/>
              </w:rPr>
              <w:t>MEDICATED CHEWING GUM: AN OVERVIEW</w:t>
            </w:r>
          </w:p>
        </w:tc>
      </w:tr>
      <w:tr w:rsidR="00CF0BBB" w:rsidRPr="00F245A7" w14:paraId="4815923D" w14:textId="77777777" w:rsidTr="002643B3">
        <w:trPr>
          <w:trHeight w:val="332"/>
        </w:trPr>
        <w:tc>
          <w:tcPr>
            <w:tcW w:w="1234" w:type="pct"/>
          </w:tcPr>
          <w:p w14:paraId="2449A8E9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1C37E" w14:textId="77777777" w:rsidR="00CF0BBB" w:rsidRPr="00F245A7" w:rsidRDefault="00FF1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FF17E6">
              <w:rPr>
                <w:rFonts w:ascii="Arial" w:hAnsi="Arial" w:cs="Arial"/>
                <w:b/>
                <w:sz w:val="20"/>
                <w:szCs w:val="28"/>
                <w:lang w:val="en-GB"/>
              </w:rPr>
              <w:t>Review Article</w:t>
            </w:r>
          </w:p>
        </w:tc>
      </w:tr>
    </w:tbl>
    <w:p w14:paraId="7E98035A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C581B1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BAE7B5" w14:textId="7C04969F" w:rsidR="006F75C9" w:rsidRPr="00900E9B" w:rsidRDefault="006F75C9" w:rsidP="006F75C9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900E9B" w14:paraId="731543B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157DE14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42EF5824" w14:textId="77777777" w:rsidR="006F75C9" w:rsidRPr="00900E9B" w:rsidRDefault="006F75C9">
            <w:pPr>
              <w:rPr>
                <w:sz w:val="20"/>
                <w:szCs w:val="20"/>
                <w:lang w:val="en-GB"/>
              </w:rPr>
            </w:pPr>
          </w:p>
        </w:tc>
      </w:tr>
      <w:tr w:rsidR="006F75C9" w:rsidRPr="00900E9B" w14:paraId="2F1886FA" w14:textId="77777777">
        <w:tc>
          <w:tcPr>
            <w:tcW w:w="1265" w:type="pct"/>
            <w:noWrap/>
          </w:tcPr>
          <w:p w14:paraId="11D430EE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1465E5C4" w14:textId="77777777" w:rsidR="006F75C9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242C58BC" w14:textId="77777777" w:rsidR="003071BF" w:rsidRDefault="003071BF" w:rsidP="003071BF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454F78B" w14:textId="77777777" w:rsidR="003071BF" w:rsidRPr="003071BF" w:rsidRDefault="003071BF" w:rsidP="003071BF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5AA961C4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F75C9" w:rsidRPr="00900E9B" w14:paraId="5E72790C" w14:textId="77777777">
        <w:trPr>
          <w:trHeight w:val="1264"/>
        </w:trPr>
        <w:tc>
          <w:tcPr>
            <w:tcW w:w="1265" w:type="pct"/>
            <w:noWrap/>
          </w:tcPr>
          <w:p w14:paraId="5AFEF870" w14:textId="77777777" w:rsidR="006F75C9" w:rsidRPr="00900E9B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28DD5CE" w14:textId="77777777" w:rsidR="006F75C9" w:rsidRPr="00900E9B" w:rsidRDefault="006F75C9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64FEFA5" w14:textId="77777777" w:rsidR="006F75C9" w:rsidRPr="00900E9B" w:rsidRDefault="002648CD" w:rsidP="006F2438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2648CD">
              <w:rPr>
                <w:b/>
                <w:bCs/>
                <w:sz w:val="20"/>
                <w:szCs w:val="20"/>
                <w:lang w:val="en-GB"/>
              </w:rPr>
              <w:t>It is good to have a review article on the importance of MCG. It can treat dental caries, local oral illnesses, elevated alertness, cognitive functions, and quitting smoking. Patients are beginning to embrace chewing gum.</w:t>
            </w:r>
            <w:r w:rsidRPr="002648CD">
              <w:rPr>
                <w:b/>
                <w:bCs/>
                <w:sz w:val="20"/>
                <w:szCs w:val="20"/>
                <w:lang w:val="en-GB"/>
              </w:rPr>
              <w:tab/>
            </w:r>
          </w:p>
        </w:tc>
        <w:tc>
          <w:tcPr>
            <w:tcW w:w="1523" w:type="pct"/>
          </w:tcPr>
          <w:p w14:paraId="13A93C14" w14:textId="7676B4FB" w:rsidR="006F75C9" w:rsidRPr="00900E9B" w:rsidRDefault="00A4203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A42033">
              <w:rPr>
                <w:rFonts w:ascii="Times New Roman" w:hAnsi="Times New Roman"/>
                <w:b w:val="0"/>
                <w:lang w:val="en-GB"/>
              </w:rPr>
              <w:t>Medicated chewing gum are used in local treatment of mouth diseases.</w:t>
            </w:r>
            <w:r w:rsidR="00F84F55">
              <w:t xml:space="preserve"> </w:t>
            </w:r>
            <w:r w:rsidR="00F84F55" w:rsidRPr="00F84F55">
              <w:rPr>
                <w:rFonts w:ascii="Times New Roman" w:hAnsi="Times New Roman"/>
                <w:b w:val="0"/>
                <w:lang w:val="en-GB"/>
              </w:rPr>
              <w:t>It enables faster drug absorption through oral mucosa</w:t>
            </w:r>
            <w:r w:rsidR="00F84F55">
              <w:rPr>
                <w:rFonts w:ascii="Times New Roman" w:hAnsi="Times New Roman"/>
                <w:b w:val="0"/>
                <w:lang w:val="en-GB"/>
              </w:rPr>
              <w:t xml:space="preserve">. </w:t>
            </w:r>
            <w:r w:rsidR="00F84F55" w:rsidRPr="00F84F55">
              <w:rPr>
                <w:rFonts w:ascii="Times New Roman" w:hAnsi="Times New Roman"/>
                <w:b w:val="0"/>
                <w:lang w:val="en-GB"/>
              </w:rPr>
              <w:t>M</w:t>
            </w:r>
            <w:r w:rsidR="00660D0E">
              <w:rPr>
                <w:rFonts w:ascii="Times New Roman" w:hAnsi="Times New Roman"/>
                <w:b w:val="0"/>
                <w:lang w:val="en-GB"/>
              </w:rPr>
              <w:t>CG</w:t>
            </w:r>
            <w:r w:rsidR="00F84F55" w:rsidRPr="00F84F55">
              <w:rPr>
                <w:rFonts w:ascii="Times New Roman" w:hAnsi="Times New Roman"/>
                <w:b w:val="0"/>
                <w:lang w:val="en-GB"/>
              </w:rPr>
              <w:t xml:space="preserve"> has great patient compliance as it is used by vari</w:t>
            </w:r>
            <w:r w:rsidR="00F84F55">
              <w:rPr>
                <w:rFonts w:ascii="Times New Roman" w:hAnsi="Times New Roman"/>
                <w:b w:val="0"/>
                <w:lang w:val="en-GB"/>
              </w:rPr>
              <w:t>o</w:t>
            </w:r>
            <w:r w:rsidR="00F84F55" w:rsidRPr="00F84F55">
              <w:rPr>
                <w:rFonts w:ascii="Times New Roman" w:hAnsi="Times New Roman"/>
                <w:b w:val="0"/>
                <w:lang w:val="en-GB"/>
              </w:rPr>
              <w:t>us no.</w:t>
            </w:r>
            <w:r w:rsidR="00F84F55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="00F84F55" w:rsidRPr="00F84F55">
              <w:rPr>
                <w:rFonts w:ascii="Times New Roman" w:hAnsi="Times New Roman"/>
                <w:b w:val="0"/>
                <w:lang w:val="en-GB"/>
              </w:rPr>
              <w:t xml:space="preserve">of patients for its vast applications and drug </w:t>
            </w:r>
            <w:proofErr w:type="gramStart"/>
            <w:r w:rsidR="00F84F55" w:rsidRPr="00F84F55">
              <w:rPr>
                <w:rFonts w:ascii="Times New Roman" w:hAnsi="Times New Roman"/>
                <w:b w:val="0"/>
                <w:lang w:val="en-GB"/>
              </w:rPr>
              <w:t>absorption</w:t>
            </w:r>
            <w:r w:rsidR="00F84F55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="00F84F55" w:rsidRPr="00F84F55">
              <w:rPr>
                <w:rFonts w:ascii="Times New Roman" w:hAnsi="Times New Roman"/>
                <w:b w:val="0"/>
                <w:lang w:val="en-GB"/>
              </w:rPr>
              <w:t>.</w:t>
            </w:r>
            <w:proofErr w:type="gramEnd"/>
          </w:p>
        </w:tc>
      </w:tr>
      <w:tr w:rsidR="006F75C9" w:rsidRPr="00900E9B" w14:paraId="2288BD10" w14:textId="77777777">
        <w:trPr>
          <w:trHeight w:val="1262"/>
        </w:trPr>
        <w:tc>
          <w:tcPr>
            <w:tcW w:w="1265" w:type="pct"/>
            <w:noWrap/>
          </w:tcPr>
          <w:p w14:paraId="689A9A86" w14:textId="77777777" w:rsidR="006F75C9" w:rsidRPr="00900E9B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E26E65E" w14:textId="77777777" w:rsidR="006F75C9" w:rsidRPr="00900E9B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56055E8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CC49C5" w14:textId="77777777" w:rsidR="006F75C9" w:rsidRPr="00900E9B" w:rsidRDefault="007B0C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Yes, the title is suitable</w:t>
            </w:r>
          </w:p>
        </w:tc>
        <w:tc>
          <w:tcPr>
            <w:tcW w:w="1523" w:type="pct"/>
          </w:tcPr>
          <w:p w14:paraId="4736F603" w14:textId="53C24BDA" w:rsidR="006F75C9" w:rsidRPr="00900E9B" w:rsidRDefault="002A1D0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Yes</w:t>
            </w:r>
          </w:p>
        </w:tc>
      </w:tr>
      <w:tr w:rsidR="006F75C9" w:rsidRPr="00900E9B" w14:paraId="48E4C778" w14:textId="77777777">
        <w:trPr>
          <w:trHeight w:val="1262"/>
        </w:trPr>
        <w:tc>
          <w:tcPr>
            <w:tcW w:w="1265" w:type="pct"/>
            <w:noWrap/>
          </w:tcPr>
          <w:p w14:paraId="72C9DED5" w14:textId="77777777" w:rsidR="006F75C9" w:rsidRPr="00900E9B" w:rsidRDefault="006F75C9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45769148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0B05364" w14:textId="77777777" w:rsidR="006F75C9" w:rsidRDefault="007B0C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First sentence is better to be changed with this: </w:t>
            </w:r>
            <w:bookmarkStart w:id="2" w:name="_Hlk190799613"/>
            <w:r w:rsidRPr="007B0C63">
              <w:rPr>
                <w:b/>
                <w:bCs/>
                <w:sz w:val="20"/>
                <w:szCs w:val="20"/>
                <w:lang w:val="en-GB"/>
              </w:rPr>
              <w:t>According to the European Pharmacopoeia, Medicated chewing gum (MCG) is a non-dissolving intraoral medicine dosage form used locally to treat oral disorders or systemically after being absorbed through the buccal mucosa or gastrointestinal tract.</w:t>
            </w:r>
            <w:bookmarkEnd w:id="2"/>
          </w:p>
          <w:p w14:paraId="377C142C" w14:textId="77777777" w:rsidR="007B0C63" w:rsidRPr="007B0C63" w:rsidRDefault="007B0C63" w:rsidP="007B0C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And the last one with this: </w:t>
            </w:r>
            <w:bookmarkStart w:id="3" w:name="_Hlk190800223"/>
            <w:r w:rsidRPr="007B0C63">
              <w:rPr>
                <w:b/>
                <w:bCs/>
                <w:sz w:val="20"/>
                <w:szCs w:val="20"/>
                <w:lang w:val="en-GB"/>
              </w:rPr>
              <w:t xml:space="preserve">Combining sugar-free chewing gum with floss, fluoride toothpaste, and interdental cleaners can prevent caries and gingivitis. </w:t>
            </w:r>
          </w:p>
          <w:p w14:paraId="2E1EA4BE" w14:textId="77777777" w:rsidR="007B0C63" w:rsidRPr="00900E9B" w:rsidRDefault="007B0C63" w:rsidP="007B0C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7B0C63">
              <w:rPr>
                <w:b/>
                <w:bCs/>
                <w:sz w:val="20"/>
                <w:szCs w:val="20"/>
                <w:lang w:val="en-GB"/>
              </w:rPr>
              <w:t>.</w:t>
            </w:r>
            <w:bookmarkEnd w:id="3"/>
          </w:p>
        </w:tc>
        <w:tc>
          <w:tcPr>
            <w:tcW w:w="1523" w:type="pct"/>
          </w:tcPr>
          <w:p w14:paraId="68A2CECF" w14:textId="535DE191" w:rsidR="006F75C9" w:rsidRPr="00900E9B" w:rsidRDefault="006334E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Yes. It is comprehensive. </w:t>
            </w:r>
          </w:p>
        </w:tc>
      </w:tr>
      <w:tr w:rsidR="006F75C9" w:rsidRPr="00900E9B" w14:paraId="1CB216A3" w14:textId="77777777">
        <w:trPr>
          <w:trHeight w:val="704"/>
        </w:trPr>
        <w:tc>
          <w:tcPr>
            <w:tcW w:w="1265" w:type="pct"/>
            <w:noWrap/>
          </w:tcPr>
          <w:p w14:paraId="0BC5327E" w14:textId="77777777" w:rsidR="006F75C9" w:rsidRPr="00900E9B" w:rsidRDefault="006F75C9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272ED4D5" w14:textId="77777777" w:rsidR="006F75C9" w:rsidRPr="00C115E9" w:rsidRDefault="007B0C6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Yes, it is</w:t>
            </w:r>
          </w:p>
        </w:tc>
        <w:tc>
          <w:tcPr>
            <w:tcW w:w="1523" w:type="pct"/>
          </w:tcPr>
          <w:p w14:paraId="4AA7A6AD" w14:textId="2E3BFEB8" w:rsidR="006F75C9" w:rsidRPr="00900E9B" w:rsidRDefault="002A1D0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Yes</w:t>
            </w:r>
          </w:p>
        </w:tc>
      </w:tr>
      <w:tr w:rsidR="006F75C9" w:rsidRPr="00900E9B" w14:paraId="3DB39167" w14:textId="77777777">
        <w:trPr>
          <w:trHeight w:val="703"/>
        </w:trPr>
        <w:tc>
          <w:tcPr>
            <w:tcW w:w="1265" w:type="pct"/>
            <w:noWrap/>
          </w:tcPr>
          <w:p w14:paraId="771B323E" w14:textId="77777777" w:rsidR="006F75C9" w:rsidRPr="00E10705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69637C37" w14:textId="77777777" w:rsidR="007B0C63" w:rsidRDefault="007B0C6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</w:p>
          <w:p w14:paraId="28A14863" w14:textId="77777777" w:rsidR="006F75C9" w:rsidRPr="007B0C63" w:rsidRDefault="007B0C63" w:rsidP="007B0C63">
            <w:pPr>
              <w:rPr>
                <w:lang w:val="en-GB"/>
              </w:rPr>
            </w:pPr>
            <w:r w:rsidRPr="007B0C63">
              <w:rPr>
                <w:lang w:val="en-GB"/>
              </w:rPr>
              <w:t>There is no reference from the last 5 years; it would be better to include and cite newer articles, mention the latest drugs delivered through gums, and discuss their ac</w:t>
            </w:r>
            <w:r>
              <w:rPr>
                <w:lang w:val="en-GB"/>
              </w:rPr>
              <w:t>tion and clinical presentation.</w:t>
            </w:r>
          </w:p>
        </w:tc>
        <w:tc>
          <w:tcPr>
            <w:tcW w:w="1523" w:type="pct"/>
          </w:tcPr>
          <w:p w14:paraId="4E62C1D9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F75C9" w:rsidRPr="00900E9B" w14:paraId="0A178E2F" w14:textId="77777777" w:rsidTr="00693C0A">
        <w:trPr>
          <w:trHeight w:val="503"/>
        </w:trPr>
        <w:tc>
          <w:tcPr>
            <w:tcW w:w="1265" w:type="pct"/>
            <w:noWrap/>
          </w:tcPr>
          <w:p w14:paraId="2CDDE1A7" w14:textId="77777777" w:rsidR="006F75C9" w:rsidRPr="00900E9B" w:rsidRDefault="006F75C9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57269736" w14:textId="77777777" w:rsidR="006F75C9" w:rsidRPr="00900E9B" w:rsidRDefault="006F75C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E83E0C2" w14:textId="77777777" w:rsidR="006F75C9" w:rsidRPr="00900E9B" w:rsidRDefault="007B0C63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4527321" w14:textId="50BAFA14" w:rsidR="006F75C9" w:rsidRPr="00900E9B" w:rsidRDefault="002A1D0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</w:tr>
      <w:tr w:rsidR="006F75C9" w:rsidRPr="00900E9B" w14:paraId="1C565F13" w14:textId="77777777">
        <w:trPr>
          <w:trHeight w:val="1178"/>
        </w:trPr>
        <w:tc>
          <w:tcPr>
            <w:tcW w:w="1265" w:type="pct"/>
            <w:noWrap/>
          </w:tcPr>
          <w:p w14:paraId="44B668B5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24DBB41C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B994D2C" w14:textId="77777777" w:rsidR="006F75C9" w:rsidRPr="000D0955" w:rsidRDefault="007B0C63" w:rsidP="006F2438">
            <w:pPr>
              <w:pStyle w:val="NormalWeb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It should be mentioned somewhere</w:t>
            </w:r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: </w:t>
            </w:r>
            <w:r w:rsidR="006F2438" w:rsidRP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Caries is a multifactorial disease. That is why attention has been directed to studying the physicochemical parameters of some pharmaceutical and non-medicinal products (such as chewing gums) concerning their cariogenic potential. Such characteristics are sugar content, endogenous pH, titratable acidity, etc.</w:t>
            </w:r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Some</w:t>
            </w:r>
            <w:r w:rsidR="006F2438" w:rsidRP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products' erosive pot</w:t>
            </w:r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ential (chewing gums and others) is related to both their </w:t>
            </w:r>
            <w:r w:rsidR="006F2438" w:rsidRP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endogenou</w:t>
            </w:r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 pH and titratable acidity</w:t>
            </w:r>
            <w:r w:rsidR="006F2438" w:rsidRP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  <w:t xml:space="preserve">the authors have to </w:t>
            </w:r>
            <w:proofErr w:type="spellStart"/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chech</w:t>
            </w:r>
            <w:proofErr w:type="spellEnd"/>
            <w:r w:rsidR="006F2438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the literature whether there is information about the erosive or cariogenic potential of the MCG.</w:t>
            </w:r>
          </w:p>
        </w:tc>
        <w:tc>
          <w:tcPr>
            <w:tcW w:w="1523" w:type="pct"/>
          </w:tcPr>
          <w:p w14:paraId="633250E5" w14:textId="3C1A4D40" w:rsidR="006F75C9" w:rsidRPr="00900E9B" w:rsidRDefault="00A11B8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-</w:t>
            </w:r>
          </w:p>
        </w:tc>
      </w:tr>
    </w:tbl>
    <w:p w14:paraId="388A1560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64C98C1" w14:textId="77777777" w:rsidR="006F75C9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1645D8E" w14:textId="77777777" w:rsidR="00D23194" w:rsidRDefault="00D23194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8533A30" w14:textId="77777777" w:rsidR="00D23194" w:rsidRDefault="00D23194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C063D4C" w14:textId="77777777" w:rsidR="00D23194" w:rsidRPr="00900E9B" w:rsidRDefault="00D23194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37D7A" w:rsidRPr="00A37D7A" w14:paraId="0BC04D62" w14:textId="77777777" w:rsidTr="00A37D7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E812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 w:rsidRPr="00A37D7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A37D7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AFF114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37D7A" w:rsidRPr="00A37D7A" w14:paraId="6F09C7D7" w14:textId="77777777" w:rsidTr="00A37D7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55628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72728" w14:textId="77777777" w:rsidR="00A37D7A" w:rsidRPr="00A37D7A" w:rsidRDefault="00A37D7A" w:rsidP="00A37D7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37D7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EF4B" w14:textId="77777777" w:rsidR="00A37D7A" w:rsidRPr="00A37D7A" w:rsidRDefault="00A37D7A" w:rsidP="00A37D7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37D7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37D7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37D7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37D7A" w:rsidRPr="00A37D7A" w14:paraId="16145915" w14:textId="77777777" w:rsidTr="00A37D7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47AC4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37D7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F268E31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B13C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37D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37D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37D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B8136EB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24B354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952E" w14:textId="51574AC4" w:rsidR="00A37D7A" w:rsidRPr="00A37D7A" w:rsidRDefault="002A1D0C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5F67BC42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AE12CF" w14:textId="77777777" w:rsidR="00A37D7A" w:rsidRPr="00A37D7A" w:rsidRDefault="00A37D7A" w:rsidP="00A37D7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4"/>
      <w:bookmarkEnd w:id="5"/>
    </w:tbl>
    <w:p w14:paraId="25AA31DA" w14:textId="77777777" w:rsidR="00A37D7A" w:rsidRPr="00A37D7A" w:rsidRDefault="00A37D7A" w:rsidP="00A37D7A"/>
    <w:sectPr w:rsidR="00A37D7A" w:rsidRPr="00A37D7A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B4AEB" w14:textId="77777777" w:rsidR="006454A0" w:rsidRPr="0000007A" w:rsidRDefault="006454A0" w:rsidP="0099583E">
      <w:r>
        <w:separator/>
      </w:r>
    </w:p>
  </w:endnote>
  <w:endnote w:type="continuationSeparator" w:id="0">
    <w:p w14:paraId="005B5EE8" w14:textId="77777777" w:rsidR="006454A0" w:rsidRPr="0000007A" w:rsidRDefault="006454A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F75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07622" w14:textId="77777777" w:rsidR="006454A0" w:rsidRPr="0000007A" w:rsidRDefault="006454A0" w:rsidP="0099583E">
      <w:r>
        <w:separator/>
      </w:r>
    </w:p>
  </w:footnote>
  <w:footnote w:type="continuationSeparator" w:id="0">
    <w:p w14:paraId="77952C98" w14:textId="77777777" w:rsidR="006454A0" w:rsidRPr="0000007A" w:rsidRDefault="006454A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A02F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7AFE37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1741078">
    <w:abstractNumId w:val="4"/>
  </w:num>
  <w:num w:numId="2" w16cid:durableId="1117800429">
    <w:abstractNumId w:val="8"/>
  </w:num>
  <w:num w:numId="3" w16cid:durableId="300036670">
    <w:abstractNumId w:val="7"/>
  </w:num>
  <w:num w:numId="4" w16cid:durableId="659968776">
    <w:abstractNumId w:val="9"/>
  </w:num>
  <w:num w:numId="5" w16cid:durableId="863979637">
    <w:abstractNumId w:val="6"/>
  </w:num>
  <w:num w:numId="6" w16cid:durableId="1873106941">
    <w:abstractNumId w:val="0"/>
  </w:num>
  <w:num w:numId="7" w16cid:durableId="1570770800">
    <w:abstractNumId w:val="3"/>
  </w:num>
  <w:num w:numId="8" w16cid:durableId="5636537">
    <w:abstractNumId w:val="11"/>
  </w:num>
  <w:num w:numId="9" w16cid:durableId="1041593887">
    <w:abstractNumId w:val="10"/>
  </w:num>
  <w:num w:numId="10" w16cid:durableId="1693874279">
    <w:abstractNumId w:val="2"/>
  </w:num>
  <w:num w:numId="11" w16cid:durableId="1644969133">
    <w:abstractNumId w:val="1"/>
  </w:num>
  <w:num w:numId="12" w16cid:durableId="1904486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44521"/>
    <w:rsid w:val="00150304"/>
    <w:rsid w:val="0015296D"/>
    <w:rsid w:val="00163622"/>
    <w:rsid w:val="00163C54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00C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48CD"/>
    <w:rsid w:val="002755E6"/>
    <w:rsid w:val="00275984"/>
    <w:rsid w:val="00280EC9"/>
    <w:rsid w:val="00291D08"/>
    <w:rsid w:val="00293482"/>
    <w:rsid w:val="002A1D0C"/>
    <w:rsid w:val="002A554C"/>
    <w:rsid w:val="002D167F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46223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334E7"/>
    <w:rsid w:val="006454A0"/>
    <w:rsid w:val="00645A56"/>
    <w:rsid w:val="006532DF"/>
    <w:rsid w:val="0065579D"/>
    <w:rsid w:val="00660D0E"/>
    <w:rsid w:val="00663792"/>
    <w:rsid w:val="0067046C"/>
    <w:rsid w:val="00676845"/>
    <w:rsid w:val="00680547"/>
    <w:rsid w:val="0068446F"/>
    <w:rsid w:val="00693C0A"/>
    <w:rsid w:val="0069428E"/>
    <w:rsid w:val="00696CAD"/>
    <w:rsid w:val="006A5E0B"/>
    <w:rsid w:val="006C3797"/>
    <w:rsid w:val="006D3C53"/>
    <w:rsid w:val="006D6736"/>
    <w:rsid w:val="006E7D6E"/>
    <w:rsid w:val="006F2438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0C63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201B"/>
    <w:rsid w:val="008754DE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1794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103"/>
    <w:rsid w:val="009F29EB"/>
    <w:rsid w:val="00A001A0"/>
    <w:rsid w:val="00A04863"/>
    <w:rsid w:val="00A11B80"/>
    <w:rsid w:val="00A12C83"/>
    <w:rsid w:val="00A31AAC"/>
    <w:rsid w:val="00A32905"/>
    <w:rsid w:val="00A36C95"/>
    <w:rsid w:val="00A37D7A"/>
    <w:rsid w:val="00A37DE3"/>
    <w:rsid w:val="00A42033"/>
    <w:rsid w:val="00A519D1"/>
    <w:rsid w:val="00A6343B"/>
    <w:rsid w:val="00A65C50"/>
    <w:rsid w:val="00A66DD2"/>
    <w:rsid w:val="00A858B9"/>
    <w:rsid w:val="00AA2D3D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27E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269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66C6"/>
    <w:rsid w:val="00D1283A"/>
    <w:rsid w:val="00D17979"/>
    <w:rsid w:val="00D2075F"/>
    <w:rsid w:val="00D23194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43CA"/>
    <w:rsid w:val="00DB5B54"/>
    <w:rsid w:val="00DB7E1B"/>
    <w:rsid w:val="00DC14E7"/>
    <w:rsid w:val="00DC1D81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20D94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73FDB"/>
    <w:rsid w:val="00F84F55"/>
    <w:rsid w:val="00FA6528"/>
    <w:rsid w:val="00FC2E17"/>
    <w:rsid w:val="00FC6387"/>
    <w:rsid w:val="00FC6802"/>
    <w:rsid w:val="00FD70A7"/>
    <w:rsid w:val="00FF09A0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825264"/>
  <w15:chartTrackingRefBased/>
  <w15:docId w15:val="{92E19471-0B57-4CDE-8EC5-848E9275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DFD6-3683-4840-AD0A-C1E8B6C0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12</cp:revision>
  <dcterms:created xsi:type="dcterms:W3CDTF">2025-02-18T14:31:00Z</dcterms:created>
  <dcterms:modified xsi:type="dcterms:W3CDTF">2025-02-20T11:29:00Z</dcterms:modified>
</cp:coreProperties>
</file>