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246"/>
        <w:gridCol w:w="15688"/>
      </w:tblGrid>
      <w:tr w:rsidR="00602F7D" w:rsidRPr="00D852EF" w14:paraId="232398D9" w14:textId="77777777" w:rsidTr="002643B3">
        <w:trPr>
          <w:trHeight w:val="290"/>
        </w:trPr>
        <w:tc>
          <w:tcPr>
            <w:tcW w:w="5000" w:type="pct"/>
            <w:gridSpan w:val="2"/>
            <w:tcBorders>
              <w:top w:val="nil"/>
              <w:left w:val="nil"/>
              <w:right w:val="nil"/>
            </w:tcBorders>
          </w:tcPr>
          <w:p w14:paraId="5511B397" w14:textId="77777777" w:rsidR="00602F7D" w:rsidRPr="00D852EF" w:rsidRDefault="00602F7D" w:rsidP="00D852EF">
            <w:pPr>
              <w:pStyle w:val="Heading2"/>
              <w:keepNext w:val="0"/>
              <w:widowControl w:val="0"/>
              <w:jc w:val="left"/>
              <w:rPr>
                <w:rFonts w:ascii="Arial" w:hAnsi="Arial" w:cs="Arial"/>
                <w:b w:val="0"/>
                <w:bCs w:val="0"/>
                <w:lang w:val="en-GB"/>
              </w:rPr>
            </w:pPr>
          </w:p>
        </w:tc>
      </w:tr>
      <w:tr w:rsidR="0000007A" w:rsidRPr="00D852EF" w14:paraId="7C04A2BA" w14:textId="77777777" w:rsidTr="00BE0D02">
        <w:trPr>
          <w:trHeight w:val="290"/>
        </w:trPr>
        <w:tc>
          <w:tcPr>
            <w:tcW w:w="1253" w:type="pct"/>
          </w:tcPr>
          <w:p w14:paraId="27AB9360" w14:textId="77777777" w:rsidR="0000007A" w:rsidRPr="00D852EF" w:rsidRDefault="0000007A" w:rsidP="00D852EF">
            <w:pPr>
              <w:pStyle w:val="BodyText"/>
              <w:widowControl w:val="0"/>
              <w:ind w:left="90"/>
              <w:jc w:val="left"/>
              <w:rPr>
                <w:rFonts w:ascii="Arial" w:hAnsi="Arial" w:cs="Arial"/>
                <w:bCs/>
                <w:sz w:val="20"/>
                <w:szCs w:val="20"/>
                <w:lang w:val="en-GB"/>
              </w:rPr>
            </w:pPr>
            <w:r w:rsidRPr="00D852EF">
              <w:rPr>
                <w:rFonts w:ascii="Arial" w:hAnsi="Arial" w:cs="Arial"/>
                <w:bCs/>
                <w:sz w:val="20"/>
                <w:szCs w:val="20"/>
                <w:lang w:val="en-GB"/>
              </w:rPr>
              <w:t>Journal Name:</w:t>
            </w:r>
          </w:p>
        </w:tc>
        <w:tc>
          <w:tcPr>
            <w:tcW w:w="3747" w:type="pct"/>
            <w:shd w:val="clear" w:color="auto" w:fill="auto"/>
            <w:tcMar>
              <w:top w:w="0" w:type="dxa"/>
              <w:left w:w="108" w:type="dxa"/>
              <w:bottom w:w="0" w:type="dxa"/>
              <w:right w:w="108" w:type="dxa"/>
            </w:tcMar>
            <w:vAlign w:val="center"/>
          </w:tcPr>
          <w:p w14:paraId="7C419BD8" w14:textId="77777777" w:rsidR="0000007A" w:rsidRPr="00D852EF" w:rsidRDefault="00024E63" w:rsidP="00D852EF">
            <w:pPr>
              <w:widowControl w:val="0"/>
              <w:rPr>
                <w:rFonts w:ascii="Arial" w:hAnsi="Arial" w:cs="Arial"/>
                <w:b/>
                <w:bCs/>
                <w:color w:val="0000FF"/>
                <w:sz w:val="20"/>
                <w:szCs w:val="20"/>
              </w:rPr>
            </w:pPr>
            <w:hyperlink r:id="rId8" w:history="1">
              <w:r w:rsidR="00B949AF" w:rsidRPr="00D852EF">
                <w:rPr>
                  <w:rStyle w:val="Hyperlink"/>
                  <w:rFonts w:ascii="Arial" w:hAnsi="Arial" w:cs="Arial"/>
                  <w:b/>
                  <w:bCs/>
                  <w:sz w:val="20"/>
                  <w:szCs w:val="20"/>
                </w:rPr>
                <w:t xml:space="preserve">Asian Research Journal of </w:t>
              </w:r>
              <w:proofErr w:type="spellStart"/>
              <w:r w:rsidR="00B949AF" w:rsidRPr="00D852EF">
                <w:rPr>
                  <w:rStyle w:val="Hyperlink"/>
                  <w:rFonts w:ascii="Arial" w:hAnsi="Arial" w:cs="Arial"/>
                  <w:b/>
                  <w:bCs/>
                  <w:sz w:val="20"/>
                  <w:szCs w:val="20"/>
                </w:rPr>
                <w:t>Gynaecology</w:t>
              </w:r>
              <w:proofErr w:type="spellEnd"/>
              <w:r w:rsidR="00B949AF" w:rsidRPr="00D852EF">
                <w:rPr>
                  <w:rStyle w:val="Hyperlink"/>
                  <w:rFonts w:ascii="Arial" w:hAnsi="Arial" w:cs="Arial"/>
                  <w:b/>
                  <w:bCs/>
                  <w:sz w:val="20"/>
                  <w:szCs w:val="20"/>
                </w:rPr>
                <w:t xml:space="preserve"> and Obstetrics</w:t>
              </w:r>
            </w:hyperlink>
          </w:p>
        </w:tc>
      </w:tr>
      <w:tr w:rsidR="0000007A" w:rsidRPr="00D852EF" w14:paraId="2B7A8C1E" w14:textId="77777777" w:rsidTr="00BE0D02">
        <w:trPr>
          <w:trHeight w:val="290"/>
        </w:trPr>
        <w:tc>
          <w:tcPr>
            <w:tcW w:w="1253" w:type="pct"/>
          </w:tcPr>
          <w:p w14:paraId="58E3C41D" w14:textId="77777777" w:rsidR="0000007A" w:rsidRPr="00D852EF" w:rsidRDefault="0000007A" w:rsidP="00D852EF">
            <w:pPr>
              <w:pStyle w:val="BodyText"/>
              <w:widowControl w:val="0"/>
              <w:ind w:left="90"/>
              <w:jc w:val="left"/>
              <w:rPr>
                <w:rFonts w:ascii="Arial" w:hAnsi="Arial" w:cs="Arial"/>
                <w:bCs/>
                <w:sz w:val="20"/>
                <w:szCs w:val="20"/>
                <w:lang w:val="en-GB"/>
              </w:rPr>
            </w:pPr>
            <w:r w:rsidRPr="00D852EF">
              <w:rPr>
                <w:rFonts w:ascii="Arial" w:hAnsi="Arial" w:cs="Arial"/>
                <w:bCs/>
                <w:sz w:val="20"/>
                <w:szCs w:val="20"/>
                <w:lang w:val="en-GB"/>
              </w:rPr>
              <w:t>Manuscript Number:</w:t>
            </w:r>
          </w:p>
        </w:tc>
        <w:tc>
          <w:tcPr>
            <w:tcW w:w="3747" w:type="pct"/>
            <w:shd w:val="clear" w:color="auto" w:fill="auto"/>
            <w:tcMar>
              <w:top w:w="0" w:type="dxa"/>
              <w:left w:w="108" w:type="dxa"/>
              <w:bottom w:w="0" w:type="dxa"/>
              <w:right w:w="108" w:type="dxa"/>
            </w:tcMar>
            <w:vAlign w:val="center"/>
          </w:tcPr>
          <w:p w14:paraId="34E760D5" w14:textId="77777777" w:rsidR="0000007A" w:rsidRPr="00D852EF" w:rsidRDefault="00A0418E" w:rsidP="00D852EF">
            <w:pPr>
              <w:pStyle w:val="NormalWeb"/>
              <w:widowControl w:val="0"/>
              <w:spacing w:before="0" w:beforeAutospacing="0" w:after="0" w:afterAutospacing="0"/>
              <w:rPr>
                <w:rFonts w:ascii="Arial" w:hAnsi="Arial" w:cs="Arial"/>
                <w:b/>
                <w:bCs/>
                <w:sz w:val="20"/>
                <w:szCs w:val="20"/>
                <w:lang w:val="en-GB"/>
              </w:rPr>
            </w:pPr>
            <w:r w:rsidRPr="00D852EF">
              <w:rPr>
                <w:rFonts w:ascii="Arial" w:hAnsi="Arial" w:cs="Arial"/>
                <w:b/>
                <w:bCs/>
                <w:sz w:val="20"/>
                <w:szCs w:val="20"/>
                <w:lang w:val="en-GB"/>
              </w:rPr>
              <w:t>Ms_ARJGO_131590</w:t>
            </w:r>
          </w:p>
        </w:tc>
      </w:tr>
      <w:tr w:rsidR="0000007A" w:rsidRPr="00D852EF" w14:paraId="7CF141C4" w14:textId="77777777" w:rsidTr="00BE0D02">
        <w:trPr>
          <w:trHeight w:val="650"/>
        </w:trPr>
        <w:tc>
          <w:tcPr>
            <w:tcW w:w="1253" w:type="pct"/>
          </w:tcPr>
          <w:p w14:paraId="175E3258" w14:textId="77777777" w:rsidR="0000007A" w:rsidRPr="00D852EF" w:rsidRDefault="0000007A" w:rsidP="00D852EF">
            <w:pPr>
              <w:pStyle w:val="BodyText"/>
              <w:widowControl w:val="0"/>
              <w:ind w:left="90"/>
              <w:jc w:val="left"/>
              <w:rPr>
                <w:rFonts w:ascii="Arial" w:hAnsi="Arial" w:cs="Arial"/>
                <w:bCs/>
                <w:sz w:val="20"/>
                <w:szCs w:val="20"/>
                <w:lang w:val="en-GB"/>
              </w:rPr>
            </w:pPr>
            <w:r w:rsidRPr="00D852EF">
              <w:rPr>
                <w:rFonts w:ascii="Arial" w:hAnsi="Arial" w:cs="Arial"/>
                <w:bCs/>
                <w:sz w:val="20"/>
                <w:szCs w:val="20"/>
                <w:lang w:val="en-GB"/>
              </w:rPr>
              <w:t xml:space="preserve">Title of the Manuscript: </w:t>
            </w:r>
          </w:p>
        </w:tc>
        <w:tc>
          <w:tcPr>
            <w:tcW w:w="3747" w:type="pct"/>
            <w:shd w:val="clear" w:color="auto" w:fill="auto"/>
            <w:tcMar>
              <w:top w:w="0" w:type="dxa"/>
              <w:left w:w="108" w:type="dxa"/>
              <w:bottom w:w="0" w:type="dxa"/>
              <w:right w:w="108" w:type="dxa"/>
            </w:tcMar>
            <w:vAlign w:val="center"/>
          </w:tcPr>
          <w:p w14:paraId="13BE0C79" w14:textId="77777777" w:rsidR="0000007A" w:rsidRPr="00D852EF" w:rsidRDefault="00A0418E" w:rsidP="00D852EF">
            <w:pPr>
              <w:pStyle w:val="NormalWeb"/>
              <w:widowControl w:val="0"/>
              <w:spacing w:before="0" w:beforeAutospacing="0" w:after="0" w:afterAutospacing="0"/>
              <w:rPr>
                <w:rFonts w:ascii="Arial" w:hAnsi="Arial" w:cs="Arial"/>
                <w:b/>
                <w:sz w:val="20"/>
                <w:szCs w:val="20"/>
                <w:lang w:val="en-GB"/>
              </w:rPr>
            </w:pPr>
            <w:r w:rsidRPr="00D852EF">
              <w:rPr>
                <w:rFonts w:ascii="Arial" w:hAnsi="Arial" w:cs="Arial"/>
                <w:b/>
                <w:sz w:val="20"/>
                <w:szCs w:val="20"/>
                <w:lang w:val="en-GB"/>
              </w:rPr>
              <w:t>An Elusive Diagnosis: Malignant PEComa of the Uterus Mimicking Uterine Fibroids – A Rare Case Report.</w:t>
            </w:r>
          </w:p>
        </w:tc>
      </w:tr>
      <w:tr w:rsidR="00CF0BBB" w:rsidRPr="00D852EF" w14:paraId="76FB36F8" w14:textId="77777777" w:rsidTr="00BE0D02">
        <w:trPr>
          <w:trHeight w:val="332"/>
        </w:trPr>
        <w:tc>
          <w:tcPr>
            <w:tcW w:w="1253" w:type="pct"/>
          </w:tcPr>
          <w:p w14:paraId="4E74E4CD" w14:textId="77777777" w:rsidR="00CF0BBB" w:rsidRPr="00D852EF" w:rsidRDefault="00CF0BBB" w:rsidP="00D852EF">
            <w:pPr>
              <w:pStyle w:val="BodyText"/>
              <w:widowControl w:val="0"/>
              <w:ind w:left="90"/>
              <w:jc w:val="left"/>
              <w:rPr>
                <w:rFonts w:ascii="Arial" w:hAnsi="Arial" w:cs="Arial"/>
                <w:bCs/>
                <w:sz w:val="20"/>
                <w:szCs w:val="20"/>
                <w:lang w:val="en-GB"/>
              </w:rPr>
            </w:pPr>
            <w:r w:rsidRPr="00D852EF">
              <w:rPr>
                <w:rFonts w:ascii="Arial" w:hAnsi="Arial" w:cs="Arial"/>
                <w:bCs/>
                <w:sz w:val="20"/>
                <w:szCs w:val="20"/>
                <w:lang w:val="en-GB"/>
              </w:rPr>
              <w:t>Type of the Article</w:t>
            </w:r>
          </w:p>
        </w:tc>
        <w:tc>
          <w:tcPr>
            <w:tcW w:w="3747" w:type="pct"/>
            <w:shd w:val="clear" w:color="auto" w:fill="auto"/>
            <w:tcMar>
              <w:top w:w="0" w:type="dxa"/>
              <w:left w:w="108" w:type="dxa"/>
              <w:bottom w:w="0" w:type="dxa"/>
              <w:right w:w="108" w:type="dxa"/>
            </w:tcMar>
            <w:vAlign w:val="center"/>
          </w:tcPr>
          <w:p w14:paraId="757A7C30" w14:textId="77777777" w:rsidR="00CF0BBB" w:rsidRPr="00D852EF" w:rsidRDefault="00A0418E" w:rsidP="00D852EF">
            <w:pPr>
              <w:pStyle w:val="NormalWeb"/>
              <w:widowControl w:val="0"/>
              <w:spacing w:before="0" w:beforeAutospacing="0" w:after="0" w:afterAutospacing="0"/>
              <w:rPr>
                <w:rFonts w:ascii="Arial" w:hAnsi="Arial" w:cs="Arial"/>
                <w:b/>
                <w:sz w:val="20"/>
                <w:szCs w:val="20"/>
                <w:lang w:val="en-GB"/>
              </w:rPr>
            </w:pPr>
            <w:r w:rsidRPr="00D852EF">
              <w:rPr>
                <w:rFonts w:ascii="Arial" w:hAnsi="Arial" w:cs="Arial"/>
                <w:b/>
                <w:sz w:val="20"/>
                <w:szCs w:val="20"/>
                <w:lang w:val="en-GB"/>
              </w:rPr>
              <w:t>Case report</w:t>
            </w:r>
          </w:p>
        </w:tc>
      </w:tr>
    </w:tbl>
    <w:p w14:paraId="3A6A3BE1" w14:textId="365B37CA" w:rsidR="00B52CFB" w:rsidRPr="00D852EF" w:rsidRDefault="00B52CFB" w:rsidP="00D852EF">
      <w:pPr>
        <w:widowControl w:val="0"/>
        <w:rPr>
          <w:rFonts w:ascii="Arial" w:hAnsi="Arial" w:cs="Arial"/>
          <w:sz w:val="20"/>
          <w:szCs w:val="20"/>
        </w:rPr>
      </w:pPr>
      <w:bookmarkStart w:id="0" w:name="_Hlk171324449"/>
      <w:bookmarkStart w:id="1" w:name="_Hlk170903434"/>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5"/>
        <w:gridCol w:w="8031"/>
        <w:gridCol w:w="7654"/>
      </w:tblGrid>
      <w:tr w:rsidR="00B52CFB" w:rsidRPr="00D852EF" w14:paraId="0477E7F6" w14:textId="77777777" w:rsidTr="00776CBB">
        <w:tc>
          <w:tcPr>
            <w:tcW w:w="5000" w:type="pct"/>
            <w:gridSpan w:val="3"/>
            <w:tcBorders>
              <w:top w:val="nil"/>
              <w:left w:val="nil"/>
              <w:right w:val="nil"/>
            </w:tcBorders>
            <w:noWrap/>
          </w:tcPr>
          <w:p w14:paraId="18880992" w14:textId="77777777" w:rsidR="00B52CFB" w:rsidRPr="00D852EF" w:rsidRDefault="00B52CFB" w:rsidP="00D852EF">
            <w:pPr>
              <w:pStyle w:val="Heading2"/>
              <w:keepNext w:val="0"/>
              <w:widowControl w:val="0"/>
              <w:jc w:val="left"/>
              <w:rPr>
                <w:rFonts w:ascii="Arial" w:hAnsi="Arial" w:cs="Arial"/>
                <w:lang w:val="en-GB"/>
              </w:rPr>
            </w:pPr>
            <w:r w:rsidRPr="00D852EF">
              <w:rPr>
                <w:rFonts w:ascii="Arial" w:hAnsi="Arial" w:cs="Arial"/>
                <w:highlight w:val="yellow"/>
                <w:lang w:val="en-GB"/>
              </w:rPr>
              <w:t>PART  1:</w:t>
            </w:r>
            <w:r w:rsidRPr="00D852EF">
              <w:rPr>
                <w:rFonts w:ascii="Arial" w:hAnsi="Arial" w:cs="Arial"/>
                <w:lang w:val="en-GB"/>
              </w:rPr>
              <w:t xml:space="preserve"> Comments</w:t>
            </w:r>
          </w:p>
          <w:p w14:paraId="35E3EFEB" w14:textId="77777777" w:rsidR="00B52CFB" w:rsidRPr="00D852EF" w:rsidRDefault="00B52CFB" w:rsidP="00D852EF">
            <w:pPr>
              <w:widowControl w:val="0"/>
              <w:rPr>
                <w:rFonts w:ascii="Arial" w:hAnsi="Arial" w:cs="Arial"/>
                <w:sz w:val="20"/>
                <w:szCs w:val="20"/>
                <w:lang w:val="en-GB"/>
              </w:rPr>
            </w:pPr>
          </w:p>
        </w:tc>
      </w:tr>
      <w:tr w:rsidR="00B52CFB" w:rsidRPr="00D852EF" w14:paraId="270FB93F" w14:textId="77777777" w:rsidTr="00776CBB">
        <w:tc>
          <w:tcPr>
            <w:tcW w:w="1262" w:type="pct"/>
            <w:noWrap/>
          </w:tcPr>
          <w:p w14:paraId="070A76D4" w14:textId="77777777" w:rsidR="00B52CFB" w:rsidRPr="00D852EF" w:rsidRDefault="00B52CFB" w:rsidP="00D852EF">
            <w:pPr>
              <w:pStyle w:val="Heading2"/>
              <w:keepNext w:val="0"/>
              <w:widowControl w:val="0"/>
              <w:jc w:val="left"/>
              <w:rPr>
                <w:rFonts w:ascii="Arial" w:hAnsi="Arial" w:cs="Arial"/>
                <w:lang w:val="en-GB"/>
              </w:rPr>
            </w:pPr>
          </w:p>
        </w:tc>
        <w:tc>
          <w:tcPr>
            <w:tcW w:w="1914" w:type="pct"/>
          </w:tcPr>
          <w:p w14:paraId="377D47CE" w14:textId="77777777" w:rsidR="00B52CFB" w:rsidRPr="00D852EF" w:rsidRDefault="00B52CFB" w:rsidP="00D852EF">
            <w:pPr>
              <w:pStyle w:val="Heading2"/>
              <w:keepNext w:val="0"/>
              <w:widowControl w:val="0"/>
              <w:jc w:val="left"/>
              <w:rPr>
                <w:rFonts w:ascii="Arial" w:hAnsi="Arial" w:cs="Arial"/>
                <w:lang w:val="en-GB"/>
              </w:rPr>
            </w:pPr>
            <w:r w:rsidRPr="00D852EF">
              <w:rPr>
                <w:rFonts w:ascii="Arial" w:hAnsi="Arial" w:cs="Arial"/>
                <w:lang w:val="en-GB"/>
              </w:rPr>
              <w:t>Reviewer’s comment</w:t>
            </w:r>
          </w:p>
          <w:p w14:paraId="5C388ACB" w14:textId="77777777" w:rsidR="009976D2" w:rsidRPr="00D852EF" w:rsidRDefault="009976D2" w:rsidP="00D852EF">
            <w:pPr>
              <w:widowControl w:val="0"/>
              <w:rPr>
                <w:rFonts w:ascii="Arial" w:hAnsi="Arial" w:cs="Arial"/>
                <w:b/>
                <w:bCs/>
                <w:sz w:val="20"/>
                <w:szCs w:val="20"/>
              </w:rPr>
            </w:pPr>
            <w:r w:rsidRPr="00D852EF">
              <w:rPr>
                <w:rFonts w:ascii="Arial" w:hAnsi="Arial" w:cs="Arial"/>
                <w:b/>
                <w:bCs/>
                <w:sz w:val="20"/>
                <w:szCs w:val="20"/>
                <w:highlight w:val="yellow"/>
              </w:rPr>
              <w:t>Artificial Intelligence (AI) generated or assisted review comments are strictly prohibited during peer review.</w:t>
            </w:r>
          </w:p>
          <w:p w14:paraId="0031693D" w14:textId="77777777" w:rsidR="009976D2" w:rsidRPr="00D852EF" w:rsidRDefault="009976D2" w:rsidP="00D852EF">
            <w:pPr>
              <w:widowControl w:val="0"/>
              <w:rPr>
                <w:rFonts w:ascii="Arial" w:hAnsi="Arial" w:cs="Arial"/>
                <w:sz w:val="20"/>
                <w:szCs w:val="20"/>
                <w:lang w:val="en-GB"/>
              </w:rPr>
            </w:pPr>
          </w:p>
        </w:tc>
        <w:tc>
          <w:tcPr>
            <w:tcW w:w="1824" w:type="pct"/>
          </w:tcPr>
          <w:p w14:paraId="029EF453" w14:textId="77777777" w:rsidR="00B52CFB" w:rsidRPr="00D852EF" w:rsidRDefault="00B52CFB" w:rsidP="00D852EF">
            <w:pPr>
              <w:pStyle w:val="Heading2"/>
              <w:keepNext w:val="0"/>
              <w:widowControl w:val="0"/>
              <w:jc w:val="left"/>
              <w:rPr>
                <w:rFonts w:ascii="Arial" w:hAnsi="Arial" w:cs="Arial"/>
                <w:b w:val="0"/>
                <w:lang w:val="en-GB"/>
              </w:rPr>
            </w:pPr>
            <w:r w:rsidRPr="00D852EF">
              <w:rPr>
                <w:rFonts w:ascii="Arial" w:hAnsi="Arial" w:cs="Arial"/>
                <w:lang w:val="en-GB"/>
              </w:rPr>
              <w:t>Author’s Feedback</w:t>
            </w:r>
            <w:r w:rsidRPr="00D852EF">
              <w:rPr>
                <w:rFonts w:ascii="Arial" w:hAnsi="Arial" w:cs="Arial"/>
                <w:b w:val="0"/>
                <w:lang w:val="en-GB"/>
              </w:rPr>
              <w:t xml:space="preserve"> </w:t>
            </w:r>
            <w:r w:rsidRPr="00D852EF">
              <w:rPr>
                <w:rFonts w:ascii="Arial" w:hAnsi="Arial" w:cs="Arial"/>
                <w:b w:val="0"/>
                <w:i/>
                <w:lang w:val="en-GB"/>
              </w:rPr>
              <w:t>(Please correct the manuscript and highlight that part in the manuscript. It is mandatory that authors should write his/her feedback here)</w:t>
            </w:r>
          </w:p>
        </w:tc>
      </w:tr>
      <w:tr w:rsidR="00B52CFB" w:rsidRPr="00D852EF" w14:paraId="2EB6E8AA" w14:textId="77777777" w:rsidTr="00776CBB">
        <w:trPr>
          <w:trHeight w:val="1264"/>
        </w:trPr>
        <w:tc>
          <w:tcPr>
            <w:tcW w:w="1262" w:type="pct"/>
            <w:noWrap/>
          </w:tcPr>
          <w:p w14:paraId="2142645E" w14:textId="77777777" w:rsidR="00B52CFB" w:rsidRPr="00D852EF" w:rsidRDefault="00B52CFB" w:rsidP="00D852EF">
            <w:pPr>
              <w:widowControl w:val="0"/>
              <w:ind w:left="360"/>
              <w:rPr>
                <w:rFonts w:ascii="Arial" w:hAnsi="Arial" w:cs="Arial"/>
                <w:b/>
                <w:bCs/>
                <w:sz w:val="20"/>
                <w:szCs w:val="20"/>
                <w:lang w:val="en-GB"/>
              </w:rPr>
            </w:pPr>
            <w:r w:rsidRPr="00D852E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B113079" w14:textId="77777777" w:rsidR="00B52CFB" w:rsidRPr="00D852EF" w:rsidRDefault="00B52CFB" w:rsidP="00D852EF">
            <w:pPr>
              <w:widowControl w:val="0"/>
              <w:ind w:left="360"/>
              <w:rPr>
                <w:rFonts w:ascii="Arial" w:eastAsia="MS Mincho" w:hAnsi="Arial" w:cs="Arial"/>
                <w:b/>
                <w:bCs/>
                <w:sz w:val="20"/>
                <w:szCs w:val="20"/>
                <w:lang w:val="en-GB"/>
              </w:rPr>
            </w:pPr>
          </w:p>
        </w:tc>
        <w:tc>
          <w:tcPr>
            <w:tcW w:w="1914" w:type="pct"/>
          </w:tcPr>
          <w:p w14:paraId="2D7D4446" w14:textId="77777777" w:rsidR="00376F0A" w:rsidRPr="00D852EF" w:rsidRDefault="00251CFE" w:rsidP="00D852EF">
            <w:pPr>
              <w:pStyle w:val="HTMLPreformatted"/>
              <w:widowControl w:val="0"/>
              <w:shd w:val="clear" w:color="auto" w:fill="F8F9FA"/>
              <w:rPr>
                <w:rFonts w:ascii="Arial" w:hAnsi="Arial" w:cs="Arial"/>
                <w:color w:val="1F1F1F"/>
              </w:rPr>
            </w:pPr>
            <w:r w:rsidRPr="00D852EF">
              <w:rPr>
                <w:rFonts w:ascii="Arial" w:hAnsi="Arial" w:cs="Arial"/>
                <w:color w:val="1F1F1F"/>
                <w:lang w:val="en"/>
              </w:rPr>
              <w:t>Malignant PEComa is still</w:t>
            </w:r>
            <w:r w:rsidR="003E18A5" w:rsidRPr="00D852EF">
              <w:rPr>
                <w:rFonts w:ascii="Arial" w:hAnsi="Arial" w:cs="Arial"/>
                <w:color w:val="1F1F1F"/>
                <w:lang w:val="en"/>
              </w:rPr>
              <w:t xml:space="preserve"> a rare tumoral en</w:t>
            </w:r>
            <w:r w:rsidRPr="00D852EF">
              <w:rPr>
                <w:rFonts w:ascii="Arial" w:hAnsi="Arial" w:cs="Arial"/>
                <w:color w:val="1F1F1F"/>
                <w:lang w:val="en"/>
              </w:rPr>
              <w:t>tity, therefore reviews on the</w:t>
            </w:r>
            <w:r w:rsidR="003E18A5" w:rsidRPr="00D852EF">
              <w:rPr>
                <w:rFonts w:ascii="Arial" w:hAnsi="Arial" w:cs="Arial"/>
                <w:color w:val="1F1F1F"/>
                <w:lang w:val="en"/>
              </w:rPr>
              <w:t xml:space="preserve"> diagnosis and treatment are always valuable to increase the vigilance of doctors towards rare lesions.</w:t>
            </w:r>
            <w:r w:rsidRPr="00D852EF">
              <w:rPr>
                <w:rFonts w:ascii="Arial" w:hAnsi="Arial" w:cs="Arial"/>
                <w:color w:val="1F1F1F"/>
                <w:lang w:val="en"/>
              </w:rPr>
              <w:t xml:space="preserve"> </w:t>
            </w:r>
            <w:r w:rsidRPr="00D852EF">
              <w:rPr>
                <w:rStyle w:val="y2iqfc"/>
                <w:rFonts w:ascii="Arial" w:hAnsi="Arial" w:cs="Arial"/>
                <w:color w:val="1F1F1F"/>
                <w:lang w:val="en"/>
              </w:rPr>
              <w:t xml:space="preserve">Reporting the diagnosis of new cases and collecting the progress of their treatment is always valuable to create a complete database in scientific reporting. </w:t>
            </w:r>
            <w:r w:rsidR="00376F0A" w:rsidRPr="00D852EF">
              <w:rPr>
                <w:rFonts w:ascii="Arial" w:hAnsi="Arial" w:cs="Arial"/>
                <w:color w:val="1F1F1F"/>
                <w:lang w:val="en"/>
              </w:rPr>
              <w:t>Although the diagnosis of PEcoma is determined by clear histopathological criteria, there is no evidence and protocols for its preoperative diagnosis to enable a clear protocol in the way of patient management.</w:t>
            </w:r>
          </w:p>
          <w:p w14:paraId="39B0F700" w14:textId="77777777" w:rsidR="00251CFE" w:rsidRPr="00D852EF" w:rsidRDefault="00251CFE" w:rsidP="00D852EF">
            <w:pPr>
              <w:pStyle w:val="HTMLPreformatted"/>
              <w:widowControl w:val="0"/>
              <w:shd w:val="clear" w:color="auto" w:fill="F8F9FA"/>
              <w:rPr>
                <w:rFonts w:ascii="Arial" w:hAnsi="Arial" w:cs="Arial"/>
                <w:color w:val="1F1F1F"/>
              </w:rPr>
            </w:pPr>
          </w:p>
          <w:p w14:paraId="55009AB8" w14:textId="77777777" w:rsidR="003E18A5" w:rsidRPr="00D852EF" w:rsidRDefault="003E18A5" w:rsidP="00D852EF">
            <w:pPr>
              <w:widowControl w:val="0"/>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1F1F1F"/>
                <w:sz w:val="20"/>
                <w:szCs w:val="20"/>
                <w:lang w:val="en-GB" w:eastAsia="en-GB"/>
              </w:rPr>
            </w:pPr>
          </w:p>
          <w:p w14:paraId="133C73AA" w14:textId="77777777" w:rsidR="00B52CFB" w:rsidRPr="00D852EF" w:rsidRDefault="00B52CFB" w:rsidP="00D852EF">
            <w:pPr>
              <w:pStyle w:val="ListParagraph"/>
              <w:widowControl w:val="0"/>
              <w:ind w:left="0"/>
              <w:rPr>
                <w:rFonts w:ascii="Arial" w:hAnsi="Arial" w:cs="Arial"/>
                <w:b/>
                <w:bCs/>
                <w:sz w:val="20"/>
                <w:szCs w:val="20"/>
                <w:lang w:val="en-GB"/>
              </w:rPr>
            </w:pPr>
          </w:p>
        </w:tc>
        <w:tc>
          <w:tcPr>
            <w:tcW w:w="1824" w:type="pct"/>
          </w:tcPr>
          <w:p w14:paraId="112E0D0A" w14:textId="61A0939D" w:rsidR="00B52CFB" w:rsidRPr="00D852EF" w:rsidRDefault="00334BB9" w:rsidP="00D852EF">
            <w:pPr>
              <w:pStyle w:val="Heading2"/>
              <w:keepNext w:val="0"/>
              <w:widowControl w:val="0"/>
              <w:jc w:val="left"/>
              <w:rPr>
                <w:rFonts w:ascii="Arial" w:hAnsi="Arial" w:cs="Arial"/>
                <w:b w:val="0"/>
                <w:lang w:val="en-GB"/>
              </w:rPr>
            </w:pPr>
            <w:r w:rsidRPr="00D852EF">
              <w:rPr>
                <w:rFonts w:ascii="Arial" w:hAnsi="Arial" w:cs="Arial"/>
                <w:b w:val="0"/>
                <w:lang w:val="en-GB"/>
              </w:rPr>
              <w:t>Thank you for your kind Comment.</w:t>
            </w:r>
            <w:r w:rsidR="00F953ED" w:rsidRPr="00D852EF">
              <w:rPr>
                <w:rFonts w:ascii="Arial" w:hAnsi="Arial" w:cs="Arial"/>
                <w:b w:val="0"/>
                <w:lang w:val="en-GB"/>
              </w:rPr>
              <w:t xml:space="preserve"> </w:t>
            </w:r>
            <w:proofErr w:type="gramStart"/>
            <w:r w:rsidR="003647D6" w:rsidRPr="00D852EF">
              <w:rPr>
                <w:rFonts w:ascii="Arial" w:hAnsi="Arial" w:cs="Arial"/>
                <w:b w:val="0"/>
                <w:lang w:val="en-GB"/>
              </w:rPr>
              <w:t>Yes</w:t>
            </w:r>
            <w:proofErr w:type="gramEnd"/>
            <w:r w:rsidR="003647D6" w:rsidRPr="00D852EF">
              <w:rPr>
                <w:rFonts w:ascii="Arial" w:hAnsi="Arial" w:cs="Arial"/>
                <w:b w:val="0"/>
                <w:lang w:val="en-GB"/>
              </w:rPr>
              <w:t xml:space="preserve"> I do agree with you on the matter on difficulty of </w:t>
            </w:r>
            <w:r w:rsidR="00280FDD" w:rsidRPr="00D852EF">
              <w:rPr>
                <w:rFonts w:ascii="Arial" w:hAnsi="Arial" w:cs="Arial"/>
                <w:b w:val="0"/>
                <w:lang w:val="en-GB"/>
              </w:rPr>
              <w:t xml:space="preserve">preoperative diagnosis. Hopefully, </w:t>
            </w:r>
            <w:r w:rsidR="00F241AE" w:rsidRPr="00D852EF">
              <w:rPr>
                <w:rFonts w:ascii="Arial" w:hAnsi="Arial" w:cs="Arial"/>
                <w:b w:val="0"/>
                <w:lang w:val="en-GB"/>
              </w:rPr>
              <w:t xml:space="preserve">an established protocol is made possible in the future with more reported cases. </w:t>
            </w:r>
          </w:p>
        </w:tc>
      </w:tr>
      <w:tr w:rsidR="00B52CFB" w:rsidRPr="00D852EF" w14:paraId="1D438722" w14:textId="77777777" w:rsidTr="00776CBB">
        <w:trPr>
          <w:trHeight w:val="1262"/>
        </w:trPr>
        <w:tc>
          <w:tcPr>
            <w:tcW w:w="1262" w:type="pct"/>
            <w:noWrap/>
          </w:tcPr>
          <w:p w14:paraId="3A0885CB" w14:textId="77777777" w:rsidR="00B52CFB" w:rsidRPr="00D852EF" w:rsidRDefault="00B52CFB" w:rsidP="00D852EF">
            <w:pPr>
              <w:widowControl w:val="0"/>
              <w:ind w:left="360"/>
              <w:rPr>
                <w:rFonts w:ascii="Arial" w:hAnsi="Arial" w:cs="Arial"/>
                <w:b/>
                <w:bCs/>
                <w:sz w:val="20"/>
                <w:szCs w:val="20"/>
                <w:lang w:val="en-GB"/>
              </w:rPr>
            </w:pPr>
            <w:r w:rsidRPr="00D852EF">
              <w:rPr>
                <w:rFonts w:ascii="Arial" w:hAnsi="Arial" w:cs="Arial"/>
                <w:b/>
                <w:bCs/>
                <w:sz w:val="20"/>
                <w:szCs w:val="20"/>
                <w:lang w:val="en-GB"/>
              </w:rPr>
              <w:t>Is the title of the article suitable?</w:t>
            </w:r>
          </w:p>
          <w:p w14:paraId="740193E3" w14:textId="77777777" w:rsidR="00B52CFB" w:rsidRPr="00D852EF" w:rsidRDefault="00B52CFB" w:rsidP="00D852EF">
            <w:pPr>
              <w:widowControl w:val="0"/>
              <w:ind w:left="360"/>
              <w:rPr>
                <w:rFonts w:ascii="Arial" w:hAnsi="Arial" w:cs="Arial"/>
                <w:b/>
                <w:bCs/>
                <w:sz w:val="20"/>
                <w:szCs w:val="20"/>
                <w:lang w:val="en-GB"/>
              </w:rPr>
            </w:pPr>
            <w:r w:rsidRPr="00D852EF">
              <w:rPr>
                <w:rFonts w:ascii="Arial" w:hAnsi="Arial" w:cs="Arial"/>
                <w:b/>
                <w:bCs/>
                <w:sz w:val="20"/>
                <w:szCs w:val="20"/>
                <w:lang w:val="en-GB"/>
              </w:rPr>
              <w:t>(If not please suggest an alternative title)</w:t>
            </w:r>
          </w:p>
          <w:p w14:paraId="7B934ED1" w14:textId="77777777" w:rsidR="00B52CFB" w:rsidRPr="00D852EF" w:rsidRDefault="00B52CFB" w:rsidP="00D852EF">
            <w:pPr>
              <w:pStyle w:val="Heading2"/>
              <w:keepNext w:val="0"/>
              <w:widowControl w:val="0"/>
              <w:jc w:val="left"/>
              <w:rPr>
                <w:rFonts w:ascii="Arial" w:hAnsi="Arial" w:cs="Arial"/>
                <w:u w:val="single"/>
                <w:lang w:val="en-GB"/>
              </w:rPr>
            </w:pPr>
          </w:p>
        </w:tc>
        <w:tc>
          <w:tcPr>
            <w:tcW w:w="1914" w:type="pct"/>
          </w:tcPr>
          <w:p w14:paraId="5D43A295" w14:textId="77777777" w:rsidR="00994D13" w:rsidRPr="00D852EF" w:rsidRDefault="00994D13" w:rsidP="00D852EF">
            <w:pPr>
              <w:widowControl w:val="0"/>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Arial" w:hAnsi="Arial" w:cs="Arial"/>
                <w:color w:val="1F1F1F"/>
                <w:sz w:val="20"/>
                <w:szCs w:val="20"/>
                <w:lang w:val="en-GB" w:eastAsia="en-GB"/>
              </w:rPr>
            </w:pPr>
            <w:r w:rsidRPr="00D852EF">
              <w:rPr>
                <w:rFonts w:ascii="Arial" w:hAnsi="Arial" w:cs="Arial"/>
                <w:color w:val="1F1F1F"/>
                <w:sz w:val="20"/>
                <w:szCs w:val="20"/>
                <w:lang w:val="en" w:eastAsia="en-GB"/>
              </w:rPr>
              <w:t>The title is consistent with the content of the article, it attracts attention and I think it is appropriate</w:t>
            </w:r>
          </w:p>
          <w:p w14:paraId="06C1154F" w14:textId="77777777" w:rsidR="00B52CFB" w:rsidRPr="00D852EF" w:rsidRDefault="00B52CFB" w:rsidP="00D852EF">
            <w:pPr>
              <w:widowControl w:val="0"/>
              <w:ind w:left="360"/>
              <w:rPr>
                <w:rFonts w:ascii="Arial" w:hAnsi="Arial" w:cs="Arial"/>
                <w:b/>
                <w:bCs/>
                <w:sz w:val="20"/>
                <w:szCs w:val="20"/>
                <w:lang w:val="en-GB"/>
              </w:rPr>
            </w:pPr>
          </w:p>
        </w:tc>
        <w:tc>
          <w:tcPr>
            <w:tcW w:w="1824" w:type="pct"/>
          </w:tcPr>
          <w:p w14:paraId="385B2FBF" w14:textId="0FA2D7B5" w:rsidR="00B52CFB" w:rsidRPr="00D852EF" w:rsidRDefault="00027C48" w:rsidP="00D852EF">
            <w:pPr>
              <w:pStyle w:val="Heading2"/>
              <w:keepNext w:val="0"/>
              <w:widowControl w:val="0"/>
              <w:jc w:val="left"/>
              <w:rPr>
                <w:rFonts w:ascii="Arial" w:hAnsi="Arial" w:cs="Arial"/>
                <w:b w:val="0"/>
                <w:lang w:val="en-GB"/>
              </w:rPr>
            </w:pPr>
            <w:r w:rsidRPr="00D852EF">
              <w:rPr>
                <w:rFonts w:ascii="Arial" w:hAnsi="Arial" w:cs="Arial"/>
                <w:b w:val="0"/>
                <w:lang w:val="en-GB"/>
              </w:rPr>
              <w:t xml:space="preserve">Thank you </w:t>
            </w:r>
          </w:p>
        </w:tc>
      </w:tr>
      <w:tr w:rsidR="00B52CFB" w:rsidRPr="00D852EF" w14:paraId="49F9CF68" w14:textId="77777777" w:rsidTr="00776CBB">
        <w:trPr>
          <w:trHeight w:val="1262"/>
        </w:trPr>
        <w:tc>
          <w:tcPr>
            <w:tcW w:w="1262" w:type="pct"/>
            <w:noWrap/>
          </w:tcPr>
          <w:p w14:paraId="42A3E789" w14:textId="77777777" w:rsidR="00B52CFB" w:rsidRPr="00D852EF" w:rsidRDefault="00B52CFB" w:rsidP="00D852EF">
            <w:pPr>
              <w:pStyle w:val="Heading2"/>
              <w:keepNext w:val="0"/>
              <w:widowControl w:val="0"/>
              <w:ind w:left="360"/>
              <w:jc w:val="left"/>
              <w:rPr>
                <w:rFonts w:ascii="Arial" w:hAnsi="Arial" w:cs="Arial"/>
                <w:lang w:val="en-GB"/>
              </w:rPr>
            </w:pPr>
            <w:r w:rsidRPr="00D852EF">
              <w:rPr>
                <w:rFonts w:ascii="Arial" w:hAnsi="Arial" w:cs="Arial"/>
                <w:lang w:val="en-GB"/>
              </w:rPr>
              <w:t>Is the abstract of the article comprehensive? Do you suggest the addition (or deletion) of some points in this section? Please write your suggestions here.</w:t>
            </w:r>
          </w:p>
          <w:p w14:paraId="24F657DA" w14:textId="77777777" w:rsidR="00B52CFB" w:rsidRPr="00D852EF" w:rsidRDefault="00B52CFB" w:rsidP="00D852EF">
            <w:pPr>
              <w:pStyle w:val="Heading2"/>
              <w:keepNext w:val="0"/>
              <w:widowControl w:val="0"/>
              <w:jc w:val="left"/>
              <w:rPr>
                <w:rFonts w:ascii="Arial" w:hAnsi="Arial" w:cs="Arial"/>
                <w:u w:val="single"/>
                <w:lang w:val="en-GB"/>
              </w:rPr>
            </w:pPr>
          </w:p>
        </w:tc>
        <w:tc>
          <w:tcPr>
            <w:tcW w:w="1914" w:type="pct"/>
          </w:tcPr>
          <w:p w14:paraId="1994FAF3" w14:textId="77777777" w:rsidR="001F2218" w:rsidRPr="00D852EF" w:rsidRDefault="001F2218" w:rsidP="00D852EF">
            <w:pPr>
              <w:widowControl w:val="0"/>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1F1F1F"/>
                <w:sz w:val="20"/>
                <w:szCs w:val="20"/>
                <w:lang w:val="en-GB" w:eastAsia="en-GB"/>
              </w:rPr>
            </w:pPr>
            <w:r w:rsidRPr="00D852EF">
              <w:rPr>
                <w:rFonts w:ascii="Arial" w:hAnsi="Arial" w:cs="Arial"/>
                <w:color w:val="1F1F1F"/>
                <w:sz w:val="20"/>
                <w:szCs w:val="20"/>
                <w:lang w:val="en" w:eastAsia="en-GB"/>
              </w:rPr>
              <w:t>The abstract is clear and understandable, I think it should be emphasized more the way of follow-up and treatment and the possibilities of preoperative diagnosis</w:t>
            </w:r>
          </w:p>
          <w:p w14:paraId="036BEAF6" w14:textId="77777777" w:rsidR="00B52CFB" w:rsidRPr="00D852EF" w:rsidRDefault="00B52CFB" w:rsidP="00D852EF">
            <w:pPr>
              <w:widowControl w:val="0"/>
              <w:ind w:left="360"/>
              <w:rPr>
                <w:rFonts w:ascii="Arial" w:hAnsi="Arial" w:cs="Arial"/>
                <w:b/>
                <w:bCs/>
                <w:sz w:val="20"/>
                <w:szCs w:val="20"/>
                <w:lang w:val="en-GB"/>
              </w:rPr>
            </w:pPr>
          </w:p>
        </w:tc>
        <w:tc>
          <w:tcPr>
            <w:tcW w:w="1824" w:type="pct"/>
          </w:tcPr>
          <w:p w14:paraId="5E21990F" w14:textId="1EE7A20B" w:rsidR="00B52CFB" w:rsidRPr="00D852EF" w:rsidRDefault="0079362F" w:rsidP="00D852EF">
            <w:pPr>
              <w:pStyle w:val="Heading2"/>
              <w:keepNext w:val="0"/>
              <w:widowControl w:val="0"/>
              <w:jc w:val="left"/>
              <w:rPr>
                <w:rFonts w:ascii="Arial" w:hAnsi="Arial" w:cs="Arial"/>
                <w:b w:val="0"/>
                <w:lang w:val="en-GB"/>
              </w:rPr>
            </w:pPr>
            <w:r w:rsidRPr="00D852EF">
              <w:rPr>
                <w:rFonts w:ascii="Arial" w:hAnsi="Arial" w:cs="Arial"/>
                <w:b w:val="0"/>
                <w:lang w:val="en-GB"/>
              </w:rPr>
              <w:t xml:space="preserve">Thank you for the suggestion and I have minor changes (highlighted in yellow) </w:t>
            </w:r>
            <w:r w:rsidR="00692036" w:rsidRPr="00D852EF">
              <w:rPr>
                <w:rFonts w:ascii="Arial" w:hAnsi="Arial" w:cs="Arial"/>
                <w:b w:val="0"/>
                <w:lang w:val="en-GB"/>
              </w:rPr>
              <w:t>in the abstract</w:t>
            </w:r>
            <w:r w:rsidR="0019297A" w:rsidRPr="00D852EF">
              <w:rPr>
                <w:rFonts w:ascii="Arial" w:hAnsi="Arial" w:cs="Arial"/>
                <w:b w:val="0"/>
                <w:lang w:val="en-GB"/>
              </w:rPr>
              <w:t xml:space="preserve"> as wel</w:t>
            </w:r>
            <w:r w:rsidR="00204453" w:rsidRPr="00D852EF">
              <w:rPr>
                <w:rFonts w:ascii="Arial" w:hAnsi="Arial" w:cs="Arial"/>
                <w:b w:val="0"/>
                <w:lang w:val="en-GB"/>
              </w:rPr>
              <w:t>l as in the case discussion with recent reference</w:t>
            </w:r>
            <w:r w:rsidR="000866C3" w:rsidRPr="00D852EF">
              <w:rPr>
                <w:rFonts w:ascii="Arial" w:hAnsi="Arial" w:cs="Arial"/>
                <w:b w:val="0"/>
                <w:lang w:val="en-GB"/>
              </w:rPr>
              <w:t xml:space="preserve"> added).</w:t>
            </w:r>
          </w:p>
        </w:tc>
      </w:tr>
      <w:tr w:rsidR="00B52CFB" w:rsidRPr="00D852EF" w14:paraId="1044DF91" w14:textId="77777777" w:rsidTr="00776CBB">
        <w:trPr>
          <w:trHeight w:val="704"/>
        </w:trPr>
        <w:tc>
          <w:tcPr>
            <w:tcW w:w="1262" w:type="pct"/>
            <w:noWrap/>
          </w:tcPr>
          <w:p w14:paraId="0F96A565" w14:textId="77777777" w:rsidR="00B52CFB" w:rsidRPr="00D852EF" w:rsidRDefault="00B52CFB" w:rsidP="00D852EF">
            <w:pPr>
              <w:pStyle w:val="Heading2"/>
              <w:keepNext w:val="0"/>
              <w:widowControl w:val="0"/>
              <w:ind w:left="360"/>
              <w:jc w:val="left"/>
              <w:rPr>
                <w:rFonts w:ascii="Arial" w:hAnsi="Arial" w:cs="Arial"/>
                <w:b w:val="0"/>
                <w:bCs w:val="0"/>
                <w:u w:val="single"/>
                <w:lang w:val="en-GB"/>
              </w:rPr>
            </w:pPr>
            <w:r w:rsidRPr="00D852EF">
              <w:rPr>
                <w:rFonts w:ascii="Arial" w:hAnsi="Arial" w:cs="Arial"/>
                <w:lang w:val="en-GB"/>
              </w:rPr>
              <w:t>Is the manuscript scientifically, correct? Please write here.</w:t>
            </w:r>
          </w:p>
        </w:tc>
        <w:tc>
          <w:tcPr>
            <w:tcW w:w="1914" w:type="pct"/>
          </w:tcPr>
          <w:p w14:paraId="2153DAA7" w14:textId="77777777" w:rsidR="0030634C" w:rsidRPr="00D852EF" w:rsidRDefault="005F3751" w:rsidP="00D852EF">
            <w:pPr>
              <w:pStyle w:val="HTMLPreformatted"/>
              <w:widowControl w:val="0"/>
              <w:shd w:val="clear" w:color="auto" w:fill="F8F9FA"/>
              <w:rPr>
                <w:rFonts w:ascii="Arial" w:hAnsi="Arial" w:cs="Arial"/>
                <w:color w:val="1F1F1F"/>
              </w:rPr>
            </w:pPr>
            <w:r w:rsidRPr="00D852EF">
              <w:rPr>
                <w:rFonts w:ascii="Arial" w:hAnsi="Arial" w:cs="Arial"/>
                <w:color w:val="1F1F1F"/>
                <w:lang w:val="en"/>
              </w:rPr>
              <w:t>While reading the article, it is noticed that the histopathological diagnosis is fully supported by scientific data, but the histopathological illustration is missing. There is no preoperative radiological data, perhaps to describe the heterogeneity of the lesion, its radiologic margins and their comparison with literature data.</w:t>
            </w:r>
            <w:r w:rsidR="003F11F3" w:rsidRPr="00D852EF">
              <w:rPr>
                <w:rFonts w:ascii="Arial" w:hAnsi="Arial" w:cs="Arial"/>
                <w:color w:val="1F1F1F"/>
                <w:lang w:val="en"/>
              </w:rPr>
              <w:t xml:space="preserve"> There is no review of the fact that there is still no complete agreement between histopathologists and clinicians for determining the prognostic factors of PEcoma and the classification between benign/borderline and malignant PEComa still does not have a consensus. </w:t>
            </w:r>
            <w:r w:rsidR="0030634C" w:rsidRPr="00D852EF">
              <w:rPr>
                <w:rFonts w:ascii="Arial" w:hAnsi="Arial" w:cs="Arial"/>
                <w:color w:val="1F1F1F"/>
                <w:lang w:val="en"/>
              </w:rPr>
              <w:t>I think a more complete review of the literature and its data is needed to once again highlight the doubts about this entity.</w:t>
            </w:r>
          </w:p>
          <w:p w14:paraId="28F7ECAC" w14:textId="77777777" w:rsidR="003F11F3" w:rsidRPr="00D852EF" w:rsidRDefault="003F11F3" w:rsidP="00D852EF">
            <w:pPr>
              <w:pStyle w:val="HTMLPreformatted"/>
              <w:widowControl w:val="0"/>
              <w:shd w:val="clear" w:color="auto" w:fill="F8F9FA"/>
              <w:rPr>
                <w:rFonts w:ascii="Arial" w:hAnsi="Arial" w:cs="Arial"/>
                <w:color w:val="1F1F1F"/>
              </w:rPr>
            </w:pPr>
          </w:p>
          <w:p w14:paraId="4A3F3835" w14:textId="77777777" w:rsidR="005F3751" w:rsidRPr="00D852EF" w:rsidRDefault="005F3751" w:rsidP="00D852EF">
            <w:pPr>
              <w:widowControl w:val="0"/>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1F1F1F"/>
                <w:sz w:val="20"/>
                <w:szCs w:val="20"/>
                <w:lang w:val="en-GB" w:eastAsia="en-GB"/>
              </w:rPr>
            </w:pPr>
          </w:p>
          <w:p w14:paraId="765C2C28" w14:textId="77777777" w:rsidR="00B52CFB" w:rsidRPr="00D852EF" w:rsidRDefault="00B52CFB" w:rsidP="00D852EF">
            <w:pPr>
              <w:pStyle w:val="ListParagraph"/>
              <w:widowControl w:val="0"/>
              <w:ind w:left="0"/>
              <w:rPr>
                <w:rFonts w:ascii="Arial" w:hAnsi="Arial" w:cs="Arial"/>
                <w:bCs/>
                <w:sz w:val="20"/>
                <w:szCs w:val="20"/>
                <w:lang w:val="en-GB"/>
              </w:rPr>
            </w:pPr>
          </w:p>
        </w:tc>
        <w:tc>
          <w:tcPr>
            <w:tcW w:w="1824" w:type="pct"/>
          </w:tcPr>
          <w:p w14:paraId="123C5D84" w14:textId="77777777" w:rsidR="00B52CFB" w:rsidRPr="00D852EF" w:rsidRDefault="00BF663D" w:rsidP="00D852EF">
            <w:pPr>
              <w:pStyle w:val="Heading2"/>
              <w:keepNext w:val="0"/>
              <w:widowControl w:val="0"/>
              <w:jc w:val="left"/>
              <w:rPr>
                <w:rFonts w:ascii="Arial" w:hAnsi="Arial" w:cs="Arial"/>
                <w:b w:val="0"/>
                <w:lang w:val="en-GB"/>
              </w:rPr>
            </w:pPr>
            <w:r w:rsidRPr="00D852EF">
              <w:rPr>
                <w:rFonts w:ascii="Arial" w:hAnsi="Arial" w:cs="Arial"/>
                <w:b w:val="0"/>
                <w:lang w:val="en-GB"/>
              </w:rPr>
              <w:t xml:space="preserve">Thank you for your comment. I will address it </w:t>
            </w:r>
            <w:r w:rsidR="00E053CC" w:rsidRPr="00D852EF">
              <w:rPr>
                <w:rFonts w:ascii="Arial" w:hAnsi="Arial" w:cs="Arial"/>
                <w:b w:val="0"/>
                <w:lang w:val="en-GB"/>
              </w:rPr>
              <w:t xml:space="preserve">separately. </w:t>
            </w:r>
          </w:p>
          <w:p w14:paraId="0262E29C" w14:textId="5F510402" w:rsidR="00A451CA" w:rsidRPr="00D852EF" w:rsidRDefault="00310A4E" w:rsidP="00D852EF">
            <w:pPr>
              <w:pStyle w:val="ListParagraph"/>
              <w:widowControl w:val="0"/>
              <w:numPr>
                <w:ilvl w:val="0"/>
                <w:numId w:val="14"/>
              </w:numPr>
              <w:rPr>
                <w:rFonts w:ascii="Arial" w:hAnsi="Arial" w:cs="Arial"/>
                <w:sz w:val="20"/>
                <w:szCs w:val="20"/>
                <w:lang w:val="en-GB"/>
              </w:rPr>
            </w:pPr>
            <w:r w:rsidRPr="00D852EF">
              <w:rPr>
                <w:rFonts w:ascii="Arial" w:hAnsi="Arial" w:cs="Arial"/>
                <w:sz w:val="20"/>
                <w:szCs w:val="20"/>
                <w:lang w:val="en-GB"/>
              </w:rPr>
              <w:t>I have no put up a histopathological illustration,</w:t>
            </w:r>
            <w:r w:rsidR="00174D97" w:rsidRPr="00D852EF">
              <w:rPr>
                <w:rFonts w:ascii="Arial" w:hAnsi="Arial" w:cs="Arial"/>
                <w:sz w:val="20"/>
                <w:szCs w:val="20"/>
                <w:lang w:val="en-GB"/>
              </w:rPr>
              <w:t xml:space="preserve"> but rather mentioned it in the case discussio</w:t>
            </w:r>
            <w:r w:rsidR="00175F7D" w:rsidRPr="00D852EF">
              <w:rPr>
                <w:rFonts w:ascii="Arial" w:hAnsi="Arial" w:cs="Arial"/>
                <w:sz w:val="20"/>
                <w:szCs w:val="20"/>
                <w:lang w:val="en-GB"/>
              </w:rPr>
              <w:t>n.</w:t>
            </w:r>
            <w:r w:rsidR="001538EA" w:rsidRPr="00D852EF">
              <w:rPr>
                <w:rFonts w:ascii="Arial" w:hAnsi="Arial" w:cs="Arial"/>
                <w:sz w:val="20"/>
                <w:szCs w:val="20"/>
                <w:lang w:val="en-GB"/>
              </w:rPr>
              <w:t xml:space="preserve"> </w:t>
            </w:r>
            <w:r w:rsidR="00C62B34" w:rsidRPr="00D852EF">
              <w:rPr>
                <w:rFonts w:ascii="Arial" w:hAnsi="Arial" w:cs="Arial"/>
                <w:sz w:val="20"/>
                <w:szCs w:val="20"/>
                <w:lang w:val="en-GB"/>
              </w:rPr>
              <w:t>I fear that its likely not</w:t>
            </w:r>
            <w:r w:rsidR="00CA1977" w:rsidRPr="00D852EF">
              <w:rPr>
                <w:rFonts w:ascii="Arial" w:hAnsi="Arial" w:cs="Arial"/>
                <w:sz w:val="20"/>
                <w:szCs w:val="20"/>
                <w:lang w:val="en-GB"/>
              </w:rPr>
              <w:t xml:space="preserve"> well appreciated for readers who are not</w:t>
            </w:r>
            <w:r w:rsidR="00E35F10" w:rsidRPr="00D852EF">
              <w:rPr>
                <w:rFonts w:ascii="Arial" w:hAnsi="Arial" w:cs="Arial"/>
                <w:sz w:val="20"/>
                <w:szCs w:val="20"/>
                <w:lang w:val="en-GB"/>
              </w:rPr>
              <w:t xml:space="preserve"> </w:t>
            </w:r>
            <w:r w:rsidR="00945457" w:rsidRPr="00D852EF">
              <w:rPr>
                <w:rFonts w:ascii="Arial" w:hAnsi="Arial" w:cs="Arial"/>
                <w:sz w:val="20"/>
                <w:szCs w:val="20"/>
                <w:lang w:val="en-GB"/>
              </w:rPr>
              <w:t xml:space="preserve">from </w:t>
            </w:r>
            <w:r w:rsidR="00BB1C04" w:rsidRPr="00D852EF">
              <w:rPr>
                <w:rFonts w:ascii="Arial" w:hAnsi="Arial" w:cs="Arial"/>
                <w:sz w:val="20"/>
                <w:szCs w:val="20"/>
                <w:lang w:val="en-GB"/>
              </w:rPr>
              <w:t>patholo</w:t>
            </w:r>
            <w:r w:rsidR="00C46FA7" w:rsidRPr="00D852EF">
              <w:rPr>
                <w:rFonts w:ascii="Arial" w:hAnsi="Arial" w:cs="Arial"/>
                <w:sz w:val="20"/>
                <w:szCs w:val="20"/>
                <w:lang w:val="en-GB"/>
              </w:rPr>
              <w:t>gy</w:t>
            </w:r>
            <w:r w:rsidR="00BB1C04" w:rsidRPr="00D852EF">
              <w:rPr>
                <w:rFonts w:ascii="Arial" w:hAnsi="Arial" w:cs="Arial"/>
                <w:sz w:val="20"/>
                <w:szCs w:val="20"/>
                <w:lang w:val="en-GB"/>
              </w:rPr>
              <w:t xml:space="preserve"> or </w:t>
            </w:r>
            <w:r w:rsidR="00C46FA7" w:rsidRPr="00D852EF">
              <w:rPr>
                <w:rFonts w:ascii="Arial" w:hAnsi="Arial" w:cs="Arial"/>
                <w:sz w:val="20"/>
                <w:szCs w:val="20"/>
                <w:lang w:val="en-GB"/>
              </w:rPr>
              <w:t xml:space="preserve">oncology related </w:t>
            </w:r>
            <w:r w:rsidR="00945457" w:rsidRPr="00D852EF">
              <w:rPr>
                <w:rFonts w:ascii="Arial" w:hAnsi="Arial" w:cs="Arial"/>
                <w:sz w:val="20"/>
                <w:szCs w:val="20"/>
                <w:lang w:val="en-GB"/>
              </w:rPr>
              <w:t>specialty.</w:t>
            </w:r>
            <w:r w:rsidR="00992A75" w:rsidRPr="00D852EF">
              <w:rPr>
                <w:rFonts w:ascii="Arial" w:hAnsi="Arial" w:cs="Arial"/>
                <w:sz w:val="20"/>
                <w:szCs w:val="20"/>
                <w:lang w:val="en-GB"/>
              </w:rPr>
              <w:t xml:space="preserve"> Instead, illustration of gross appearance is of more relevant to general gynaecologist</w:t>
            </w:r>
            <w:r w:rsidR="00945457" w:rsidRPr="00D852EF">
              <w:rPr>
                <w:rFonts w:ascii="Arial" w:hAnsi="Arial" w:cs="Arial"/>
                <w:sz w:val="20"/>
                <w:szCs w:val="20"/>
                <w:lang w:val="en-GB"/>
              </w:rPr>
              <w:t>/gynae-</w:t>
            </w:r>
            <w:proofErr w:type="gramStart"/>
            <w:r w:rsidR="00945457" w:rsidRPr="00D852EF">
              <w:rPr>
                <w:rFonts w:ascii="Arial" w:hAnsi="Arial" w:cs="Arial"/>
                <w:sz w:val="20"/>
                <w:szCs w:val="20"/>
                <w:lang w:val="en-GB"/>
              </w:rPr>
              <w:t>oncologist.</w:t>
            </w:r>
            <w:r w:rsidR="00992A75" w:rsidRPr="00D852EF">
              <w:rPr>
                <w:rFonts w:ascii="Arial" w:hAnsi="Arial" w:cs="Arial"/>
                <w:sz w:val="20"/>
                <w:szCs w:val="20"/>
                <w:lang w:val="en-GB"/>
              </w:rPr>
              <w:t>.</w:t>
            </w:r>
            <w:proofErr w:type="gramEnd"/>
            <w:r w:rsidR="00C46FA7" w:rsidRPr="00D852EF">
              <w:rPr>
                <w:rFonts w:ascii="Arial" w:hAnsi="Arial" w:cs="Arial"/>
                <w:sz w:val="20"/>
                <w:szCs w:val="20"/>
                <w:lang w:val="en-GB"/>
              </w:rPr>
              <w:t xml:space="preserve"> Furthermore,</w:t>
            </w:r>
            <w:r w:rsidR="00945457" w:rsidRPr="00D852EF">
              <w:rPr>
                <w:rFonts w:ascii="Arial" w:hAnsi="Arial" w:cs="Arial"/>
                <w:sz w:val="20"/>
                <w:szCs w:val="20"/>
                <w:lang w:val="en-GB"/>
              </w:rPr>
              <w:t xml:space="preserve"> my aim to demonstrate the clinical difficulty in </w:t>
            </w:r>
            <w:r w:rsidR="00617A11" w:rsidRPr="00D852EF">
              <w:rPr>
                <w:rFonts w:ascii="Arial" w:hAnsi="Arial" w:cs="Arial"/>
                <w:sz w:val="20"/>
                <w:szCs w:val="20"/>
                <w:lang w:val="en-GB"/>
              </w:rPr>
              <w:t>diagnosing this rare tumour</w:t>
            </w:r>
          </w:p>
          <w:p w14:paraId="432E4FAC" w14:textId="20485A5B" w:rsidR="00E053CC" w:rsidRPr="00D852EF" w:rsidRDefault="00A451CA" w:rsidP="00D852EF">
            <w:pPr>
              <w:pStyle w:val="ListParagraph"/>
              <w:widowControl w:val="0"/>
              <w:numPr>
                <w:ilvl w:val="0"/>
                <w:numId w:val="14"/>
              </w:numPr>
              <w:rPr>
                <w:rFonts w:ascii="Arial" w:hAnsi="Arial" w:cs="Arial"/>
                <w:sz w:val="20"/>
                <w:szCs w:val="20"/>
                <w:lang w:val="en-GB"/>
              </w:rPr>
            </w:pPr>
            <w:r w:rsidRPr="00D852EF">
              <w:rPr>
                <w:rFonts w:ascii="Arial" w:hAnsi="Arial" w:cs="Arial"/>
                <w:sz w:val="20"/>
                <w:szCs w:val="20"/>
                <w:lang w:val="en-GB"/>
              </w:rPr>
              <w:t xml:space="preserve">In our Malaysian setting, </w:t>
            </w:r>
            <w:r w:rsidR="00405343" w:rsidRPr="00D852EF">
              <w:rPr>
                <w:rFonts w:ascii="Arial" w:hAnsi="Arial" w:cs="Arial"/>
                <w:sz w:val="20"/>
                <w:szCs w:val="20"/>
                <w:lang w:val="en-GB"/>
              </w:rPr>
              <w:t>pelvis ultrasound is commonly</w:t>
            </w:r>
            <w:r w:rsidR="008A351F" w:rsidRPr="00D852EF">
              <w:rPr>
                <w:rFonts w:ascii="Arial" w:hAnsi="Arial" w:cs="Arial"/>
                <w:sz w:val="20"/>
                <w:szCs w:val="20"/>
                <w:lang w:val="en-GB"/>
              </w:rPr>
              <w:t xml:space="preserve"> done</w:t>
            </w:r>
            <w:r w:rsidR="00405343" w:rsidRPr="00D852EF">
              <w:rPr>
                <w:rFonts w:ascii="Arial" w:hAnsi="Arial" w:cs="Arial"/>
                <w:sz w:val="20"/>
                <w:szCs w:val="20"/>
                <w:lang w:val="en-GB"/>
              </w:rPr>
              <w:t xml:space="preserve"> by gynaecologist or gynae-oncologist </w:t>
            </w:r>
            <w:r w:rsidR="008A351F" w:rsidRPr="00D852EF">
              <w:rPr>
                <w:rFonts w:ascii="Arial" w:hAnsi="Arial" w:cs="Arial"/>
                <w:sz w:val="20"/>
                <w:szCs w:val="20"/>
                <w:lang w:val="en-GB"/>
              </w:rPr>
              <w:t>at bedside setting</w:t>
            </w:r>
            <w:r w:rsidR="000522CC" w:rsidRPr="00D852EF">
              <w:rPr>
                <w:rFonts w:ascii="Arial" w:hAnsi="Arial" w:cs="Arial"/>
                <w:sz w:val="20"/>
                <w:szCs w:val="20"/>
                <w:lang w:val="en-GB"/>
              </w:rPr>
              <w:t xml:space="preserve"> (not by radiologist)</w:t>
            </w:r>
            <w:r w:rsidR="008A351F" w:rsidRPr="00D852EF">
              <w:rPr>
                <w:rFonts w:ascii="Arial" w:hAnsi="Arial" w:cs="Arial"/>
                <w:sz w:val="20"/>
                <w:szCs w:val="20"/>
                <w:lang w:val="en-GB"/>
              </w:rPr>
              <w:t>.</w:t>
            </w:r>
            <w:r w:rsidR="008E0285" w:rsidRPr="00D852EF">
              <w:rPr>
                <w:rFonts w:ascii="Arial" w:hAnsi="Arial" w:cs="Arial"/>
                <w:sz w:val="20"/>
                <w:szCs w:val="20"/>
                <w:lang w:val="en-GB"/>
              </w:rPr>
              <w:t xml:space="preserve"> The description was manually entered and </w:t>
            </w:r>
            <w:r w:rsidR="00422C74" w:rsidRPr="00D852EF">
              <w:rPr>
                <w:rFonts w:ascii="Arial" w:hAnsi="Arial" w:cs="Arial"/>
                <w:sz w:val="20"/>
                <w:szCs w:val="20"/>
                <w:lang w:val="en-GB"/>
              </w:rPr>
              <w:t xml:space="preserve">saving of ultrasound pictures </w:t>
            </w:r>
            <w:r w:rsidR="000522CC" w:rsidRPr="00D852EF">
              <w:rPr>
                <w:rFonts w:ascii="Arial" w:hAnsi="Arial" w:cs="Arial"/>
                <w:sz w:val="20"/>
                <w:szCs w:val="20"/>
                <w:lang w:val="en-GB"/>
              </w:rPr>
              <w:t xml:space="preserve">is not </w:t>
            </w:r>
            <w:r w:rsidR="002E28E0" w:rsidRPr="00D852EF">
              <w:rPr>
                <w:rFonts w:ascii="Arial" w:hAnsi="Arial" w:cs="Arial"/>
                <w:sz w:val="20"/>
                <w:szCs w:val="20"/>
                <w:lang w:val="en-GB"/>
              </w:rPr>
              <w:t>common</w:t>
            </w:r>
            <w:r w:rsidR="00080414" w:rsidRPr="00D852EF">
              <w:rPr>
                <w:rFonts w:ascii="Arial" w:hAnsi="Arial" w:cs="Arial"/>
                <w:sz w:val="20"/>
                <w:szCs w:val="20"/>
                <w:lang w:val="en-GB"/>
              </w:rPr>
              <w:t xml:space="preserve">. </w:t>
            </w:r>
            <w:r w:rsidR="008A351F" w:rsidRPr="00D852EF">
              <w:rPr>
                <w:rFonts w:ascii="Arial" w:hAnsi="Arial" w:cs="Arial"/>
                <w:sz w:val="20"/>
                <w:szCs w:val="20"/>
                <w:lang w:val="en-GB"/>
              </w:rPr>
              <w:t>Preoperative imaging</w:t>
            </w:r>
            <w:r w:rsidR="008E0285" w:rsidRPr="00D852EF">
              <w:rPr>
                <w:rFonts w:ascii="Arial" w:hAnsi="Arial" w:cs="Arial"/>
                <w:sz w:val="20"/>
                <w:szCs w:val="20"/>
                <w:lang w:val="en-GB"/>
              </w:rPr>
              <w:t xml:space="preserve"> such as </w:t>
            </w:r>
            <w:r w:rsidR="00EE3668" w:rsidRPr="00D852EF">
              <w:rPr>
                <w:rFonts w:ascii="Arial" w:hAnsi="Arial" w:cs="Arial"/>
                <w:sz w:val="20"/>
                <w:szCs w:val="20"/>
                <w:lang w:val="en-GB"/>
              </w:rPr>
              <w:t xml:space="preserve">CT or MRI is not routine unless suspicion </w:t>
            </w:r>
            <w:r w:rsidR="007E1AD0" w:rsidRPr="00D852EF">
              <w:rPr>
                <w:rFonts w:ascii="Arial" w:hAnsi="Arial" w:cs="Arial"/>
                <w:sz w:val="20"/>
                <w:szCs w:val="20"/>
                <w:lang w:val="en-GB"/>
              </w:rPr>
              <w:t xml:space="preserve">arises. Hence the reason behind </w:t>
            </w:r>
            <w:r w:rsidR="00080414" w:rsidRPr="00D852EF">
              <w:rPr>
                <w:rFonts w:ascii="Arial" w:hAnsi="Arial" w:cs="Arial"/>
                <w:sz w:val="20"/>
                <w:szCs w:val="20"/>
                <w:lang w:val="en-GB"/>
              </w:rPr>
              <w:t xml:space="preserve">why </w:t>
            </w:r>
            <w:r w:rsidR="00176630" w:rsidRPr="00D852EF">
              <w:rPr>
                <w:rFonts w:ascii="Arial" w:hAnsi="Arial" w:cs="Arial"/>
                <w:sz w:val="20"/>
                <w:szCs w:val="20"/>
                <w:lang w:val="en-GB"/>
              </w:rPr>
              <w:t xml:space="preserve">only description of bedside ultrasound findings is mentioned in the case presentation. </w:t>
            </w:r>
          </w:p>
          <w:p w14:paraId="059F226F" w14:textId="3597DFB0" w:rsidR="00176630" w:rsidRPr="00D852EF" w:rsidRDefault="00CA5C9C" w:rsidP="00D852EF">
            <w:pPr>
              <w:pStyle w:val="ListParagraph"/>
              <w:widowControl w:val="0"/>
              <w:numPr>
                <w:ilvl w:val="0"/>
                <w:numId w:val="14"/>
              </w:numPr>
              <w:rPr>
                <w:rFonts w:ascii="Arial" w:hAnsi="Arial" w:cs="Arial"/>
                <w:sz w:val="20"/>
                <w:szCs w:val="20"/>
                <w:lang w:val="en-GB"/>
              </w:rPr>
            </w:pPr>
            <w:proofErr w:type="gramStart"/>
            <w:r w:rsidRPr="00D852EF">
              <w:rPr>
                <w:rFonts w:ascii="Arial" w:hAnsi="Arial" w:cs="Arial"/>
                <w:sz w:val="20"/>
                <w:szCs w:val="20"/>
                <w:lang w:val="en-GB"/>
              </w:rPr>
              <w:t>Y</w:t>
            </w:r>
            <w:r w:rsidR="00B341A1" w:rsidRPr="00D852EF">
              <w:rPr>
                <w:rFonts w:ascii="Arial" w:hAnsi="Arial" w:cs="Arial"/>
                <w:sz w:val="20"/>
                <w:szCs w:val="20"/>
                <w:lang w:val="en-GB"/>
              </w:rPr>
              <w:t>es</w:t>
            </w:r>
            <w:proofErr w:type="gramEnd"/>
            <w:r w:rsidR="00B341A1" w:rsidRPr="00D852EF">
              <w:rPr>
                <w:rFonts w:ascii="Arial" w:hAnsi="Arial" w:cs="Arial"/>
                <w:sz w:val="20"/>
                <w:szCs w:val="20"/>
                <w:lang w:val="en-GB"/>
              </w:rPr>
              <w:t xml:space="preserve"> there is still no complete </w:t>
            </w:r>
            <w:r w:rsidR="00F4145F" w:rsidRPr="00D852EF">
              <w:rPr>
                <w:rFonts w:ascii="Arial" w:hAnsi="Arial" w:cs="Arial"/>
                <w:sz w:val="20"/>
                <w:szCs w:val="20"/>
                <w:lang w:val="en-GB"/>
              </w:rPr>
              <w:t>agreement regarding</w:t>
            </w:r>
            <w:r w:rsidR="00DF7AF7" w:rsidRPr="00D852EF">
              <w:rPr>
                <w:rFonts w:ascii="Arial" w:hAnsi="Arial" w:cs="Arial"/>
                <w:sz w:val="20"/>
                <w:szCs w:val="20"/>
                <w:lang w:val="en-GB"/>
              </w:rPr>
              <w:t xml:space="preserve"> classification. </w:t>
            </w:r>
            <w:proofErr w:type="gramStart"/>
            <w:r w:rsidR="00DF7AF7" w:rsidRPr="00D852EF">
              <w:rPr>
                <w:rFonts w:ascii="Arial" w:hAnsi="Arial" w:cs="Arial"/>
                <w:sz w:val="20"/>
                <w:szCs w:val="20"/>
                <w:lang w:val="en-GB"/>
              </w:rPr>
              <w:t xml:space="preserve">Nevertheless, </w:t>
            </w:r>
            <w:r w:rsidR="00FD1ECD" w:rsidRPr="00D852EF">
              <w:rPr>
                <w:rFonts w:ascii="Arial" w:hAnsi="Arial" w:cs="Arial"/>
                <w:sz w:val="20"/>
                <w:szCs w:val="20"/>
                <w:lang w:val="en-GB"/>
              </w:rPr>
              <w:t xml:space="preserve"> classification</w:t>
            </w:r>
            <w:proofErr w:type="gramEnd"/>
            <w:r w:rsidR="00FD1ECD" w:rsidRPr="00D852EF">
              <w:rPr>
                <w:rFonts w:ascii="Arial" w:hAnsi="Arial" w:cs="Arial"/>
                <w:sz w:val="20"/>
                <w:szCs w:val="20"/>
                <w:lang w:val="en-GB"/>
              </w:rPr>
              <w:t xml:space="preserve"> </w:t>
            </w:r>
            <w:r w:rsidR="00DF7AF7" w:rsidRPr="00D852EF">
              <w:rPr>
                <w:rFonts w:ascii="Arial" w:hAnsi="Arial" w:cs="Arial"/>
                <w:sz w:val="20"/>
                <w:szCs w:val="20"/>
                <w:lang w:val="en-GB"/>
              </w:rPr>
              <w:t xml:space="preserve">based on WHO </w:t>
            </w:r>
            <w:r w:rsidR="00FD1ECD" w:rsidRPr="00D852EF">
              <w:rPr>
                <w:rFonts w:ascii="Arial" w:hAnsi="Arial" w:cs="Arial"/>
                <w:sz w:val="20"/>
                <w:szCs w:val="20"/>
                <w:lang w:val="en-GB"/>
              </w:rPr>
              <w:t xml:space="preserve">2020 </w:t>
            </w:r>
            <w:proofErr w:type="spellStart"/>
            <w:r w:rsidR="00FD1ECD" w:rsidRPr="00D852EF">
              <w:rPr>
                <w:rFonts w:ascii="Arial" w:hAnsi="Arial" w:cs="Arial"/>
                <w:sz w:val="20"/>
                <w:szCs w:val="20"/>
                <w:lang w:val="en-GB"/>
              </w:rPr>
              <w:t>an</w:t>
            </w:r>
            <w:r w:rsidR="00DF7AF7" w:rsidRPr="00D852EF">
              <w:rPr>
                <w:rFonts w:ascii="Arial" w:hAnsi="Arial" w:cs="Arial"/>
                <w:sz w:val="20"/>
                <w:szCs w:val="20"/>
                <w:lang w:val="en-GB"/>
              </w:rPr>
              <w:t>D</w:t>
            </w:r>
            <w:proofErr w:type="spellEnd"/>
            <w:r w:rsidR="007F04AC" w:rsidRPr="00D852EF">
              <w:rPr>
                <w:rFonts w:ascii="Arial" w:hAnsi="Arial" w:cs="Arial"/>
                <w:sz w:val="20"/>
                <w:szCs w:val="20"/>
                <w:lang w:val="en-GB"/>
              </w:rPr>
              <w:t xml:space="preserve"> </w:t>
            </w:r>
            <w:proofErr w:type="spellStart"/>
            <w:r w:rsidR="00FD1ECD" w:rsidRPr="00D852EF">
              <w:rPr>
                <w:rFonts w:ascii="Arial" w:hAnsi="Arial" w:cs="Arial"/>
                <w:sz w:val="20"/>
                <w:szCs w:val="20"/>
                <w:lang w:val="en-GB"/>
              </w:rPr>
              <w:t>Folpe’s</w:t>
            </w:r>
            <w:proofErr w:type="spellEnd"/>
            <w:r w:rsidR="00FD1ECD" w:rsidRPr="00D852EF">
              <w:rPr>
                <w:rFonts w:ascii="Arial" w:hAnsi="Arial" w:cs="Arial"/>
                <w:sz w:val="20"/>
                <w:szCs w:val="20"/>
                <w:lang w:val="en-GB"/>
              </w:rPr>
              <w:t xml:space="preserve"> criteria</w:t>
            </w:r>
            <w:r w:rsidR="00DF7AF7" w:rsidRPr="00D852EF">
              <w:rPr>
                <w:rFonts w:ascii="Arial" w:hAnsi="Arial" w:cs="Arial"/>
                <w:sz w:val="20"/>
                <w:szCs w:val="20"/>
                <w:lang w:val="en-GB"/>
              </w:rPr>
              <w:t xml:space="preserve"> were widely accepted</w:t>
            </w:r>
            <w:r w:rsidR="007F04AC" w:rsidRPr="00D852EF">
              <w:rPr>
                <w:rFonts w:ascii="Arial" w:hAnsi="Arial" w:cs="Arial"/>
                <w:sz w:val="20"/>
                <w:szCs w:val="20"/>
                <w:lang w:val="en-GB"/>
              </w:rPr>
              <w:t xml:space="preserve">, which I </w:t>
            </w:r>
            <w:r w:rsidR="00C828A8" w:rsidRPr="00D852EF">
              <w:rPr>
                <w:rFonts w:ascii="Arial" w:hAnsi="Arial" w:cs="Arial"/>
                <w:sz w:val="20"/>
                <w:szCs w:val="20"/>
                <w:lang w:val="en-GB"/>
              </w:rPr>
              <w:t>have put more emphasis.</w:t>
            </w:r>
            <w:r w:rsidR="00CC0196" w:rsidRPr="00D852EF">
              <w:rPr>
                <w:rFonts w:ascii="Arial" w:hAnsi="Arial" w:cs="Arial"/>
                <w:sz w:val="20"/>
                <w:szCs w:val="20"/>
                <w:lang w:val="en-GB"/>
              </w:rPr>
              <w:t xml:space="preserve">(highlighted in yellow). </w:t>
            </w:r>
          </w:p>
          <w:p w14:paraId="169C9074" w14:textId="77777777" w:rsidR="007F04AC" w:rsidRPr="00D852EF" w:rsidRDefault="00EF7BBD" w:rsidP="00D852EF">
            <w:pPr>
              <w:pStyle w:val="ListParagraph"/>
              <w:widowControl w:val="0"/>
              <w:numPr>
                <w:ilvl w:val="0"/>
                <w:numId w:val="14"/>
              </w:numPr>
              <w:rPr>
                <w:rFonts w:ascii="Arial" w:hAnsi="Arial" w:cs="Arial"/>
                <w:sz w:val="20"/>
                <w:szCs w:val="20"/>
                <w:lang w:val="en-GB"/>
              </w:rPr>
            </w:pPr>
            <w:proofErr w:type="gramStart"/>
            <w:r w:rsidRPr="00D852EF">
              <w:rPr>
                <w:rFonts w:ascii="Arial" w:hAnsi="Arial" w:cs="Arial"/>
                <w:sz w:val="20"/>
                <w:szCs w:val="20"/>
                <w:lang w:val="en-GB"/>
              </w:rPr>
              <w:t>Yes</w:t>
            </w:r>
            <w:proofErr w:type="gramEnd"/>
            <w:r w:rsidRPr="00D852EF">
              <w:rPr>
                <w:rFonts w:ascii="Arial" w:hAnsi="Arial" w:cs="Arial"/>
                <w:sz w:val="20"/>
                <w:szCs w:val="20"/>
                <w:lang w:val="en-GB"/>
              </w:rPr>
              <w:t xml:space="preserve"> at present there is no </w:t>
            </w:r>
            <w:r w:rsidR="00AC18C5" w:rsidRPr="00D852EF">
              <w:rPr>
                <w:rFonts w:ascii="Arial" w:hAnsi="Arial" w:cs="Arial"/>
                <w:sz w:val="20"/>
                <w:szCs w:val="20"/>
                <w:lang w:val="en-GB"/>
              </w:rPr>
              <w:t>agreed prognostic factors</w:t>
            </w:r>
            <w:r w:rsidR="00FC69A7" w:rsidRPr="00D852EF">
              <w:rPr>
                <w:rFonts w:ascii="Arial" w:hAnsi="Arial" w:cs="Arial"/>
                <w:sz w:val="20"/>
                <w:szCs w:val="20"/>
                <w:lang w:val="en-GB"/>
              </w:rPr>
              <w:t xml:space="preserve"> due to rarity of this tumour. </w:t>
            </w:r>
            <w:r w:rsidR="00890BE1" w:rsidRPr="00D852EF">
              <w:rPr>
                <w:rFonts w:ascii="Arial" w:hAnsi="Arial" w:cs="Arial"/>
                <w:sz w:val="20"/>
                <w:szCs w:val="20"/>
                <w:lang w:val="en-GB"/>
              </w:rPr>
              <w:t xml:space="preserve">I have </w:t>
            </w:r>
            <w:proofErr w:type="gramStart"/>
            <w:r w:rsidR="007D0494" w:rsidRPr="00D852EF">
              <w:rPr>
                <w:rFonts w:ascii="Arial" w:hAnsi="Arial" w:cs="Arial"/>
                <w:sz w:val="20"/>
                <w:szCs w:val="20"/>
                <w:lang w:val="en-GB"/>
              </w:rPr>
              <w:t>make</w:t>
            </w:r>
            <w:proofErr w:type="gramEnd"/>
            <w:r w:rsidR="007D0494" w:rsidRPr="00D852EF">
              <w:rPr>
                <w:rFonts w:ascii="Arial" w:hAnsi="Arial" w:cs="Arial"/>
                <w:sz w:val="20"/>
                <w:szCs w:val="20"/>
                <w:lang w:val="en-GB"/>
              </w:rPr>
              <w:t xml:space="preserve"> some amendment (highlighted in yellow)</w:t>
            </w:r>
          </w:p>
          <w:p w14:paraId="7D0A2C22" w14:textId="77777777" w:rsidR="00813CFB" w:rsidRPr="00D852EF" w:rsidRDefault="00813CFB" w:rsidP="00D852EF">
            <w:pPr>
              <w:widowControl w:val="0"/>
              <w:rPr>
                <w:rFonts w:ascii="Arial" w:hAnsi="Arial" w:cs="Arial"/>
                <w:sz w:val="20"/>
                <w:szCs w:val="20"/>
                <w:lang w:val="en-GB"/>
              </w:rPr>
            </w:pPr>
          </w:p>
          <w:p w14:paraId="4916F1BE" w14:textId="67344BBE" w:rsidR="00813CFB" w:rsidRPr="00D852EF" w:rsidRDefault="00813CFB" w:rsidP="00D852EF">
            <w:pPr>
              <w:widowControl w:val="0"/>
              <w:rPr>
                <w:rFonts w:ascii="Arial" w:hAnsi="Arial" w:cs="Arial"/>
                <w:sz w:val="20"/>
                <w:szCs w:val="20"/>
                <w:lang w:val="en-GB"/>
              </w:rPr>
            </w:pPr>
            <w:r w:rsidRPr="00D852EF">
              <w:rPr>
                <w:rFonts w:ascii="Arial" w:hAnsi="Arial" w:cs="Arial"/>
                <w:sz w:val="20"/>
                <w:szCs w:val="20"/>
                <w:lang w:val="en-GB"/>
              </w:rPr>
              <w:t xml:space="preserve">Minor changes </w:t>
            </w:r>
            <w:proofErr w:type="gramStart"/>
            <w:r w:rsidRPr="00D852EF">
              <w:rPr>
                <w:rFonts w:ascii="Arial" w:hAnsi="Arial" w:cs="Arial"/>
                <w:sz w:val="20"/>
                <w:szCs w:val="20"/>
                <w:lang w:val="en-GB"/>
              </w:rPr>
              <w:t>is</w:t>
            </w:r>
            <w:proofErr w:type="gramEnd"/>
            <w:r w:rsidRPr="00D852EF">
              <w:rPr>
                <w:rFonts w:ascii="Arial" w:hAnsi="Arial" w:cs="Arial"/>
                <w:sz w:val="20"/>
                <w:szCs w:val="20"/>
                <w:lang w:val="en-GB"/>
              </w:rPr>
              <w:t xml:space="preserve"> done and I hope is suffice.</w:t>
            </w:r>
          </w:p>
        </w:tc>
      </w:tr>
      <w:tr w:rsidR="00B52CFB" w:rsidRPr="00D852EF" w14:paraId="7B9F6F38" w14:textId="77777777" w:rsidTr="00776CBB">
        <w:trPr>
          <w:trHeight w:val="703"/>
        </w:trPr>
        <w:tc>
          <w:tcPr>
            <w:tcW w:w="1262" w:type="pct"/>
            <w:noWrap/>
          </w:tcPr>
          <w:p w14:paraId="3D41737A" w14:textId="77777777" w:rsidR="00B52CFB" w:rsidRPr="00D852EF" w:rsidRDefault="00B52CFB" w:rsidP="00D852EF">
            <w:pPr>
              <w:widowControl w:val="0"/>
              <w:ind w:left="360"/>
              <w:rPr>
                <w:rFonts w:ascii="Arial" w:hAnsi="Arial" w:cs="Arial"/>
                <w:b/>
                <w:bCs/>
                <w:sz w:val="20"/>
                <w:szCs w:val="20"/>
                <w:lang w:val="en-GB"/>
              </w:rPr>
            </w:pPr>
            <w:r w:rsidRPr="00D852EF">
              <w:rPr>
                <w:rFonts w:ascii="Arial" w:hAnsi="Arial" w:cs="Arial"/>
                <w:b/>
                <w:bCs/>
                <w:sz w:val="20"/>
                <w:szCs w:val="20"/>
                <w:lang w:val="en-GB"/>
              </w:rPr>
              <w:lastRenderedPageBreak/>
              <w:t>Are the references sufficient and recent? If you have suggestions of additional references, please mention them in the review form.</w:t>
            </w:r>
          </w:p>
        </w:tc>
        <w:tc>
          <w:tcPr>
            <w:tcW w:w="1914" w:type="pct"/>
          </w:tcPr>
          <w:p w14:paraId="12F7D2D5" w14:textId="77777777" w:rsidR="00B52CFB" w:rsidRPr="00D852EF" w:rsidRDefault="00CC2480" w:rsidP="00D852EF">
            <w:pPr>
              <w:pStyle w:val="ListParagraph"/>
              <w:widowControl w:val="0"/>
              <w:ind w:left="0"/>
              <w:rPr>
                <w:rFonts w:ascii="Arial" w:hAnsi="Arial" w:cs="Arial"/>
                <w:bCs/>
                <w:sz w:val="20"/>
                <w:szCs w:val="20"/>
                <w:lang w:val="en-GB"/>
              </w:rPr>
            </w:pPr>
            <w:r w:rsidRPr="00D852EF">
              <w:rPr>
                <w:rFonts w:ascii="Arial" w:hAnsi="Arial" w:cs="Arial"/>
                <w:bCs/>
                <w:sz w:val="20"/>
                <w:szCs w:val="20"/>
                <w:lang w:val="en-GB"/>
              </w:rPr>
              <w:t>The references are a little old, there are a few more reviews and new perspectives to take into consideration&gt;</w:t>
            </w:r>
          </w:p>
          <w:p w14:paraId="4860021B" w14:textId="77777777" w:rsidR="00CC2480" w:rsidRPr="00D852EF" w:rsidRDefault="00CC2480" w:rsidP="00D852EF">
            <w:pPr>
              <w:pStyle w:val="ListParagraph"/>
              <w:widowControl w:val="0"/>
              <w:numPr>
                <w:ilvl w:val="0"/>
                <w:numId w:val="13"/>
              </w:numPr>
              <w:rPr>
                <w:rFonts w:ascii="Arial" w:hAnsi="Arial" w:cs="Arial"/>
                <w:bCs/>
                <w:sz w:val="20"/>
                <w:szCs w:val="20"/>
                <w:lang w:val="en-GB"/>
              </w:rPr>
            </w:pPr>
            <w:r w:rsidRPr="00D852EF">
              <w:rPr>
                <w:rFonts w:ascii="Arial" w:hAnsi="Arial" w:cs="Arial"/>
                <w:bCs/>
                <w:sz w:val="20"/>
                <w:szCs w:val="20"/>
                <w:lang w:val="en-GB"/>
              </w:rPr>
              <w:t xml:space="preserve">Annelise M. Wilhite, Valeria Dal </w:t>
            </w:r>
            <w:proofErr w:type="spellStart"/>
            <w:r w:rsidRPr="00D852EF">
              <w:rPr>
                <w:rFonts w:ascii="Arial" w:hAnsi="Arial" w:cs="Arial"/>
                <w:bCs/>
                <w:sz w:val="20"/>
                <w:szCs w:val="20"/>
                <w:lang w:val="en-GB"/>
              </w:rPr>
              <w:t>Zotto</w:t>
            </w:r>
            <w:proofErr w:type="spellEnd"/>
            <w:r w:rsidRPr="00D852EF">
              <w:rPr>
                <w:rFonts w:ascii="Arial" w:hAnsi="Arial" w:cs="Arial"/>
                <w:bCs/>
                <w:sz w:val="20"/>
                <w:szCs w:val="20"/>
                <w:lang w:val="en-GB"/>
              </w:rPr>
              <w:t xml:space="preserve">, Paige Pettus, Julie Jeansonne, Jennifer </w:t>
            </w:r>
            <w:proofErr w:type="spellStart"/>
            <w:r w:rsidRPr="00D852EF">
              <w:rPr>
                <w:rFonts w:ascii="Arial" w:hAnsi="Arial" w:cs="Arial"/>
                <w:bCs/>
                <w:sz w:val="20"/>
                <w:szCs w:val="20"/>
                <w:lang w:val="en-GB"/>
              </w:rPr>
              <w:t>Scalici</w:t>
            </w:r>
            <w:proofErr w:type="spellEnd"/>
            <w:r w:rsidRPr="00D852EF">
              <w:rPr>
                <w:rFonts w:ascii="Arial" w:hAnsi="Arial" w:cs="Arial"/>
                <w:bCs/>
                <w:sz w:val="20"/>
                <w:szCs w:val="20"/>
                <w:lang w:val="en-GB"/>
              </w:rPr>
              <w:t xml:space="preserve">, </w:t>
            </w:r>
            <w:r w:rsidRPr="00D852EF">
              <w:rPr>
                <w:rFonts w:ascii="Arial" w:hAnsi="Arial" w:cs="Arial"/>
                <w:b/>
                <w:bCs/>
                <w:sz w:val="20"/>
                <w:szCs w:val="20"/>
                <w:lang w:val="en-GB"/>
              </w:rPr>
              <w:t xml:space="preserve">Perivascular epithelioid cell </w:t>
            </w:r>
            <w:proofErr w:type="spellStart"/>
            <w:r w:rsidRPr="00D852EF">
              <w:rPr>
                <w:rFonts w:ascii="Arial" w:hAnsi="Arial" w:cs="Arial"/>
                <w:b/>
                <w:bCs/>
                <w:sz w:val="20"/>
                <w:szCs w:val="20"/>
                <w:lang w:val="en-GB"/>
              </w:rPr>
              <w:t>tumor</w:t>
            </w:r>
            <w:proofErr w:type="spellEnd"/>
            <w:r w:rsidRPr="00D852EF">
              <w:rPr>
                <w:rFonts w:ascii="Arial" w:hAnsi="Arial" w:cs="Arial"/>
                <w:b/>
                <w:bCs/>
                <w:sz w:val="20"/>
                <w:szCs w:val="20"/>
                <w:lang w:val="en-GB"/>
              </w:rPr>
              <w:t xml:space="preserve"> (</w:t>
            </w:r>
            <w:proofErr w:type="spellStart"/>
            <w:r w:rsidRPr="00D852EF">
              <w:rPr>
                <w:rFonts w:ascii="Arial" w:hAnsi="Arial" w:cs="Arial"/>
                <w:b/>
                <w:bCs/>
                <w:sz w:val="20"/>
                <w:szCs w:val="20"/>
                <w:lang w:val="en-GB"/>
              </w:rPr>
              <w:t>PEComa</w:t>
            </w:r>
            <w:proofErr w:type="spellEnd"/>
            <w:r w:rsidRPr="00D852EF">
              <w:rPr>
                <w:rFonts w:ascii="Arial" w:hAnsi="Arial" w:cs="Arial"/>
                <w:b/>
                <w:bCs/>
                <w:sz w:val="20"/>
                <w:szCs w:val="20"/>
                <w:lang w:val="en-GB"/>
              </w:rPr>
              <w:t>) of the uterus: Challenges of pregnancy in determining prognosis and optimal treatment</w:t>
            </w:r>
            <w:r w:rsidRPr="00D852EF">
              <w:rPr>
                <w:rFonts w:ascii="Arial" w:hAnsi="Arial" w:cs="Arial"/>
                <w:bCs/>
                <w:sz w:val="20"/>
                <w:szCs w:val="20"/>
                <w:lang w:val="en-GB"/>
              </w:rPr>
              <w:t xml:space="preserve">, </w:t>
            </w:r>
            <w:proofErr w:type="spellStart"/>
            <w:r w:rsidRPr="00D852EF">
              <w:rPr>
                <w:rFonts w:ascii="Arial" w:hAnsi="Arial" w:cs="Arial"/>
                <w:bCs/>
                <w:sz w:val="20"/>
                <w:szCs w:val="20"/>
                <w:lang w:val="en-GB"/>
              </w:rPr>
              <w:t>Gynecologic</w:t>
            </w:r>
            <w:proofErr w:type="spellEnd"/>
            <w:r w:rsidRPr="00D852EF">
              <w:rPr>
                <w:rFonts w:ascii="Arial" w:hAnsi="Arial" w:cs="Arial"/>
                <w:bCs/>
                <w:sz w:val="20"/>
                <w:szCs w:val="20"/>
                <w:lang w:val="en-GB"/>
              </w:rPr>
              <w:t xml:space="preserve"> Oncology </w:t>
            </w:r>
            <w:proofErr w:type="spellStart"/>
            <w:proofErr w:type="gramStart"/>
            <w:r w:rsidRPr="00D852EF">
              <w:rPr>
                <w:rFonts w:ascii="Arial" w:hAnsi="Arial" w:cs="Arial"/>
                <w:bCs/>
                <w:sz w:val="20"/>
                <w:szCs w:val="20"/>
                <w:lang w:val="en-GB"/>
              </w:rPr>
              <w:t>Reports,Volume</w:t>
            </w:r>
            <w:proofErr w:type="spellEnd"/>
            <w:proofErr w:type="gramEnd"/>
            <w:r w:rsidRPr="00D852EF">
              <w:rPr>
                <w:rFonts w:ascii="Arial" w:hAnsi="Arial" w:cs="Arial"/>
                <w:bCs/>
                <w:sz w:val="20"/>
                <w:szCs w:val="20"/>
                <w:lang w:val="en-GB"/>
              </w:rPr>
              <w:t xml:space="preserve"> 40,2022,100962,ISSN 2352-5789</w:t>
            </w:r>
          </w:p>
          <w:p w14:paraId="263D9FA6" w14:textId="77777777" w:rsidR="007921FA" w:rsidRPr="00D852EF" w:rsidRDefault="007921FA" w:rsidP="00D852EF">
            <w:pPr>
              <w:pStyle w:val="ListParagraph"/>
              <w:widowControl w:val="0"/>
              <w:numPr>
                <w:ilvl w:val="0"/>
                <w:numId w:val="13"/>
              </w:numPr>
              <w:rPr>
                <w:rFonts w:ascii="Arial" w:hAnsi="Arial" w:cs="Arial"/>
                <w:bCs/>
                <w:sz w:val="20"/>
                <w:szCs w:val="20"/>
                <w:lang w:val="en-GB"/>
              </w:rPr>
            </w:pPr>
            <w:proofErr w:type="spellStart"/>
            <w:r w:rsidRPr="00D852EF">
              <w:rPr>
                <w:rFonts w:ascii="Arial" w:hAnsi="Arial" w:cs="Arial"/>
                <w:color w:val="555555"/>
                <w:sz w:val="20"/>
                <w:szCs w:val="20"/>
                <w:shd w:val="clear" w:color="auto" w:fill="FFFFFF"/>
              </w:rPr>
              <w:t>Gadducci</w:t>
            </w:r>
            <w:proofErr w:type="spellEnd"/>
            <w:r w:rsidRPr="00D852EF">
              <w:rPr>
                <w:rFonts w:ascii="Arial" w:hAnsi="Arial" w:cs="Arial"/>
                <w:color w:val="555555"/>
                <w:sz w:val="20"/>
                <w:szCs w:val="20"/>
                <w:shd w:val="clear" w:color="auto" w:fill="FFFFFF"/>
              </w:rPr>
              <w:t xml:space="preserve"> A, </w:t>
            </w:r>
            <w:proofErr w:type="spellStart"/>
            <w:r w:rsidRPr="00D852EF">
              <w:rPr>
                <w:rFonts w:ascii="Arial" w:hAnsi="Arial" w:cs="Arial"/>
                <w:color w:val="555555"/>
                <w:sz w:val="20"/>
                <w:szCs w:val="20"/>
                <w:shd w:val="clear" w:color="auto" w:fill="FFFFFF"/>
              </w:rPr>
              <w:t>Zannoni</w:t>
            </w:r>
            <w:proofErr w:type="spellEnd"/>
            <w:r w:rsidRPr="00D852EF">
              <w:rPr>
                <w:rFonts w:ascii="Arial" w:hAnsi="Arial" w:cs="Arial"/>
                <w:color w:val="555555"/>
                <w:sz w:val="20"/>
                <w:szCs w:val="20"/>
                <w:shd w:val="clear" w:color="auto" w:fill="FFFFFF"/>
              </w:rPr>
              <w:t xml:space="preserve"> GF. </w:t>
            </w:r>
            <w:r w:rsidRPr="00D852EF">
              <w:rPr>
                <w:rFonts w:ascii="Arial" w:hAnsi="Arial" w:cs="Arial"/>
                <w:b/>
                <w:color w:val="555555"/>
                <w:sz w:val="20"/>
                <w:szCs w:val="20"/>
                <w:shd w:val="clear" w:color="auto" w:fill="FFFFFF"/>
              </w:rPr>
              <w:t>Perivascular epithelioid cell tumors (</w:t>
            </w:r>
            <w:proofErr w:type="spellStart"/>
            <w:r w:rsidRPr="00D852EF">
              <w:rPr>
                <w:rFonts w:ascii="Arial" w:hAnsi="Arial" w:cs="Arial"/>
                <w:b/>
                <w:color w:val="555555"/>
                <w:sz w:val="20"/>
                <w:szCs w:val="20"/>
                <w:shd w:val="clear" w:color="auto" w:fill="FFFFFF"/>
              </w:rPr>
              <w:t>PEComa</w:t>
            </w:r>
            <w:proofErr w:type="spellEnd"/>
            <w:r w:rsidRPr="00D852EF">
              <w:rPr>
                <w:rFonts w:ascii="Arial" w:hAnsi="Arial" w:cs="Arial"/>
                <w:b/>
                <w:color w:val="555555"/>
                <w:sz w:val="20"/>
                <w:szCs w:val="20"/>
                <w:shd w:val="clear" w:color="auto" w:fill="FFFFFF"/>
              </w:rPr>
              <w:t xml:space="preserve">) of the female genital tract: a challenging question for </w:t>
            </w:r>
            <w:proofErr w:type="spellStart"/>
            <w:r w:rsidRPr="00D852EF">
              <w:rPr>
                <w:rFonts w:ascii="Arial" w:hAnsi="Arial" w:cs="Arial"/>
                <w:b/>
                <w:color w:val="555555"/>
                <w:sz w:val="20"/>
                <w:szCs w:val="20"/>
                <w:shd w:val="clear" w:color="auto" w:fill="FFFFFF"/>
              </w:rPr>
              <w:t>gynaecologic</w:t>
            </w:r>
            <w:proofErr w:type="spellEnd"/>
            <w:r w:rsidRPr="00D852EF">
              <w:rPr>
                <w:rFonts w:ascii="Arial" w:hAnsi="Arial" w:cs="Arial"/>
                <w:b/>
                <w:color w:val="555555"/>
                <w:sz w:val="20"/>
                <w:szCs w:val="20"/>
                <w:shd w:val="clear" w:color="auto" w:fill="FFFFFF"/>
              </w:rPr>
              <w:t xml:space="preserve"> oncologist and pathologist</w:t>
            </w:r>
            <w:r w:rsidRPr="00D852EF">
              <w:rPr>
                <w:rFonts w:ascii="Arial" w:hAnsi="Arial" w:cs="Arial"/>
                <w:color w:val="555555"/>
                <w:sz w:val="20"/>
                <w:szCs w:val="20"/>
                <w:shd w:val="clear" w:color="auto" w:fill="FFFFFF"/>
              </w:rPr>
              <w:t>. </w:t>
            </w:r>
            <w:proofErr w:type="spellStart"/>
            <w:r w:rsidRPr="00D852EF">
              <w:rPr>
                <w:rStyle w:val="Emphasis"/>
                <w:rFonts w:ascii="Arial" w:eastAsia="Arial Unicode MS" w:hAnsi="Arial" w:cs="Arial"/>
                <w:color w:val="555555"/>
                <w:sz w:val="20"/>
                <w:szCs w:val="20"/>
                <w:bdr w:val="none" w:sz="0" w:space="0" w:color="auto" w:frame="1"/>
                <w:shd w:val="clear" w:color="auto" w:fill="FFFFFF"/>
              </w:rPr>
              <w:t>Gynecol</w:t>
            </w:r>
            <w:proofErr w:type="spellEnd"/>
            <w:r w:rsidRPr="00D852EF">
              <w:rPr>
                <w:rStyle w:val="Emphasis"/>
                <w:rFonts w:ascii="Arial" w:eastAsia="Arial Unicode MS" w:hAnsi="Arial" w:cs="Arial"/>
                <w:color w:val="555555"/>
                <w:sz w:val="20"/>
                <w:szCs w:val="20"/>
                <w:bdr w:val="none" w:sz="0" w:space="0" w:color="auto" w:frame="1"/>
                <w:shd w:val="clear" w:color="auto" w:fill="FFFFFF"/>
              </w:rPr>
              <w:t xml:space="preserve"> Oncol Rep</w:t>
            </w:r>
            <w:r w:rsidRPr="00D852EF">
              <w:rPr>
                <w:rFonts w:ascii="Arial" w:hAnsi="Arial" w:cs="Arial"/>
                <w:color w:val="555555"/>
                <w:sz w:val="20"/>
                <w:szCs w:val="20"/>
                <w:shd w:val="clear" w:color="auto" w:fill="FFFFFF"/>
              </w:rPr>
              <w:t xml:space="preserve">. </w:t>
            </w:r>
            <w:proofErr w:type="gramStart"/>
            <w:r w:rsidRPr="00D852EF">
              <w:rPr>
                <w:rFonts w:ascii="Arial" w:hAnsi="Arial" w:cs="Arial"/>
                <w:color w:val="555555"/>
                <w:sz w:val="20"/>
                <w:szCs w:val="20"/>
                <w:shd w:val="clear" w:color="auto" w:fill="FFFFFF"/>
              </w:rPr>
              <w:t>2020;33:100603</w:t>
            </w:r>
            <w:proofErr w:type="gramEnd"/>
            <w:r w:rsidRPr="00D852EF">
              <w:rPr>
                <w:rFonts w:ascii="Arial" w:hAnsi="Arial" w:cs="Arial"/>
                <w:color w:val="555555"/>
                <w:sz w:val="20"/>
                <w:szCs w:val="20"/>
                <w:shd w:val="clear" w:color="auto" w:fill="FFFFFF"/>
              </w:rPr>
              <w:t xml:space="preserve">. </w:t>
            </w:r>
            <w:proofErr w:type="gramStart"/>
            <w:r w:rsidRPr="00D852EF">
              <w:rPr>
                <w:rFonts w:ascii="Arial" w:hAnsi="Arial" w:cs="Arial"/>
                <w:color w:val="555555"/>
                <w:sz w:val="20"/>
                <w:szCs w:val="20"/>
                <w:shd w:val="clear" w:color="auto" w:fill="FFFFFF"/>
              </w:rPr>
              <w:t>doi:10.1016/j.gore</w:t>
            </w:r>
            <w:proofErr w:type="gramEnd"/>
            <w:r w:rsidRPr="00D852EF">
              <w:rPr>
                <w:rFonts w:ascii="Arial" w:hAnsi="Arial" w:cs="Arial"/>
                <w:color w:val="555555"/>
                <w:sz w:val="20"/>
                <w:szCs w:val="20"/>
                <w:shd w:val="clear" w:color="auto" w:fill="FFFFFF"/>
              </w:rPr>
              <w:t>.2020.100603</w:t>
            </w:r>
          </w:p>
          <w:p w14:paraId="252274FA" w14:textId="77777777" w:rsidR="007921FA" w:rsidRPr="00D852EF" w:rsidRDefault="003B15AF" w:rsidP="00D852EF">
            <w:pPr>
              <w:pStyle w:val="ListParagraph"/>
              <w:widowControl w:val="0"/>
              <w:numPr>
                <w:ilvl w:val="0"/>
                <w:numId w:val="13"/>
              </w:numPr>
              <w:rPr>
                <w:rFonts w:ascii="Arial" w:hAnsi="Arial" w:cs="Arial"/>
                <w:bCs/>
                <w:sz w:val="20"/>
                <w:szCs w:val="20"/>
                <w:lang w:val="en-GB"/>
              </w:rPr>
            </w:pPr>
            <w:r w:rsidRPr="00D852EF">
              <w:rPr>
                <w:rFonts w:ascii="Arial" w:hAnsi="Arial" w:cs="Arial"/>
                <w:color w:val="555555"/>
                <w:sz w:val="20"/>
                <w:szCs w:val="20"/>
                <w:shd w:val="clear" w:color="auto" w:fill="FFFFFF"/>
              </w:rPr>
              <w:t xml:space="preserve">Tang X, Feng M, Shen Y, et al. </w:t>
            </w:r>
            <w:r w:rsidRPr="00D852EF">
              <w:rPr>
                <w:rFonts w:ascii="Arial" w:hAnsi="Arial" w:cs="Arial"/>
                <w:b/>
                <w:color w:val="555555"/>
                <w:sz w:val="20"/>
                <w:szCs w:val="20"/>
                <w:shd w:val="clear" w:color="auto" w:fill="FFFFFF"/>
              </w:rPr>
              <w:t>Perivascular epithelioid cell tumor of the uterine cervix identified on the liquid-based cytology: a case report</w:t>
            </w:r>
            <w:r w:rsidRPr="00D852EF">
              <w:rPr>
                <w:rFonts w:ascii="Arial" w:hAnsi="Arial" w:cs="Arial"/>
                <w:color w:val="555555"/>
                <w:sz w:val="20"/>
                <w:szCs w:val="20"/>
                <w:shd w:val="clear" w:color="auto" w:fill="FFFFFF"/>
              </w:rPr>
              <w:t>. </w:t>
            </w:r>
            <w:r w:rsidRPr="00D852EF">
              <w:rPr>
                <w:rStyle w:val="Emphasis"/>
                <w:rFonts w:ascii="Arial" w:eastAsia="Arial Unicode MS" w:hAnsi="Arial" w:cs="Arial"/>
                <w:color w:val="555555"/>
                <w:sz w:val="20"/>
                <w:szCs w:val="20"/>
                <w:bdr w:val="none" w:sz="0" w:space="0" w:color="auto" w:frame="1"/>
                <w:shd w:val="clear" w:color="auto" w:fill="FFFFFF"/>
              </w:rPr>
              <w:t>Diagn. Pathol.</w:t>
            </w:r>
            <w:r w:rsidRPr="00D852EF">
              <w:rPr>
                <w:rFonts w:ascii="Arial" w:hAnsi="Arial" w:cs="Arial"/>
                <w:color w:val="555555"/>
                <w:sz w:val="20"/>
                <w:szCs w:val="20"/>
                <w:shd w:val="clear" w:color="auto" w:fill="FFFFFF"/>
              </w:rPr>
              <w:t> 2023;18(1):7. doi:10.1186/s13000-023-01290-3</w:t>
            </w:r>
          </w:p>
          <w:p w14:paraId="35EE7436" w14:textId="77777777" w:rsidR="00F019BC" w:rsidRPr="00D852EF" w:rsidRDefault="00F019BC" w:rsidP="00D852EF">
            <w:pPr>
              <w:pStyle w:val="ListParagraph"/>
              <w:widowControl w:val="0"/>
              <w:numPr>
                <w:ilvl w:val="0"/>
                <w:numId w:val="13"/>
              </w:numPr>
              <w:rPr>
                <w:rFonts w:ascii="Arial" w:hAnsi="Arial" w:cs="Arial"/>
                <w:bCs/>
                <w:sz w:val="20"/>
                <w:szCs w:val="20"/>
                <w:lang w:val="en-GB"/>
              </w:rPr>
            </w:pPr>
            <w:r w:rsidRPr="00D852EF">
              <w:rPr>
                <w:rStyle w:val="hlfld-contribauthor"/>
                <w:rFonts w:ascii="Arial" w:hAnsi="Arial" w:cs="Arial"/>
                <w:color w:val="1C1D1E"/>
                <w:sz w:val="20"/>
                <w:szCs w:val="20"/>
                <w:shd w:val="clear" w:color="auto" w:fill="FFFFFF"/>
              </w:rPr>
              <w:t>R. Wang, H. Luo, W. Cao, </w:t>
            </w:r>
            <w:r w:rsidRPr="00D852EF">
              <w:rPr>
                <w:rFonts w:ascii="Arial" w:hAnsi="Arial" w:cs="Arial"/>
                <w:b/>
                <w:color w:val="1C1D1E"/>
                <w:sz w:val="20"/>
                <w:szCs w:val="20"/>
                <w:shd w:val="clear" w:color="auto" w:fill="FFFFFF"/>
              </w:rPr>
              <w:t>Clinical and ultrasound features of uterine perivascular epithelioid cell tumors: case series and literature review</w:t>
            </w:r>
            <w:r w:rsidRPr="00D852EF">
              <w:rPr>
                <w:rStyle w:val="seriestitle"/>
                <w:rFonts w:ascii="Arial" w:hAnsi="Arial" w:cs="Arial"/>
                <w:b/>
                <w:color w:val="1C1D1E"/>
                <w:sz w:val="20"/>
                <w:szCs w:val="20"/>
                <w:shd w:val="clear" w:color="auto" w:fill="FFFFFF"/>
              </w:rPr>
              <w:t>, Ultrasound in Obstetrics</w:t>
            </w:r>
            <w:r w:rsidRPr="00D852EF">
              <w:rPr>
                <w:rStyle w:val="seriestitle"/>
                <w:rFonts w:ascii="Arial" w:hAnsi="Arial" w:cs="Arial"/>
                <w:color w:val="1C1D1E"/>
                <w:sz w:val="20"/>
                <w:szCs w:val="20"/>
                <w:shd w:val="clear" w:color="auto" w:fill="FFFFFF"/>
              </w:rPr>
              <w:t xml:space="preserve"> &amp; GynecologyUltrasound in Obstetrics &amp; GynecologyUltrasound in Obstetrics &amp; Gynecology</w:t>
            </w:r>
            <w:r w:rsidRPr="00D852EF">
              <w:rPr>
                <w:rStyle w:val="doi"/>
                <w:rFonts w:ascii="Arial" w:eastAsia="MS Mincho" w:hAnsi="Arial" w:cs="Arial"/>
                <w:color w:val="1C1D1E"/>
                <w:sz w:val="20"/>
                <w:szCs w:val="20"/>
                <w:shd w:val="clear" w:color="auto" w:fill="FFFFFF"/>
              </w:rPr>
              <w:t>, 10.1002/uog.29116</w:t>
            </w:r>
            <w:r w:rsidRPr="00D852EF">
              <w:rPr>
                <w:rStyle w:val="volume"/>
                <w:rFonts w:ascii="Arial" w:hAnsi="Arial" w:cs="Arial"/>
                <w:color w:val="1C1D1E"/>
                <w:sz w:val="20"/>
                <w:szCs w:val="20"/>
                <w:shd w:val="clear" w:color="auto" w:fill="FFFFFF"/>
              </w:rPr>
              <w:t>, </w:t>
            </w:r>
            <w:r w:rsidRPr="00D852EF">
              <w:rPr>
                <w:rStyle w:val="volume"/>
                <w:rFonts w:ascii="Arial" w:hAnsi="Arial" w:cs="Arial"/>
                <w:b/>
                <w:bCs/>
                <w:color w:val="1C1D1E"/>
                <w:sz w:val="20"/>
                <w:szCs w:val="20"/>
                <w:shd w:val="clear" w:color="auto" w:fill="FFFFFF"/>
              </w:rPr>
              <w:t>64</w:t>
            </w:r>
            <w:r w:rsidRPr="00D852EF">
              <w:rPr>
                <w:rStyle w:val="issue"/>
                <w:rFonts w:ascii="Arial" w:hAnsi="Arial" w:cs="Arial"/>
                <w:color w:val="1C1D1E"/>
                <w:sz w:val="20"/>
                <w:szCs w:val="20"/>
                <w:shd w:val="clear" w:color="auto" w:fill="FFFFFF"/>
              </w:rPr>
              <w:t>, 5</w:t>
            </w:r>
            <w:r w:rsidRPr="00D852EF">
              <w:rPr>
                <w:rStyle w:val="page-range"/>
                <w:rFonts w:ascii="Arial" w:hAnsi="Arial" w:cs="Arial"/>
                <w:color w:val="1C1D1E"/>
                <w:sz w:val="20"/>
                <w:szCs w:val="20"/>
                <w:shd w:val="clear" w:color="auto" w:fill="FFFFFF"/>
              </w:rPr>
              <w:t>, (687-695)</w:t>
            </w:r>
            <w:r w:rsidRPr="00D852EF">
              <w:rPr>
                <w:rStyle w:val="pub-date"/>
                <w:rFonts w:ascii="Arial" w:hAnsi="Arial" w:cs="Arial"/>
                <w:color w:val="1C1D1E"/>
                <w:sz w:val="20"/>
                <w:szCs w:val="20"/>
                <w:shd w:val="clear" w:color="auto" w:fill="FFFFFF"/>
              </w:rPr>
              <w:t>, (2024</w:t>
            </w:r>
          </w:p>
        </w:tc>
        <w:tc>
          <w:tcPr>
            <w:tcW w:w="1824" w:type="pct"/>
          </w:tcPr>
          <w:p w14:paraId="17ED09D8" w14:textId="15642028" w:rsidR="00B52CFB" w:rsidRPr="00D852EF" w:rsidRDefault="009E069F" w:rsidP="00D852EF">
            <w:pPr>
              <w:pStyle w:val="Heading2"/>
              <w:keepNext w:val="0"/>
              <w:widowControl w:val="0"/>
              <w:jc w:val="left"/>
              <w:rPr>
                <w:rFonts w:ascii="Arial" w:hAnsi="Arial" w:cs="Arial"/>
                <w:b w:val="0"/>
                <w:lang w:val="en-GB"/>
              </w:rPr>
            </w:pPr>
            <w:r w:rsidRPr="00D852EF">
              <w:rPr>
                <w:rFonts w:ascii="Arial" w:hAnsi="Arial" w:cs="Arial"/>
                <w:b w:val="0"/>
                <w:lang w:val="en-GB"/>
              </w:rPr>
              <w:t xml:space="preserve">Thank </w:t>
            </w:r>
            <w:r w:rsidR="00A2639B" w:rsidRPr="00D852EF">
              <w:rPr>
                <w:rFonts w:ascii="Arial" w:hAnsi="Arial" w:cs="Arial"/>
                <w:b w:val="0"/>
                <w:lang w:val="en-GB"/>
              </w:rPr>
              <w:t>you for your suggestion. I have reviewed</w:t>
            </w:r>
            <w:r w:rsidR="00813CFB" w:rsidRPr="00D852EF">
              <w:rPr>
                <w:rFonts w:ascii="Arial" w:hAnsi="Arial" w:cs="Arial"/>
                <w:b w:val="0"/>
                <w:lang w:val="en-GB"/>
              </w:rPr>
              <w:t xml:space="preserve"> those references, </w:t>
            </w:r>
            <w:r w:rsidR="006A77AE" w:rsidRPr="00D852EF">
              <w:rPr>
                <w:rFonts w:ascii="Arial" w:hAnsi="Arial" w:cs="Arial"/>
                <w:b w:val="0"/>
                <w:lang w:val="en-GB"/>
              </w:rPr>
              <w:t xml:space="preserve">search for a bite more </w:t>
            </w:r>
            <w:proofErr w:type="gramStart"/>
            <w:r w:rsidR="006A77AE" w:rsidRPr="00D852EF">
              <w:rPr>
                <w:rFonts w:ascii="Arial" w:hAnsi="Arial" w:cs="Arial"/>
                <w:b w:val="0"/>
                <w:lang w:val="en-GB"/>
              </w:rPr>
              <w:t xml:space="preserve">review, </w:t>
            </w:r>
            <w:r w:rsidR="00A2639B" w:rsidRPr="00D852EF">
              <w:rPr>
                <w:rFonts w:ascii="Arial" w:hAnsi="Arial" w:cs="Arial"/>
                <w:b w:val="0"/>
                <w:lang w:val="en-GB"/>
              </w:rPr>
              <w:t xml:space="preserve"> and</w:t>
            </w:r>
            <w:proofErr w:type="gramEnd"/>
            <w:r w:rsidR="00A2639B" w:rsidRPr="00D852EF">
              <w:rPr>
                <w:rFonts w:ascii="Arial" w:hAnsi="Arial" w:cs="Arial"/>
                <w:b w:val="0"/>
                <w:lang w:val="en-GB"/>
              </w:rPr>
              <w:t xml:space="preserve"> </w:t>
            </w:r>
            <w:r w:rsidR="001C30B5" w:rsidRPr="00D852EF">
              <w:rPr>
                <w:rFonts w:ascii="Arial" w:hAnsi="Arial" w:cs="Arial"/>
                <w:b w:val="0"/>
                <w:lang w:val="en-GB"/>
              </w:rPr>
              <w:t>decided to use</w:t>
            </w:r>
            <w:r w:rsidR="007D0494" w:rsidRPr="00D852EF">
              <w:rPr>
                <w:rFonts w:ascii="Arial" w:hAnsi="Arial" w:cs="Arial"/>
                <w:b w:val="0"/>
                <w:lang w:val="en-GB"/>
              </w:rPr>
              <w:t xml:space="preserve"> </w:t>
            </w:r>
            <w:r w:rsidR="00142F4D" w:rsidRPr="00D852EF">
              <w:rPr>
                <w:rFonts w:ascii="Arial" w:hAnsi="Arial" w:cs="Arial"/>
                <w:b w:val="0"/>
                <w:lang w:val="en-GB"/>
              </w:rPr>
              <w:t>some of the references</w:t>
            </w:r>
            <w:r w:rsidR="001C30B5" w:rsidRPr="00D852EF">
              <w:rPr>
                <w:rFonts w:ascii="Arial" w:hAnsi="Arial" w:cs="Arial"/>
                <w:b w:val="0"/>
                <w:lang w:val="en-GB"/>
              </w:rPr>
              <w:t xml:space="preserve"> (Highlighted in yellow)</w:t>
            </w:r>
            <w:r w:rsidR="00AC4F63" w:rsidRPr="00D852EF">
              <w:rPr>
                <w:rFonts w:ascii="Arial" w:hAnsi="Arial" w:cs="Arial"/>
                <w:b w:val="0"/>
                <w:lang w:val="en-GB"/>
              </w:rPr>
              <w:t xml:space="preserve"> to make</w:t>
            </w:r>
            <w:r w:rsidR="00673451" w:rsidRPr="00D852EF">
              <w:rPr>
                <w:rFonts w:ascii="Arial" w:hAnsi="Arial" w:cs="Arial"/>
                <w:b w:val="0"/>
                <w:lang w:val="en-GB"/>
              </w:rPr>
              <w:t xml:space="preserve"> minor</w:t>
            </w:r>
            <w:r w:rsidR="00AC4F63" w:rsidRPr="00D852EF">
              <w:rPr>
                <w:rFonts w:ascii="Arial" w:hAnsi="Arial" w:cs="Arial"/>
                <w:b w:val="0"/>
                <w:lang w:val="en-GB"/>
              </w:rPr>
              <w:t xml:space="preserve"> changes in my manuscript. </w:t>
            </w:r>
          </w:p>
        </w:tc>
      </w:tr>
      <w:tr w:rsidR="00B52CFB" w:rsidRPr="00D852EF" w14:paraId="7FA1D8BA" w14:textId="77777777" w:rsidTr="00776CBB">
        <w:trPr>
          <w:trHeight w:val="386"/>
        </w:trPr>
        <w:tc>
          <w:tcPr>
            <w:tcW w:w="1262" w:type="pct"/>
            <w:noWrap/>
          </w:tcPr>
          <w:p w14:paraId="2E7AA9B0" w14:textId="77777777" w:rsidR="00B52CFB" w:rsidRPr="00D852EF" w:rsidRDefault="00B52CFB" w:rsidP="00D852EF">
            <w:pPr>
              <w:pStyle w:val="Heading2"/>
              <w:keepNext w:val="0"/>
              <w:widowControl w:val="0"/>
              <w:ind w:left="360"/>
              <w:jc w:val="left"/>
              <w:rPr>
                <w:rFonts w:ascii="Arial" w:hAnsi="Arial" w:cs="Arial"/>
                <w:bCs w:val="0"/>
                <w:lang w:val="en-GB"/>
              </w:rPr>
            </w:pPr>
            <w:r w:rsidRPr="00D852EF">
              <w:rPr>
                <w:rFonts w:ascii="Arial" w:hAnsi="Arial" w:cs="Arial"/>
                <w:bCs w:val="0"/>
                <w:lang w:val="en-GB"/>
              </w:rPr>
              <w:t>Is the language/English quality of the article suitable for scholarly communications?</w:t>
            </w:r>
          </w:p>
          <w:p w14:paraId="32CC7F75" w14:textId="77777777" w:rsidR="00B52CFB" w:rsidRPr="00D852EF" w:rsidRDefault="00B52CFB" w:rsidP="00D852EF">
            <w:pPr>
              <w:widowControl w:val="0"/>
              <w:rPr>
                <w:rFonts w:ascii="Arial" w:hAnsi="Arial" w:cs="Arial"/>
                <w:sz w:val="20"/>
                <w:szCs w:val="20"/>
                <w:lang w:val="en-GB"/>
              </w:rPr>
            </w:pPr>
          </w:p>
        </w:tc>
        <w:tc>
          <w:tcPr>
            <w:tcW w:w="1914" w:type="pct"/>
          </w:tcPr>
          <w:p w14:paraId="6A428005" w14:textId="77777777" w:rsidR="00B52CFB" w:rsidRPr="00D852EF" w:rsidRDefault="00200F06" w:rsidP="00D852EF">
            <w:pPr>
              <w:widowControl w:val="0"/>
              <w:rPr>
                <w:rFonts w:ascii="Arial" w:hAnsi="Arial" w:cs="Arial"/>
                <w:sz w:val="20"/>
                <w:szCs w:val="20"/>
                <w:lang w:val="en-GB"/>
              </w:rPr>
            </w:pPr>
            <w:proofErr w:type="gramStart"/>
            <w:r w:rsidRPr="00D852EF">
              <w:rPr>
                <w:rFonts w:ascii="Arial" w:hAnsi="Arial" w:cs="Arial"/>
                <w:sz w:val="20"/>
                <w:szCs w:val="20"/>
                <w:lang w:val="en-GB"/>
              </w:rPr>
              <w:t>Yes</w:t>
            </w:r>
            <w:proofErr w:type="gramEnd"/>
            <w:r w:rsidRPr="00D852EF">
              <w:rPr>
                <w:rFonts w:ascii="Arial" w:hAnsi="Arial" w:cs="Arial"/>
                <w:sz w:val="20"/>
                <w:szCs w:val="20"/>
                <w:lang w:val="en-GB"/>
              </w:rPr>
              <w:t xml:space="preserve"> the language is </w:t>
            </w:r>
            <w:r w:rsidR="00C211A8" w:rsidRPr="00D852EF">
              <w:rPr>
                <w:rFonts w:ascii="Arial" w:hAnsi="Arial" w:cs="Arial"/>
                <w:sz w:val="20"/>
                <w:szCs w:val="20"/>
                <w:lang w:val="en-GB"/>
              </w:rPr>
              <w:t xml:space="preserve">well formed and understandable, it needs some arrangements, but overall it is clear. </w:t>
            </w:r>
          </w:p>
        </w:tc>
        <w:tc>
          <w:tcPr>
            <w:tcW w:w="1824" w:type="pct"/>
          </w:tcPr>
          <w:p w14:paraId="14363BD3" w14:textId="4B5743FF" w:rsidR="00B52CFB" w:rsidRPr="00D852EF" w:rsidRDefault="000866C3" w:rsidP="00D852EF">
            <w:pPr>
              <w:widowControl w:val="0"/>
              <w:rPr>
                <w:rFonts w:ascii="Arial" w:hAnsi="Arial" w:cs="Arial"/>
                <w:sz w:val="20"/>
                <w:szCs w:val="20"/>
                <w:lang w:val="en-GB"/>
              </w:rPr>
            </w:pPr>
            <w:r w:rsidRPr="00D852EF">
              <w:rPr>
                <w:rFonts w:ascii="Arial" w:hAnsi="Arial" w:cs="Arial"/>
                <w:sz w:val="20"/>
                <w:szCs w:val="20"/>
                <w:lang w:val="en-GB"/>
              </w:rPr>
              <w:t>Thank you</w:t>
            </w:r>
          </w:p>
        </w:tc>
      </w:tr>
      <w:tr w:rsidR="00B52CFB" w:rsidRPr="00D852EF" w14:paraId="7CC50A2D" w14:textId="77777777" w:rsidTr="00776CBB">
        <w:trPr>
          <w:trHeight w:val="1178"/>
        </w:trPr>
        <w:tc>
          <w:tcPr>
            <w:tcW w:w="1262" w:type="pct"/>
            <w:noWrap/>
          </w:tcPr>
          <w:p w14:paraId="7F0457EB" w14:textId="77777777" w:rsidR="00B52CFB" w:rsidRPr="00D852EF" w:rsidRDefault="00B52CFB" w:rsidP="00D852EF">
            <w:pPr>
              <w:pStyle w:val="Heading2"/>
              <w:keepNext w:val="0"/>
              <w:widowControl w:val="0"/>
              <w:jc w:val="left"/>
              <w:rPr>
                <w:rFonts w:ascii="Arial" w:hAnsi="Arial" w:cs="Arial"/>
                <w:b w:val="0"/>
                <w:bCs w:val="0"/>
                <w:lang w:val="en-GB"/>
              </w:rPr>
            </w:pPr>
            <w:r w:rsidRPr="00D852EF">
              <w:rPr>
                <w:rFonts w:ascii="Arial" w:hAnsi="Arial" w:cs="Arial"/>
                <w:bCs w:val="0"/>
                <w:u w:val="single"/>
                <w:lang w:val="en-GB"/>
              </w:rPr>
              <w:t>Optional/General</w:t>
            </w:r>
            <w:r w:rsidRPr="00D852EF">
              <w:rPr>
                <w:rFonts w:ascii="Arial" w:hAnsi="Arial" w:cs="Arial"/>
                <w:bCs w:val="0"/>
                <w:lang w:val="en-GB"/>
              </w:rPr>
              <w:t xml:space="preserve"> </w:t>
            </w:r>
            <w:r w:rsidRPr="00D852EF">
              <w:rPr>
                <w:rFonts w:ascii="Arial" w:hAnsi="Arial" w:cs="Arial"/>
                <w:b w:val="0"/>
                <w:bCs w:val="0"/>
                <w:lang w:val="en-GB"/>
              </w:rPr>
              <w:t>comments</w:t>
            </w:r>
          </w:p>
          <w:p w14:paraId="64ADD86A" w14:textId="77777777" w:rsidR="00B52CFB" w:rsidRPr="00D852EF" w:rsidRDefault="00B52CFB" w:rsidP="00D852EF">
            <w:pPr>
              <w:pStyle w:val="Heading2"/>
              <w:keepNext w:val="0"/>
              <w:widowControl w:val="0"/>
              <w:jc w:val="left"/>
              <w:rPr>
                <w:rFonts w:ascii="Arial" w:hAnsi="Arial" w:cs="Arial"/>
                <w:b w:val="0"/>
                <w:lang w:val="en-GB"/>
              </w:rPr>
            </w:pPr>
          </w:p>
        </w:tc>
        <w:tc>
          <w:tcPr>
            <w:tcW w:w="1914" w:type="pct"/>
          </w:tcPr>
          <w:p w14:paraId="7C54590F" w14:textId="77777777" w:rsidR="00B52CFB" w:rsidRPr="00D852EF" w:rsidRDefault="00B52CFB" w:rsidP="00D852EF">
            <w:pPr>
              <w:pStyle w:val="NormalWeb"/>
              <w:widowControl w:val="0"/>
              <w:spacing w:before="0" w:beforeAutospacing="0" w:after="0" w:afterAutospacing="0"/>
              <w:rPr>
                <w:rFonts w:ascii="Arial" w:hAnsi="Arial" w:cs="Arial"/>
                <w:b/>
                <w:sz w:val="20"/>
                <w:szCs w:val="20"/>
                <w:lang w:val="en-GB"/>
              </w:rPr>
            </w:pPr>
          </w:p>
        </w:tc>
        <w:tc>
          <w:tcPr>
            <w:tcW w:w="1824" w:type="pct"/>
          </w:tcPr>
          <w:p w14:paraId="4AE98CA2" w14:textId="77777777" w:rsidR="00B52CFB" w:rsidRPr="00D852EF" w:rsidRDefault="00B52CFB" w:rsidP="00D852EF">
            <w:pPr>
              <w:widowControl w:val="0"/>
              <w:rPr>
                <w:rFonts w:ascii="Arial" w:hAnsi="Arial" w:cs="Arial"/>
                <w:sz w:val="20"/>
                <w:szCs w:val="20"/>
                <w:lang w:val="en-GB"/>
              </w:rPr>
            </w:pPr>
          </w:p>
        </w:tc>
      </w:tr>
    </w:tbl>
    <w:p w14:paraId="2E244CB2" w14:textId="77777777" w:rsidR="00B52CFB" w:rsidRPr="00D852EF" w:rsidRDefault="00B52CFB" w:rsidP="00D852EF">
      <w:pPr>
        <w:pStyle w:val="BodyText"/>
        <w:widowControl w:val="0"/>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246"/>
        <w:gridCol w:w="8608"/>
        <w:gridCol w:w="7080"/>
      </w:tblGrid>
      <w:tr w:rsidR="00543113" w:rsidRPr="00D852EF" w14:paraId="57479FDF" w14:textId="77777777" w:rsidTr="00DC392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A854886" w14:textId="77777777" w:rsidR="00543113" w:rsidRPr="00D852EF" w:rsidRDefault="00543113" w:rsidP="00D852EF">
            <w:pPr>
              <w:widowControl w:val="0"/>
              <w:spacing w:line="276" w:lineRule="auto"/>
              <w:rPr>
                <w:rFonts w:ascii="Arial" w:eastAsia="Arial Unicode MS" w:hAnsi="Arial" w:cs="Arial"/>
                <w:b/>
                <w:sz w:val="20"/>
                <w:szCs w:val="20"/>
                <w:u w:val="single"/>
                <w:lang w:val="en-GB"/>
              </w:rPr>
            </w:pPr>
            <w:bookmarkStart w:id="2" w:name="_Hlk156057883"/>
            <w:bookmarkStart w:id="3" w:name="_Hlk156057704"/>
            <w:r w:rsidRPr="00D852EF">
              <w:rPr>
                <w:rFonts w:ascii="Arial" w:eastAsia="Arial Unicode MS" w:hAnsi="Arial" w:cs="Arial"/>
                <w:b/>
                <w:sz w:val="20"/>
                <w:szCs w:val="20"/>
                <w:highlight w:val="yellow"/>
                <w:u w:val="single"/>
                <w:lang w:val="en-GB"/>
              </w:rPr>
              <w:t>PART  2:</w:t>
            </w:r>
            <w:r w:rsidRPr="00D852EF">
              <w:rPr>
                <w:rFonts w:ascii="Arial" w:eastAsia="Arial Unicode MS" w:hAnsi="Arial" w:cs="Arial"/>
                <w:b/>
                <w:sz w:val="20"/>
                <w:szCs w:val="20"/>
                <w:u w:val="single"/>
                <w:lang w:val="en-GB"/>
              </w:rPr>
              <w:t xml:space="preserve"> </w:t>
            </w:r>
          </w:p>
          <w:p w14:paraId="563C02E3" w14:textId="77777777" w:rsidR="00543113" w:rsidRPr="00D852EF" w:rsidRDefault="00543113" w:rsidP="00D852EF">
            <w:pPr>
              <w:widowControl w:val="0"/>
              <w:spacing w:line="276" w:lineRule="auto"/>
              <w:rPr>
                <w:rFonts w:ascii="Arial" w:eastAsia="Arial Unicode MS" w:hAnsi="Arial" w:cs="Arial"/>
                <w:b/>
                <w:sz w:val="20"/>
                <w:szCs w:val="20"/>
                <w:u w:val="single"/>
                <w:lang w:val="en-GB"/>
              </w:rPr>
            </w:pPr>
          </w:p>
        </w:tc>
      </w:tr>
      <w:tr w:rsidR="00543113" w:rsidRPr="00D852EF" w14:paraId="4E4400A5" w14:textId="77777777" w:rsidTr="002F4BE9">
        <w:tc>
          <w:tcPr>
            <w:tcW w:w="125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1CD0CF1" w14:textId="77777777" w:rsidR="00543113" w:rsidRPr="00D852EF" w:rsidRDefault="00543113" w:rsidP="00D852EF">
            <w:pPr>
              <w:widowControl w:val="0"/>
              <w:spacing w:line="276" w:lineRule="auto"/>
              <w:rPr>
                <w:rFonts w:ascii="Arial" w:eastAsia="Arial Unicode MS" w:hAnsi="Arial" w:cs="Arial"/>
                <w:sz w:val="20"/>
                <w:szCs w:val="20"/>
                <w:lang w:val="en-GB"/>
              </w:rPr>
            </w:pPr>
          </w:p>
        </w:tc>
        <w:tc>
          <w:tcPr>
            <w:tcW w:w="205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2767F12" w14:textId="77777777" w:rsidR="00543113" w:rsidRPr="00D852EF" w:rsidRDefault="00543113" w:rsidP="00D852EF">
            <w:pPr>
              <w:widowControl w:val="0"/>
              <w:spacing w:line="276" w:lineRule="auto"/>
              <w:outlineLvl w:val="1"/>
              <w:rPr>
                <w:rFonts w:ascii="Arial" w:eastAsia="MS Mincho" w:hAnsi="Arial" w:cs="Arial"/>
                <w:b/>
                <w:bCs/>
                <w:sz w:val="20"/>
                <w:szCs w:val="20"/>
                <w:lang w:val="en-GB"/>
              </w:rPr>
            </w:pPr>
            <w:r w:rsidRPr="00D852E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76F5C99A" w14:textId="77777777" w:rsidR="00543113" w:rsidRPr="00D852EF" w:rsidRDefault="00543113" w:rsidP="00D852EF">
            <w:pPr>
              <w:widowControl w:val="0"/>
              <w:spacing w:line="276" w:lineRule="auto"/>
              <w:outlineLvl w:val="1"/>
              <w:rPr>
                <w:rFonts w:ascii="Arial" w:eastAsia="MS Mincho" w:hAnsi="Arial" w:cs="Arial"/>
                <w:bCs/>
                <w:sz w:val="20"/>
                <w:szCs w:val="20"/>
                <w:lang w:val="en-GB"/>
              </w:rPr>
            </w:pPr>
            <w:r w:rsidRPr="00D852EF">
              <w:rPr>
                <w:rFonts w:ascii="Arial" w:eastAsia="MS Mincho" w:hAnsi="Arial" w:cs="Arial"/>
                <w:b/>
                <w:bCs/>
                <w:sz w:val="20"/>
                <w:szCs w:val="20"/>
                <w:lang w:val="en-GB"/>
              </w:rPr>
              <w:t>Author’s comment</w:t>
            </w:r>
            <w:r w:rsidRPr="00D852EF">
              <w:rPr>
                <w:rFonts w:ascii="Arial" w:eastAsia="MS Mincho" w:hAnsi="Arial" w:cs="Arial"/>
                <w:bCs/>
                <w:sz w:val="20"/>
                <w:szCs w:val="20"/>
                <w:lang w:val="en-GB"/>
              </w:rPr>
              <w:t xml:space="preserve"> </w:t>
            </w:r>
            <w:r w:rsidRPr="00D852E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43113" w:rsidRPr="00D852EF" w14:paraId="6DACFCC5" w14:textId="77777777" w:rsidTr="002F4BE9">
        <w:trPr>
          <w:trHeight w:val="890"/>
        </w:trPr>
        <w:tc>
          <w:tcPr>
            <w:tcW w:w="125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5461777" w14:textId="4FF0769B" w:rsidR="00543113" w:rsidRPr="00EB56A6" w:rsidRDefault="00543113" w:rsidP="00D852EF">
            <w:pPr>
              <w:widowControl w:val="0"/>
              <w:spacing w:line="276" w:lineRule="auto"/>
              <w:rPr>
                <w:rFonts w:ascii="Arial" w:eastAsia="Arial Unicode MS" w:hAnsi="Arial" w:cs="Arial"/>
                <w:b/>
                <w:sz w:val="20"/>
                <w:szCs w:val="20"/>
                <w:lang w:val="en-GB"/>
              </w:rPr>
            </w:pPr>
            <w:r w:rsidRPr="00D852EF">
              <w:rPr>
                <w:rFonts w:ascii="Arial" w:eastAsia="Arial Unicode MS" w:hAnsi="Arial" w:cs="Arial"/>
                <w:b/>
                <w:sz w:val="20"/>
                <w:szCs w:val="20"/>
                <w:lang w:val="en-GB"/>
              </w:rPr>
              <w:t xml:space="preserve">Are there ethical issues in this manuscript? </w:t>
            </w:r>
          </w:p>
        </w:tc>
        <w:tc>
          <w:tcPr>
            <w:tcW w:w="205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13AEC8" w14:textId="74969574" w:rsidR="00543113" w:rsidRPr="00EB56A6" w:rsidRDefault="00543113" w:rsidP="00D852EF">
            <w:pPr>
              <w:widowControl w:val="0"/>
              <w:spacing w:line="276" w:lineRule="auto"/>
              <w:rPr>
                <w:rFonts w:ascii="Arial" w:eastAsia="Arial Unicode MS" w:hAnsi="Arial" w:cs="Arial"/>
                <w:i/>
                <w:iCs/>
                <w:sz w:val="20"/>
                <w:szCs w:val="20"/>
                <w:u w:val="single"/>
                <w:lang w:val="en-GB"/>
              </w:rPr>
            </w:pPr>
            <w:r w:rsidRPr="00D852EF">
              <w:rPr>
                <w:rFonts w:ascii="Arial" w:eastAsia="Arial Unicode MS" w:hAnsi="Arial" w:cs="Arial"/>
                <w:i/>
                <w:iCs/>
                <w:sz w:val="20"/>
                <w:szCs w:val="20"/>
                <w:u w:val="single"/>
                <w:lang w:val="en-GB"/>
              </w:rPr>
              <w:t xml:space="preserve">(If yes, </w:t>
            </w:r>
            <w:proofErr w:type="gramStart"/>
            <w:r w:rsidRPr="00D852EF">
              <w:rPr>
                <w:rFonts w:ascii="Arial" w:eastAsia="Arial Unicode MS" w:hAnsi="Arial" w:cs="Arial"/>
                <w:i/>
                <w:iCs/>
                <w:sz w:val="20"/>
                <w:szCs w:val="20"/>
                <w:u w:val="single"/>
                <w:lang w:val="en-GB"/>
              </w:rPr>
              <w:t>Kindly</w:t>
            </w:r>
            <w:proofErr w:type="gramEnd"/>
            <w:r w:rsidRPr="00D852EF">
              <w:rPr>
                <w:rFonts w:ascii="Arial" w:eastAsia="Arial Unicode MS" w:hAnsi="Arial" w:cs="Arial"/>
                <w:i/>
                <w:iCs/>
                <w:sz w:val="20"/>
                <w:szCs w:val="20"/>
                <w:u w:val="single"/>
                <w:lang w:val="en-GB"/>
              </w:rPr>
              <w:t xml:space="preserve"> please write down the ethical issues here in details)</w:t>
            </w: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624EA73" w14:textId="2919ECA3" w:rsidR="00543113" w:rsidRPr="00D852EF" w:rsidRDefault="008F6757" w:rsidP="00D852EF">
            <w:pPr>
              <w:widowControl w:val="0"/>
              <w:spacing w:line="276" w:lineRule="auto"/>
              <w:rPr>
                <w:rFonts w:ascii="Arial" w:eastAsia="Arial Unicode MS" w:hAnsi="Arial" w:cs="Arial"/>
                <w:sz w:val="20"/>
                <w:szCs w:val="20"/>
                <w:lang w:val="en-GB"/>
              </w:rPr>
            </w:pPr>
            <w:r w:rsidRPr="00D852EF">
              <w:rPr>
                <w:rFonts w:ascii="Arial" w:eastAsia="Arial Unicode MS" w:hAnsi="Arial" w:cs="Arial"/>
                <w:sz w:val="20"/>
                <w:szCs w:val="20"/>
                <w:lang w:val="en-GB"/>
              </w:rPr>
              <w:t>Thank you</w:t>
            </w:r>
          </w:p>
          <w:p w14:paraId="114315AC" w14:textId="77777777" w:rsidR="00543113" w:rsidRPr="00D852EF" w:rsidRDefault="00543113" w:rsidP="00D852EF">
            <w:pPr>
              <w:widowControl w:val="0"/>
              <w:spacing w:line="276" w:lineRule="auto"/>
              <w:rPr>
                <w:rFonts w:ascii="Arial" w:eastAsia="Arial Unicode MS" w:hAnsi="Arial" w:cs="Arial"/>
                <w:sz w:val="20"/>
                <w:szCs w:val="20"/>
                <w:lang w:val="en-GB"/>
              </w:rPr>
            </w:pPr>
          </w:p>
          <w:p w14:paraId="55A31D6F" w14:textId="77777777" w:rsidR="00543113" w:rsidRPr="00D852EF" w:rsidRDefault="00543113" w:rsidP="00D852EF">
            <w:pPr>
              <w:widowControl w:val="0"/>
              <w:spacing w:line="276" w:lineRule="auto"/>
              <w:rPr>
                <w:rFonts w:ascii="Arial" w:eastAsia="Arial Unicode MS" w:hAnsi="Arial" w:cs="Arial"/>
                <w:sz w:val="20"/>
                <w:szCs w:val="20"/>
                <w:lang w:val="en-GB"/>
              </w:rPr>
            </w:pPr>
          </w:p>
        </w:tc>
      </w:tr>
    </w:tbl>
    <w:p w14:paraId="2069FC6B" w14:textId="77777777" w:rsidR="00543113" w:rsidRPr="00D852EF" w:rsidRDefault="00543113" w:rsidP="00D852EF">
      <w:pPr>
        <w:widowControl w:val="0"/>
        <w:rPr>
          <w:rFonts w:ascii="Arial" w:hAnsi="Arial" w:cs="Arial"/>
          <w:sz w:val="20"/>
          <w:szCs w:val="20"/>
        </w:rPr>
      </w:pPr>
      <w:bookmarkStart w:id="4" w:name="_GoBack"/>
      <w:bookmarkEnd w:id="0"/>
      <w:bookmarkEnd w:id="1"/>
      <w:bookmarkEnd w:id="2"/>
      <w:bookmarkEnd w:id="3"/>
      <w:bookmarkEnd w:id="4"/>
    </w:p>
    <w:sectPr w:rsidR="00543113" w:rsidRPr="00D852EF" w:rsidSect="00F741B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23073" w14:textId="77777777" w:rsidR="00024E63" w:rsidRPr="0000007A" w:rsidRDefault="00024E63" w:rsidP="0099583E">
      <w:r>
        <w:separator/>
      </w:r>
    </w:p>
  </w:endnote>
  <w:endnote w:type="continuationSeparator" w:id="0">
    <w:p w14:paraId="4480B626" w14:textId="77777777" w:rsidR="00024E63" w:rsidRPr="0000007A" w:rsidRDefault="00024E6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3E04"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F843C2" w:rsidRPr="00F843C2">
      <w:rPr>
        <w:sz w:val="16"/>
      </w:rPr>
      <w:t xml:space="preserve">Version: </w:t>
    </w:r>
    <w:r w:rsidR="00BD4D48">
      <w:rPr>
        <w:sz w:val="16"/>
      </w:rPr>
      <w:t>3</w:t>
    </w:r>
    <w:r w:rsidR="00F843C2" w:rsidRPr="00F843C2">
      <w:rPr>
        <w:sz w:val="16"/>
      </w:rPr>
      <w:t xml:space="preserve"> (0</w:t>
    </w:r>
    <w:r w:rsidR="00BD4D48">
      <w:rPr>
        <w:sz w:val="16"/>
      </w:rPr>
      <w:t>7</w:t>
    </w:r>
    <w:r w:rsidR="00F843C2" w:rsidRPr="00F843C2">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BDAA2" w14:textId="77777777" w:rsidR="00024E63" w:rsidRPr="0000007A" w:rsidRDefault="00024E63" w:rsidP="0099583E">
      <w:r>
        <w:separator/>
      </w:r>
    </w:p>
  </w:footnote>
  <w:footnote w:type="continuationSeparator" w:id="0">
    <w:p w14:paraId="18FB825D" w14:textId="77777777" w:rsidR="00024E63" w:rsidRPr="0000007A" w:rsidRDefault="00024E6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B868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7E48B9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D4D4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8AF52B7"/>
    <w:multiLevelType w:val="hybridMultilevel"/>
    <w:tmpl w:val="CB82BB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04175C"/>
    <w:multiLevelType w:val="hybridMultilevel"/>
    <w:tmpl w:val="4C826B6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10"/>
  </w:num>
  <w:num w:numId="5">
    <w:abstractNumId w:val="6"/>
  </w:num>
  <w:num w:numId="6">
    <w:abstractNumId w:val="0"/>
  </w:num>
  <w:num w:numId="7">
    <w:abstractNumId w:val="3"/>
  </w:num>
  <w:num w:numId="8">
    <w:abstractNumId w:val="13"/>
  </w:num>
  <w:num w:numId="9">
    <w:abstractNumId w:val="12"/>
  </w:num>
  <w:num w:numId="10">
    <w:abstractNumId w:val="2"/>
  </w:num>
  <w:num w:numId="11">
    <w:abstractNumId w:val="1"/>
  </w:num>
  <w:num w:numId="12">
    <w:abstractNumId w:val="5"/>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4E63"/>
    <w:rsid w:val="0002598E"/>
    <w:rsid w:val="00027C48"/>
    <w:rsid w:val="00037D52"/>
    <w:rsid w:val="000450FC"/>
    <w:rsid w:val="0005192F"/>
    <w:rsid w:val="000522CC"/>
    <w:rsid w:val="00056CB0"/>
    <w:rsid w:val="000577C2"/>
    <w:rsid w:val="0006257C"/>
    <w:rsid w:val="00080414"/>
    <w:rsid w:val="00084D7C"/>
    <w:rsid w:val="000866C3"/>
    <w:rsid w:val="00091112"/>
    <w:rsid w:val="000936AC"/>
    <w:rsid w:val="00095A59"/>
    <w:rsid w:val="000A2134"/>
    <w:rsid w:val="000A6F41"/>
    <w:rsid w:val="000B4EE5"/>
    <w:rsid w:val="000B74A1"/>
    <w:rsid w:val="000B757E"/>
    <w:rsid w:val="000B7F26"/>
    <w:rsid w:val="000C0837"/>
    <w:rsid w:val="000C3B7E"/>
    <w:rsid w:val="000C550D"/>
    <w:rsid w:val="000E6499"/>
    <w:rsid w:val="000F33F2"/>
    <w:rsid w:val="00100577"/>
    <w:rsid w:val="00101322"/>
    <w:rsid w:val="001069ED"/>
    <w:rsid w:val="00136984"/>
    <w:rsid w:val="00142886"/>
    <w:rsid w:val="00142F4D"/>
    <w:rsid w:val="00144521"/>
    <w:rsid w:val="00146D4D"/>
    <w:rsid w:val="00150304"/>
    <w:rsid w:val="0015296D"/>
    <w:rsid w:val="001538EA"/>
    <w:rsid w:val="00163622"/>
    <w:rsid w:val="001645A2"/>
    <w:rsid w:val="00164F4E"/>
    <w:rsid w:val="00165685"/>
    <w:rsid w:val="0017480A"/>
    <w:rsid w:val="00174D97"/>
    <w:rsid w:val="00175F7D"/>
    <w:rsid w:val="00176630"/>
    <w:rsid w:val="001766DF"/>
    <w:rsid w:val="00182AE1"/>
    <w:rsid w:val="00184644"/>
    <w:rsid w:val="0018753A"/>
    <w:rsid w:val="0019297A"/>
    <w:rsid w:val="0019527A"/>
    <w:rsid w:val="00197E68"/>
    <w:rsid w:val="001A1605"/>
    <w:rsid w:val="001B0C63"/>
    <w:rsid w:val="001C30B5"/>
    <w:rsid w:val="001D3A1D"/>
    <w:rsid w:val="001E4B3D"/>
    <w:rsid w:val="001F054F"/>
    <w:rsid w:val="001F2218"/>
    <w:rsid w:val="001F24FF"/>
    <w:rsid w:val="001F2913"/>
    <w:rsid w:val="001F707F"/>
    <w:rsid w:val="00200F06"/>
    <w:rsid w:val="002011F3"/>
    <w:rsid w:val="00201B85"/>
    <w:rsid w:val="00202E80"/>
    <w:rsid w:val="00204453"/>
    <w:rsid w:val="002105F7"/>
    <w:rsid w:val="00220111"/>
    <w:rsid w:val="0022369C"/>
    <w:rsid w:val="002320EB"/>
    <w:rsid w:val="0023696A"/>
    <w:rsid w:val="002422CB"/>
    <w:rsid w:val="00242447"/>
    <w:rsid w:val="00245E23"/>
    <w:rsid w:val="00247619"/>
    <w:rsid w:val="00251CFE"/>
    <w:rsid w:val="0025366D"/>
    <w:rsid w:val="00254F80"/>
    <w:rsid w:val="00262634"/>
    <w:rsid w:val="002643B3"/>
    <w:rsid w:val="00275984"/>
    <w:rsid w:val="00280EC9"/>
    <w:rsid w:val="00280FDD"/>
    <w:rsid w:val="00291D08"/>
    <w:rsid w:val="00293482"/>
    <w:rsid w:val="002C1431"/>
    <w:rsid w:val="002D7EA9"/>
    <w:rsid w:val="002E1211"/>
    <w:rsid w:val="002E2339"/>
    <w:rsid w:val="002E28E0"/>
    <w:rsid w:val="002E6D86"/>
    <w:rsid w:val="002F4BE9"/>
    <w:rsid w:val="002F5EAC"/>
    <w:rsid w:val="002F6935"/>
    <w:rsid w:val="0030634C"/>
    <w:rsid w:val="00310A4E"/>
    <w:rsid w:val="00312559"/>
    <w:rsid w:val="003204B8"/>
    <w:rsid w:val="00334BB9"/>
    <w:rsid w:val="0033692F"/>
    <w:rsid w:val="00346223"/>
    <w:rsid w:val="003647D6"/>
    <w:rsid w:val="00371F09"/>
    <w:rsid w:val="00376F0A"/>
    <w:rsid w:val="003A04E7"/>
    <w:rsid w:val="003A4991"/>
    <w:rsid w:val="003A6E1A"/>
    <w:rsid w:val="003B15AF"/>
    <w:rsid w:val="003B2172"/>
    <w:rsid w:val="003E18A5"/>
    <w:rsid w:val="003E746A"/>
    <w:rsid w:val="003F11F3"/>
    <w:rsid w:val="003F6F12"/>
    <w:rsid w:val="00405343"/>
    <w:rsid w:val="00422C74"/>
    <w:rsid w:val="0042465A"/>
    <w:rsid w:val="004356CC"/>
    <w:rsid w:val="00435B36"/>
    <w:rsid w:val="00442B24"/>
    <w:rsid w:val="0044444D"/>
    <w:rsid w:val="0044519B"/>
    <w:rsid w:val="00445B35"/>
    <w:rsid w:val="00446659"/>
    <w:rsid w:val="00457AB1"/>
    <w:rsid w:val="00457BC0"/>
    <w:rsid w:val="00462996"/>
    <w:rsid w:val="004674B4"/>
    <w:rsid w:val="004A4EA0"/>
    <w:rsid w:val="004B4CAD"/>
    <w:rsid w:val="004B4FDC"/>
    <w:rsid w:val="004C3DF1"/>
    <w:rsid w:val="004D2E36"/>
    <w:rsid w:val="00503AB6"/>
    <w:rsid w:val="005047C5"/>
    <w:rsid w:val="00510920"/>
    <w:rsid w:val="00521812"/>
    <w:rsid w:val="00523D2C"/>
    <w:rsid w:val="00531C82"/>
    <w:rsid w:val="005339A8"/>
    <w:rsid w:val="00533FC1"/>
    <w:rsid w:val="00543113"/>
    <w:rsid w:val="0054564B"/>
    <w:rsid w:val="00545A13"/>
    <w:rsid w:val="00546343"/>
    <w:rsid w:val="00557CD3"/>
    <w:rsid w:val="00560D3C"/>
    <w:rsid w:val="00567DE0"/>
    <w:rsid w:val="005735A5"/>
    <w:rsid w:val="005A5BE0"/>
    <w:rsid w:val="005B12E0"/>
    <w:rsid w:val="005C25A0"/>
    <w:rsid w:val="005C405C"/>
    <w:rsid w:val="005D230D"/>
    <w:rsid w:val="005F3751"/>
    <w:rsid w:val="00602F7D"/>
    <w:rsid w:val="006046B4"/>
    <w:rsid w:val="00605952"/>
    <w:rsid w:val="00617A11"/>
    <w:rsid w:val="00620677"/>
    <w:rsid w:val="00624032"/>
    <w:rsid w:val="0062500C"/>
    <w:rsid w:val="00627AB2"/>
    <w:rsid w:val="00645A56"/>
    <w:rsid w:val="006532DF"/>
    <w:rsid w:val="0065579D"/>
    <w:rsid w:val="00663792"/>
    <w:rsid w:val="0067046C"/>
    <w:rsid w:val="00673451"/>
    <w:rsid w:val="00676845"/>
    <w:rsid w:val="00680547"/>
    <w:rsid w:val="0068446F"/>
    <w:rsid w:val="006878B1"/>
    <w:rsid w:val="00692036"/>
    <w:rsid w:val="0069428E"/>
    <w:rsid w:val="00696CAD"/>
    <w:rsid w:val="006A5E0B"/>
    <w:rsid w:val="006A77AE"/>
    <w:rsid w:val="006C2041"/>
    <w:rsid w:val="006C3797"/>
    <w:rsid w:val="006E7D6E"/>
    <w:rsid w:val="006F2E60"/>
    <w:rsid w:val="006F6F2F"/>
    <w:rsid w:val="00701186"/>
    <w:rsid w:val="00707BE1"/>
    <w:rsid w:val="0072074B"/>
    <w:rsid w:val="007238EB"/>
    <w:rsid w:val="0072789A"/>
    <w:rsid w:val="007317C3"/>
    <w:rsid w:val="00734756"/>
    <w:rsid w:val="0073538B"/>
    <w:rsid w:val="00741BD0"/>
    <w:rsid w:val="007426E6"/>
    <w:rsid w:val="00746370"/>
    <w:rsid w:val="00752667"/>
    <w:rsid w:val="00761F14"/>
    <w:rsid w:val="00766889"/>
    <w:rsid w:val="00766A0D"/>
    <w:rsid w:val="00767F8C"/>
    <w:rsid w:val="00776CBB"/>
    <w:rsid w:val="00780B67"/>
    <w:rsid w:val="007921FA"/>
    <w:rsid w:val="0079362F"/>
    <w:rsid w:val="007B1099"/>
    <w:rsid w:val="007B6E18"/>
    <w:rsid w:val="007D0246"/>
    <w:rsid w:val="007D0494"/>
    <w:rsid w:val="007E1AD0"/>
    <w:rsid w:val="007F04AC"/>
    <w:rsid w:val="007F5873"/>
    <w:rsid w:val="00806382"/>
    <w:rsid w:val="00813CFB"/>
    <w:rsid w:val="00815F94"/>
    <w:rsid w:val="0082130C"/>
    <w:rsid w:val="008224E2"/>
    <w:rsid w:val="00825DC9"/>
    <w:rsid w:val="0082676D"/>
    <w:rsid w:val="00831055"/>
    <w:rsid w:val="008368A6"/>
    <w:rsid w:val="008423BB"/>
    <w:rsid w:val="00846F1F"/>
    <w:rsid w:val="00864E36"/>
    <w:rsid w:val="0087201B"/>
    <w:rsid w:val="00877F10"/>
    <w:rsid w:val="00882091"/>
    <w:rsid w:val="00890BE1"/>
    <w:rsid w:val="008913D5"/>
    <w:rsid w:val="00893E75"/>
    <w:rsid w:val="008A351F"/>
    <w:rsid w:val="008B416F"/>
    <w:rsid w:val="008C2778"/>
    <w:rsid w:val="008C2F62"/>
    <w:rsid w:val="008D020E"/>
    <w:rsid w:val="008D1117"/>
    <w:rsid w:val="008D15A4"/>
    <w:rsid w:val="008E0285"/>
    <w:rsid w:val="008F36E4"/>
    <w:rsid w:val="008F6757"/>
    <w:rsid w:val="00933C8B"/>
    <w:rsid w:val="00945457"/>
    <w:rsid w:val="009553EC"/>
    <w:rsid w:val="0097330E"/>
    <w:rsid w:val="00974330"/>
    <w:rsid w:val="0097498C"/>
    <w:rsid w:val="00982766"/>
    <w:rsid w:val="009852C4"/>
    <w:rsid w:val="00985F26"/>
    <w:rsid w:val="00992A75"/>
    <w:rsid w:val="00994D13"/>
    <w:rsid w:val="0099583E"/>
    <w:rsid w:val="009976D2"/>
    <w:rsid w:val="009A0242"/>
    <w:rsid w:val="009A59ED"/>
    <w:rsid w:val="009B4056"/>
    <w:rsid w:val="009B5AA8"/>
    <w:rsid w:val="009C45A0"/>
    <w:rsid w:val="009C5642"/>
    <w:rsid w:val="009E069F"/>
    <w:rsid w:val="009E13C3"/>
    <w:rsid w:val="009E6A30"/>
    <w:rsid w:val="009E79E5"/>
    <w:rsid w:val="009F07D4"/>
    <w:rsid w:val="009F29EB"/>
    <w:rsid w:val="00A001A0"/>
    <w:rsid w:val="00A0418E"/>
    <w:rsid w:val="00A12C83"/>
    <w:rsid w:val="00A157BD"/>
    <w:rsid w:val="00A23BB6"/>
    <w:rsid w:val="00A25949"/>
    <w:rsid w:val="00A2639B"/>
    <w:rsid w:val="00A31AAC"/>
    <w:rsid w:val="00A32905"/>
    <w:rsid w:val="00A34893"/>
    <w:rsid w:val="00A36658"/>
    <w:rsid w:val="00A36C95"/>
    <w:rsid w:val="00A37DE3"/>
    <w:rsid w:val="00A451CA"/>
    <w:rsid w:val="00A519D1"/>
    <w:rsid w:val="00A57B55"/>
    <w:rsid w:val="00A6343B"/>
    <w:rsid w:val="00A65C50"/>
    <w:rsid w:val="00A66DD2"/>
    <w:rsid w:val="00AA1B59"/>
    <w:rsid w:val="00AA41B3"/>
    <w:rsid w:val="00AA6670"/>
    <w:rsid w:val="00AB1ED6"/>
    <w:rsid w:val="00AB397D"/>
    <w:rsid w:val="00AB638A"/>
    <w:rsid w:val="00AB6E43"/>
    <w:rsid w:val="00AC1349"/>
    <w:rsid w:val="00AC18C5"/>
    <w:rsid w:val="00AC4F63"/>
    <w:rsid w:val="00AD6C51"/>
    <w:rsid w:val="00AF3016"/>
    <w:rsid w:val="00B03A45"/>
    <w:rsid w:val="00B2236C"/>
    <w:rsid w:val="00B22FE6"/>
    <w:rsid w:val="00B3033D"/>
    <w:rsid w:val="00B341A1"/>
    <w:rsid w:val="00B356AF"/>
    <w:rsid w:val="00B52CFB"/>
    <w:rsid w:val="00B62087"/>
    <w:rsid w:val="00B62F41"/>
    <w:rsid w:val="00B73785"/>
    <w:rsid w:val="00B760E1"/>
    <w:rsid w:val="00B807F8"/>
    <w:rsid w:val="00B858FF"/>
    <w:rsid w:val="00B949AF"/>
    <w:rsid w:val="00BA1AB3"/>
    <w:rsid w:val="00BA6421"/>
    <w:rsid w:val="00BB1C04"/>
    <w:rsid w:val="00BB34E6"/>
    <w:rsid w:val="00BB4FEC"/>
    <w:rsid w:val="00BC402F"/>
    <w:rsid w:val="00BC63A5"/>
    <w:rsid w:val="00BD27BA"/>
    <w:rsid w:val="00BD4D48"/>
    <w:rsid w:val="00BE0D02"/>
    <w:rsid w:val="00BE13EF"/>
    <w:rsid w:val="00BE40A5"/>
    <w:rsid w:val="00BE6454"/>
    <w:rsid w:val="00BF0C93"/>
    <w:rsid w:val="00BF39A4"/>
    <w:rsid w:val="00BF4769"/>
    <w:rsid w:val="00BF663D"/>
    <w:rsid w:val="00C02797"/>
    <w:rsid w:val="00C10283"/>
    <w:rsid w:val="00C110CC"/>
    <w:rsid w:val="00C211A8"/>
    <w:rsid w:val="00C22886"/>
    <w:rsid w:val="00C25C8F"/>
    <w:rsid w:val="00C263C6"/>
    <w:rsid w:val="00C46FA7"/>
    <w:rsid w:val="00C62B34"/>
    <w:rsid w:val="00C635B6"/>
    <w:rsid w:val="00C70DFC"/>
    <w:rsid w:val="00C82466"/>
    <w:rsid w:val="00C828A8"/>
    <w:rsid w:val="00C84097"/>
    <w:rsid w:val="00CA1977"/>
    <w:rsid w:val="00CA5C9C"/>
    <w:rsid w:val="00CA7AE1"/>
    <w:rsid w:val="00CB429B"/>
    <w:rsid w:val="00CC0196"/>
    <w:rsid w:val="00CC2480"/>
    <w:rsid w:val="00CC2753"/>
    <w:rsid w:val="00CD093E"/>
    <w:rsid w:val="00CD09C6"/>
    <w:rsid w:val="00CD1556"/>
    <w:rsid w:val="00CD1FD7"/>
    <w:rsid w:val="00CD487D"/>
    <w:rsid w:val="00CE199A"/>
    <w:rsid w:val="00CE5AC7"/>
    <w:rsid w:val="00CF0BBB"/>
    <w:rsid w:val="00D1283A"/>
    <w:rsid w:val="00D135DE"/>
    <w:rsid w:val="00D1675B"/>
    <w:rsid w:val="00D17979"/>
    <w:rsid w:val="00D2075F"/>
    <w:rsid w:val="00D226D1"/>
    <w:rsid w:val="00D3257B"/>
    <w:rsid w:val="00D34C3C"/>
    <w:rsid w:val="00D40416"/>
    <w:rsid w:val="00D45CF7"/>
    <w:rsid w:val="00D4782A"/>
    <w:rsid w:val="00D7603E"/>
    <w:rsid w:val="00D852EF"/>
    <w:rsid w:val="00D8579C"/>
    <w:rsid w:val="00D90124"/>
    <w:rsid w:val="00D9392F"/>
    <w:rsid w:val="00DA41F5"/>
    <w:rsid w:val="00DA7CC2"/>
    <w:rsid w:val="00DB5B54"/>
    <w:rsid w:val="00DB7E1B"/>
    <w:rsid w:val="00DC1D81"/>
    <w:rsid w:val="00DC392E"/>
    <w:rsid w:val="00DF7AF7"/>
    <w:rsid w:val="00E053CC"/>
    <w:rsid w:val="00E30CD2"/>
    <w:rsid w:val="00E35F10"/>
    <w:rsid w:val="00E451EA"/>
    <w:rsid w:val="00E53E52"/>
    <w:rsid w:val="00E55336"/>
    <w:rsid w:val="00E57F4B"/>
    <w:rsid w:val="00E63889"/>
    <w:rsid w:val="00E65EB7"/>
    <w:rsid w:val="00E71C8D"/>
    <w:rsid w:val="00E72360"/>
    <w:rsid w:val="00E82450"/>
    <w:rsid w:val="00E972A7"/>
    <w:rsid w:val="00EA2839"/>
    <w:rsid w:val="00EB1083"/>
    <w:rsid w:val="00EB333C"/>
    <w:rsid w:val="00EB3E91"/>
    <w:rsid w:val="00EB56A6"/>
    <w:rsid w:val="00EB78B8"/>
    <w:rsid w:val="00EC6894"/>
    <w:rsid w:val="00ED6B12"/>
    <w:rsid w:val="00EE0D3E"/>
    <w:rsid w:val="00EE3668"/>
    <w:rsid w:val="00EE63EB"/>
    <w:rsid w:val="00EF326D"/>
    <w:rsid w:val="00EF53FE"/>
    <w:rsid w:val="00EF7BBD"/>
    <w:rsid w:val="00F019BC"/>
    <w:rsid w:val="00F07826"/>
    <w:rsid w:val="00F241AE"/>
    <w:rsid w:val="00F245A7"/>
    <w:rsid w:val="00F2643C"/>
    <w:rsid w:val="00F3295A"/>
    <w:rsid w:val="00F34D8E"/>
    <w:rsid w:val="00F3669D"/>
    <w:rsid w:val="00F405F8"/>
    <w:rsid w:val="00F41154"/>
    <w:rsid w:val="00F4145F"/>
    <w:rsid w:val="00F4700F"/>
    <w:rsid w:val="00F51F7F"/>
    <w:rsid w:val="00F573EA"/>
    <w:rsid w:val="00F57E9D"/>
    <w:rsid w:val="00F62333"/>
    <w:rsid w:val="00F741B9"/>
    <w:rsid w:val="00F843C2"/>
    <w:rsid w:val="00F953ED"/>
    <w:rsid w:val="00FA6528"/>
    <w:rsid w:val="00FC2E17"/>
    <w:rsid w:val="00FC5781"/>
    <w:rsid w:val="00FC6387"/>
    <w:rsid w:val="00FC6802"/>
    <w:rsid w:val="00FC69A7"/>
    <w:rsid w:val="00FD1ECD"/>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9A2F9"/>
  <w15:chartTrackingRefBased/>
  <w15:docId w15:val="{582AF046-7302-674A-82E2-71A4066F9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MY"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0C550D"/>
    <w:rPr>
      <w:color w:val="605E5C"/>
      <w:shd w:val="clear" w:color="auto" w:fill="E1DFDD"/>
    </w:rPr>
  </w:style>
  <w:style w:type="paragraph" w:styleId="HTMLPreformatted">
    <w:name w:val="HTML Preformatted"/>
    <w:basedOn w:val="Normal"/>
    <w:link w:val="HTMLPreformattedChar"/>
    <w:uiPriority w:val="99"/>
    <w:semiHidden/>
    <w:unhideWhenUsed/>
    <w:rsid w:val="003E1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link w:val="HTMLPreformatted"/>
    <w:uiPriority w:val="99"/>
    <w:semiHidden/>
    <w:rsid w:val="003E18A5"/>
    <w:rPr>
      <w:rFonts w:ascii="Courier New" w:eastAsia="Times New Roman" w:hAnsi="Courier New" w:cs="Courier New"/>
    </w:rPr>
  </w:style>
  <w:style w:type="character" w:customStyle="1" w:styleId="y2iqfc">
    <w:name w:val="y2iqfc"/>
    <w:rsid w:val="003E18A5"/>
  </w:style>
  <w:style w:type="character" w:styleId="Emphasis">
    <w:name w:val="Emphasis"/>
    <w:uiPriority w:val="20"/>
    <w:qFormat/>
    <w:rsid w:val="007921FA"/>
    <w:rPr>
      <w:i/>
      <w:iCs/>
    </w:rPr>
  </w:style>
  <w:style w:type="character" w:customStyle="1" w:styleId="hlfld-contribauthor">
    <w:name w:val="hlfld-contribauthor"/>
    <w:rsid w:val="00F019BC"/>
  </w:style>
  <w:style w:type="character" w:customStyle="1" w:styleId="seriestitle">
    <w:name w:val="seriestitle"/>
    <w:rsid w:val="00F019BC"/>
  </w:style>
  <w:style w:type="character" w:customStyle="1" w:styleId="doi">
    <w:name w:val="doi"/>
    <w:rsid w:val="00F019BC"/>
  </w:style>
  <w:style w:type="character" w:customStyle="1" w:styleId="volume">
    <w:name w:val="volume"/>
    <w:rsid w:val="00F019BC"/>
  </w:style>
  <w:style w:type="character" w:customStyle="1" w:styleId="issue">
    <w:name w:val="issue"/>
    <w:rsid w:val="00F019BC"/>
  </w:style>
  <w:style w:type="character" w:customStyle="1" w:styleId="page-range">
    <w:name w:val="page-range"/>
    <w:rsid w:val="00F019BC"/>
  </w:style>
  <w:style w:type="character" w:customStyle="1" w:styleId="pub-date">
    <w:name w:val="pub-date"/>
    <w:rsid w:val="00F01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91892">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10434153">
      <w:bodyDiv w:val="1"/>
      <w:marLeft w:val="0"/>
      <w:marRight w:val="0"/>
      <w:marTop w:val="0"/>
      <w:marBottom w:val="0"/>
      <w:divBdr>
        <w:top w:val="none" w:sz="0" w:space="0" w:color="auto"/>
        <w:left w:val="none" w:sz="0" w:space="0" w:color="auto"/>
        <w:bottom w:val="none" w:sz="0" w:space="0" w:color="auto"/>
        <w:right w:val="none" w:sz="0" w:space="0" w:color="auto"/>
      </w:divBdr>
    </w:div>
    <w:div w:id="76600483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61908867">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59701648">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1216668">
      <w:bodyDiv w:val="1"/>
      <w:marLeft w:val="0"/>
      <w:marRight w:val="0"/>
      <w:marTop w:val="0"/>
      <w:marBottom w:val="0"/>
      <w:divBdr>
        <w:top w:val="none" w:sz="0" w:space="0" w:color="auto"/>
        <w:left w:val="none" w:sz="0" w:space="0" w:color="auto"/>
        <w:bottom w:val="none" w:sz="0" w:space="0" w:color="auto"/>
        <w:right w:val="none" w:sz="0" w:space="0" w:color="auto"/>
      </w:divBdr>
    </w:div>
    <w:div w:id="1503859098">
      <w:bodyDiv w:val="1"/>
      <w:marLeft w:val="0"/>
      <w:marRight w:val="0"/>
      <w:marTop w:val="0"/>
      <w:marBottom w:val="0"/>
      <w:divBdr>
        <w:top w:val="none" w:sz="0" w:space="0" w:color="auto"/>
        <w:left w:val="none" w:sz="0" w:space="0" w:color="auto"/>
        <w:bottom w:val="none" w:sz="0" w:space="0" w:color="auto"/>
        <w:right w:val="none" w:sz="0" w:space="0" w:color="auto"/>
      </w:divBdr>
    </w:div>
    <w:div w:id="1742170191">
      <w:bodyDiv w:val="1"/>
      <w:marLeft w:val="0"/>
      <w:marRight w:val="0"/>
      <w:marTop w:val="0"/>
      <w:marBottom w:val="0"/>
      <w:divBdr>
        <w:top w:val="none" w:sz="0" w:space="0" w:color="auto"/>
        <w:left w:val="none" w:sz="0" w:space="0" w:color="auto"/>
        <w:bottom w:val="none" w:sz="0" w:space="0" w:color="auto"/>
        <w:right w:val="none" w:sz="0" w:space="0" w:color="auto"/>
      </w:divBdr>
    </w:div>
    <w:div w:id="1807892449">
      <w:bodyDiv w:val="1"/>
      <w:marLeft w:val="0"/>
      <w:marRight w:val="0"/>
      <w:marTop w:val="0"/>
      <w:marBottom w:val="0"/>
      <w:divBdr>
        <w:top w:val="none" w:sz="0" w:space="0" w:color="auto"/>
        <w:left w:val="none" w:sz="0" w:space="0" w:color="auto"/>
        <w:bottom w:val="none" w:sz="0" w:space="0" w:color="auto"/>
        <w:right w:val="none" w:sz="0" w:space="0" w:color="auto"/>
      </w:divBdr>
    </w:div>
    <w:div w:id="1878346170">
      <w:bodyDiv w:val="1"/>
      <w:marLeft w:val="0"/>
      <w:marRight w:val="0"/>
      <w:marTop w:val="0"/>
      <w:marBottom w:val="0"/>
      <w:divBdr>
        <w:top w:val="none" w:sz="0" w:space="0" w:color="auto"/>
        <w:left w:val="none" w:sz="0" w:space="0" w:color="auto"/>
        <w:bottom w:val="none" w:sz="0" w:space="0" w:color="auto"/>
        <w:right w:val="none" w:sz="0" w:space="0" w:color="auto"/>
      </w:divBdr>
    </w:div>
    <w:div w:id="1878541872">
      <w:bodyDiv w:val="1"/>
      <w:marLeft w:val="0"/>
      <w:marRight w:val="0"/>
      <w:marTop w:val="0"/>
      <w:marBottom w:val="0"/>
      <w:divBdr>
        <w:top w:val="none" w:sz="0" w:space="0" w:color="auto"/>
        <w:left w:val="none" w:sz="0" w:space="0" w:color="auto"/>
        <w:bottom w:val="none" w:sz="0" w:space="0" w:color="auto"/>
        <w:right w:val="none" w:sz="0" w:space="0" w:color="auto"/>
      </w:divBdr>
    </w:div>
    <w:div w:id="19217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go.com/index.php/ARJ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D54DC-3B3D-4DD8-AA34-5A433D11B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948</Words>
  <Characters>5405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https://journalarjgo.com/index.php/ARJGO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1176</cp:lastModifiedBy>
  <cp:revision>85</cp:revision>
  <dcterms:created xsi:type="dcterms:W3CDTF">2025-02-15T12:04:00Z</dcterms:created>
  <dcterms:modified xsi:type="dcterms:W3CDTF">2025-02-22T09:55:00Z</dcterms:modified>
</cp:coreProperties>
</file>