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1524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1524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55563F" w:rsidRPr="0055563F" w:rsidRDefault="0055563F" w:rsidP="0055563F">
      <w:pPr>
        <w:shd w:val="clear" w:color="auto" w:fill="FFFFFF"/>
        <w:spacing w:after="160" w:line="209" w:lineRule="atLeast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55563F">
        <w:rPr>
          <w:rFonts w:ascii="Arial" w:eastAsia="Times New Roman" w:hAnsi="Arial" w:cs="Arial"/>
          <w:color w:val="222222"/>
          <w:sz w:val="20"/>
          <w:szCs w:val="20"/>
          <w:lang w:val="en-US"/>
        </w:rPr>
        <w:t>The authors have studied the effect of preservatives like sodium benzoate (SB) and ascorbic acid (vitamin C) in</w:t>
      </w:r>
    </w:p>
    <w:p w:rsidR="0055563F" w:rsidRPr="0055563F" w:rsidRDefault="0055563F" w:rsidP="0055563F">
      <w:pPr>
        <w:shd w:val="clear" w:color="auto" w:fill="FFFFFF"/>
        <w:spacing w:after="160" w:line="209" w:lineRule="atLeast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55563F">
        <w:rPr>
          <w:rFonts w:ascii="Arial" w:eastAsia="Times New Roman" w:hAnsi="Arial" w:cs="Arial"/>
          <w:color w:val="222222"/>
          <w:sz w:val="20"/>
          <w:szCs w:val="20"/>
          <w:lang w:val="en-US"/>
        </w:rPr>
        <w:t> processed foods and beverages in assessing their potential health risks. The study concludes that the </w:t>
      </w:r>
    </w:p>
    <w:p w:rsidR="0055563F" w:rsidRPr="0055563F" w:rsidRDefault="0055563F" w:rsidP="0055563F">
      <w:pPr>
        <w:shd w:val="clear" w:color="auto" w:fill="FFFFFF"/>
        <w:spacing w:after="160" w:line="209" w:lineRule="atLeast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proofErr w:type="gramStart"/>
      <w:r w:rsidRPr="0055563F">
        <w:rPr>
          <w:rFonts w:ascii="Arial" w:eastAsia="Times New Roman" w:hAnsi="Arial" w:cs="Arial"/>
          <w:color w:val="222222"/>
          <w:sz w:val="20"/>
          <w:szCs w:val="20"/>
          <w:lang w:val="en-US"/>
        </w:rPr>
        <w:t>potential  impact</w:t>
      </w:r>
      <w:proofErr w:type="gramEnd"/>
      <w:r w:rsidRPr="0055563F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of sodium benzoate and ascorbic acid (vitamin C), commonly used preservatives in </w:t>
      </w:r>
    </w:p>
    <w:p w:rsidR="0055563F" w:rsidRPr="0055563F" w:rsidRDefault="0055563F" w:rsidP="0055563F">
      <w:pPr>
        <w:shd w:val="clear" w:color="auto" w:fill="FFFFFF"/>
        <w:spacing w:after="160" w:line="209" w:lineRule="atLeast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55563F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processed </w:t>
      </w:r>
      <w:proofErr w:type="gramStart"/>
      <w:r w:rsidRPr="0055563F">
        <w:rPr>
          <w:rFonts w:ascii="Arial" w:eastAsia="Times New Roman" w:hAnsi="Arial" w:cs="Arial"/>
          <w:color w:val="222222"/>
          <w:sz w:val="20"/>
          <w:szCs w:val="20"/>
          <w:lang w:val="en-US"/>
        </w:rPr>
        <w:t>foods  and</w:t>
      </w:r>
      <w:proofErr w:type="gramEnd"/>
      <w:r w:rsidRPr="0055563F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beverages, on  glucose levels, lipid profile, and some cardiovascular markers in albino </w:t>
      </w:r>
    </w:p>
    <w:p w:rsidR="0055563F" w:rsidRPr="0055563F" w:rsidRDefault="0055563F" w:rsidP="0055563F">
      <w:pPr>
        <w:shd w:val="clear" w:color="auto" w:fill="FFFFFF"/>
        <w:spacing w:after="160" w:line="209" w:lineRule="atLeast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55563F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rats. While </w:t>
      </w:r>
      <w:proofErr w:type="gramStart"/>
      <w:r w:rsidRPr="0055563F">
        <w:rPr>
          <w:rFonts w:ascii="Arial" w:eastAsia="Times New Roman" w:hAnsi="Arial" w:cs="Arial"/>
          <w:color w:val="222222"/>
          <w:sz w:val="20"/>
          <w:szCs w:val="20"/>
          <w:lang w:val="en-US"/>
        </w:rPr>
        <w:t>glucose  levels</w:t>
      </w:r>
      <w:proofErr w:type="gramEnd"/>
      <w:r w:rsidRPr="0055563F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and total cholesterol remained unaffected, sodium benzoate significantly elevated </w:t>
      </w:r>
    </w:p>
    <w:p w:rsidR="0055563F" w:rsidRPr="0055563F" w:rsidRDefault="0055563F" w:rsidP="0055563F">
      <w:pPr>
        <w:shd w:val="clear" w:color="auto" w:fill="FFFFFF"/>
        <w:spacing w:after="160" w:line="209" w:lineRule="atLeast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55563F">
        <w:rPr>
          <w:rFonts w:ascii="Arial" w:eastAsia="Times New Roman" w:hAnsi="Arial" w:cs="Arial"/>
          <w:color w:val="222222"/>
          <w:sz w:val="20"/>
          <w:szCs w:val="20"/>
          <w:lang w:val="en-US"/>
        </w:rPr>
        <w:t>triglycerides, LDL cholesterol, LDL/HDL ratio, and non-HDL cholesterol while reducing HDL cholesterol, </w:t>
      </w:r>
    </w:p>
    <w:p w:rsidR="0055563F" w:rsidRPr="0055563F" w:rsidRDefault="0055563F" w:rsidP="0055563F">
      <w:pPr>
        <w:shd w:val="clear" w:color="auto" w:fill="FFFFFF"/>
        <w:spacing w:after="160" w:line="209" w:lineRule="atLeast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55563F">
        <w:rPr>
          <w:rFonts w:ascii="Arial" w:eastAsia="Times New Roman" w:hAnsi="Arial" w:cs="Arial"/>
          <w:color w:val="222222"/>
          <w:sz w:val="20"/>
          <w:szCs w:val="20"/>
          <w:lang w:val="en-US"/>
        </w:rPr>
        <w:t>particularly at higher doses and in combination with vitamin C. These changes suggest a possible pro-</w:t>
      </w:r>
    </w:p>
    <w:p w:rsidR="0055563F" w:rsidRPr="0055563F" w:rsidRDefault="0055563F" w:rsidP="0055563F">
      <w:pPr>
        <w:shd w:val="clear" w:color="auto" w:fill="FFFFFF"/>
        <w:spacing w:after="160" w:line="209" w:lineRule="atLeast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55563F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atherogenic effect, </w:t>
      </w:r>
      <w:proofErr w:type="gramStart"/>
      <w:r w:rsidRPr="0055563F">
        <w:rPr>
          <w:rFonts w:ascii="Arial" w:eastAsia="Times New Roman" w:hAnsi="Arial" w:cs="Arial"/>
          <w:color w:val="222222"/>
          <w:sz w:val="20"/>
          <w:szCs w:val="20"/>
          <w:lang w:val="en-US"/>
        </w:rPr>
        <w:t>increasing  the</w:t>
      </w:r>
      <w:proofErr w:type="gramEnd"/>
      <w:r w:rsidRPr="0055563F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risk of cardiovascular diseases. This is an important topic from point of </w:t>
      </w:r>
    </w:p>
    <w:p w:rsidR="0055563F" w:rsidRPr="0055563F" w:rsidRDefault="0055563F" w:rsidP="0055563F">
      <w:pPr>
        <w:shd w:val="clear" w:color="auto" w:fill="FFFFFF"/>
        <w:spacing w:after="160" w:line="209" w:lineRule="atLeast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55563F">
        <w:rPr>
          <w:rFonts w:ascii="Arial" w:eastAsia="Times New Roman" w:hAnsi="Arial" w:cs="Arial"/>
          <w:color w:val="222222"/>
          <w:sz w:val="20"/>
          <w:szCs w:val="20"/>
          <w:lang w:val="en-US"/>
        </w:rPr>
        <w:t>view of the community at large.</w:t>
      </w:r>
    </w:p>
    <w:p w:rsidR="0055563F" w:rsidRPr="0055563F" w:rsidRDefault="0055563F" w:rsidP="005556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</w:p>
    <w:p w:rsidR="0055563F" w:rsidRPr="0055563F" w:rsidRDefault="0055563F" w:rsidP="005556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55563F">
        <w:rPr>
          <w:rFonts w:ascii="Arial" w:eastAsia="Times New Roman" w:hAnsi="Arial" w:cs="Arial"/>
          <w:color w:val="222222"/>
          <w:sz w:val="20"/>
          <w:szCs w:val="20"/>
          <w:lang w:val="en-GB"/>
        </w:rPr>
        <w:t xml:space="preserve">With due consideration to the reviewer's comments and the revision done, the decision on the manuscript for the Asian Journal of Cardiology </w:t>
      </w:r>
      <w:proofErr w:type="gramStart"/>
      <w:r w:rsidRPr="0055563F">
        <w:rPr>
          <w:rFonts w:ascii="Arial" w:eastAsia="Times New Roman" w:hAnsi="Arial" w:cs="Arial"/>
          <w:color w:val="222222"/>
          <w:sz w:val="20"/>
          <w:szCs w:val="20"/>
          <w:lang w:val="en-GB"/>
        </w:rPr>
        <w:t>Research</w:t>
      </w:r>
      <w:r w:rsidRPr="0055563F">
        <w:rPr>
          <w:rFonts w:ascii="Arial" w:eastAsia="Times New Roman" w:hAnsi="Arial" w:cs="Arial"/>
          <w:color w:val="222222"/>
          <w:sz w:val="20"/>
          <w:szCs w:val="20"/>
          <w:lang w:val="en-US"/>
        </w:rPr>
        <w:t>  is</w:t>
      </w:r>
      <w:proofErr w:type="gramEnd"/>
      <w:r w:rsidRPr="0055563F">
        <w:rPr>
          <w:rFonts w:ascii="Arial" w:eastAsia="Times New Roman" w:hAnsi="Arial" w:cs="Arial"/>
          <w:color w:val="222222"/>
          <w:sz w:val="20"/>
          <w:szCs w:val="20"/>
          <w:lang w:val="en-US"/>
        </w:rPr>
        <w:t>  Accepted.</w:t>
      </w:r>
    </w:p>
    <w:p w:rsidR="009344FF" w:rsidRPr="00315241" w:rsidRDefault="009344FF" w:rsidP="009344FF">
      <w:pPr>
        <w:rPr>
          <w:rFonts w:ascii="Arial" w:hAnsi="Arial" w:cs="Arial"/>
          <w:sz w:val="20"/>
          <w:szCs w:val="20"/>
        </w:rPr>
      </w:pPr>
    </w:p>
    <w:p w:rsidR="00404B83" w:rsidRPr="0031524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1524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937CE6" w:rsidRDefault="00315241" w:rsidP="009344FF">
      <w:pPr>
        <w:rPr>
          <w:rFonts w:ascii="Arial" w:hAnsi="Arial" w:cs="Arial"/>
          <w:bCs/>
          <w:sz w:val="20"/>
          <w:szCs w:val="20"/>
        </w:rPr>
      </w:pPr>
      <w:bookmarkStart w:id="0" w:name="_Hlk191291194"/>
      <w:r w:rsidRPr="00937CE6">
        <w:rPr>
          <w:rFonts w:ascii="Arial" w:hAnsi="Arial" w:cs="Arial"/>
          <w:bCs/>
          <w:sz w:val="20"/>
          <w:szCs w:val="20"/>
        </w:rPr>
        <w:t>Prof. Abha Chandra</w:t>
      </w:r>
      <w:r w:rsidRPr="00937CE6">
        <w:rPr>
          <w:rFonts w:ascii="Arial" w:hAnsi="Arial" w:cs="Arial"/>
          <w:bCs/>
          <w:sz w:val="20"/>
          <w:szCs w:val="20"/>
        </w:rPr>
        <w:t xml:space="preserve">, </w:t>
      </w:r>
      <w:r w:rsidRPr="00937CE6">
        <w:rPr>
          <w:rFonts w:ascii="Arial" w:hAnsi="Arial" w:cs="Arial"/>
          <w:bCs/>
          <w:sz w:val="20"/>
          <w:szCs w:val="20"/>
        </w:rPr>
        <w:t>Integral University, India</w:t>
      </w:r>
      <w:bookmarkEnd w:id="0"/>
    </w:p>
    <w:sectPr w:rsidR="009F51BD" w:rsidRPr="00937C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15241"/>
    <w:rsid w:val="00404B83"/>
    <w:rsid w:val="004B458C"/>
    <w:rsid w:val="0055563F"/>
    <w:rsid w:val="00692696"/>
    <w:rsid w:val="009344FF"/>
    <w:rsid w:val="00937CE6"/>
    <w:rsid w:val="009F328F"/>
    <w:rsid w:val="009F51BD"/>
    <w:rsid w:val="00A72896"/>
    <w:rsid w:val="00D606BC"/>
    <w:rsid w:val="00E8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891E5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2025-02-24T06:36:00Z</dcterms:modified>
</cp:coreProperties>
</file>